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2E932366" w14:textId="77777777" w:rsidR="0008116F" w:rsidRPr="00E8754D" w:rsidRDefault="0008116F" w:rsidP="00B20619">
      <w:pPr>
        <w:pStyle w:val="MGTHeader"/>
      </w:pPr>
      <w:r w:rsidRPr="00E8754D">
        <w:t>Goal 12</w:t>
      </w:r>
      <w:r>
        <w:t xml:space="preserve">: </w:t>
      </w:r>
      <w:r w:rsidRPr="00E8754D">
        <w:t>Ensure sustainable consumption and production patterns</w:t>
      </w:r>
    </w:p>
    <w:p w14:paraId="084142D2" w14:textId="77777777" w:rsidR="00D24330" w:rsidRPr="00A96255" w:rsidRDefault="00D24330" w:rsidP="00D24330">
      <w:pPr>
        <w:pStyle w:val="MIndHeader"/>
      </w:pPr>
      <w:r w:rsidRPr="00A96255">
        <w:t>0.b. Target</w:t>
      </w:r>
    </w:p>
    <w:p w14:paraId="61322ED5" w14:textId="77777777" w:rsidR="008E45D3" w:rsidRPr="00E8754D" w:rsidRDefault="008E45D3" w:rsidP="00B20619">
      <w:pPr>
        <w:pStyle w:val="MGTHeader"/>
      </w:pPr>
      <w:r w:rsidRPr="00E8754D">
        <w:t>Target 12.6</w:t>
      </w:r>
      <w:r>
        <w:t>:</w:t>
      </w:r>
      <w:r w:rsidRPr="00E8754D">
        <w:t xml:space="preserve"> Encourage companies, especially large and transnational companies, to adopt sustainable practices and to integrate sustainability information into their reporting cycle</w:t>
      </w:r>
    </w:p>
    <w:p w14:paraId="3E67E7E0" w14:textId="77777777" w:rsidR="00D24330" w:rsidRPr="00A96255" w:rsidRDefault="00D24330" w:rsidP="00D24330">
      <w:pPr>
        <w:pStyle w:val="MIndHeader"/>
      </w:pPr>
      <w:r w:rsidRPr="00A96255">
        <w:t>0.c. Indicator</w:t>
      </w:r>
    </w:p>
    <w:p w14:paraId="1F3F8289" w14:textId="77777777" w:rsidR="0070446E" w:rsidRPr="00E8754D" w:rsidRDefault="0070446E" w:rsidP="00B20619">
      <w:pPr>
        <w:pStyle w:val="MGTHeader"/>
        <w:rPr>
          <w:sz w:val="36"/>
          <w:szCs w:val="36"/>
        </w:rPr>
      </w:pPr>
      <w:r w:rsidRPr="00E8754D">
        <w:t>Indicator 12.6.1 Number of companies publishing sustainability reports</w:t>
      </w:r>
    </w:p>
    <w:p w14:paraId="37E5E4F6" w14:textId="77777777" w:rsidR="00D24330" w:rsidRPr="00A96255" w:rsidRDefault="00D24330" w:rsidP="00D24330">
      <w:pPr>
        <w:pStyle w:val="MIndHeader"/>
      </w:pPr>
      <w:r w:rsidRPr="00A96255">
        <w:t>0.d. Series</w:t>
      </w:r>
    </w:p>
    <w:p w14:paraId="771888BA" w14:textId="71DB713B"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0A93D19C" w:rsidR="00D24330" w:rsidRPr="00A96255" w:rsidRDefault="0005311E" w:rsidP="00D24330">
      <w:pPr>
        <w:pStyle w:val="MGTHeader"/>
      </w:pPr>
      <w:r>
        <w:t>March 2021</w:t>
      </w:r>
    </w:p>
    <w:p w14:paraId="415C9FF1" w14:textId="77777777" w:rsidR="00D24330" w:rsidRPr="00A96255" w:rsidRDefault="00D24330" w:rsidP="00D24330">
      <w:pPr>
        <w:pStyle w:val="MIndHeader"/>
      </w:pPr>
      <w:r w:rsidRPr="00A96255">
        <w:t>0.f. Related indicators</w:t>
      </w:r>
    </w:p>
    <w:p w14:paraId="21524279" w14:textId="6BF4D359" w:rsidR="00D24330" w:rsidRPr="00A96255" w:rsidRDefault="007B2F79" w:rsidP="00D24330">
      <w:pPr>
        <w:pStyle w:val="MGTHeader"/>
      </w:pPr>
      <w:r>
        <w:t>N/A</w:t>
      </w:r>
    </w:p>
    <w:p w14:paraId="077BC49E" w14:textId="77777777" w:rsidR="00D24330" w:rsidRPr="00A96255" w:rsidRDefault="00D24330" w:rsidP="00D24330">
      <w:pPr>
        <w:pStyle w:val="MIndHeader"/>
      </w:pPr>
      <w:r w:rsidRPr="00A96255">
        <w:t>0.g. International organisations(s) responsible for global monitoring</w:t>
      </w:r>
    </w:p>
    <w:p w14:paraId="38B91061" w14:textId="77777777" w:rsidR="009975AC" w:rsidRPr="00E8754D" w:rsidRDefault="009975AC" w:rsidP="00B20619">
      <w:pPr>
        <w:pStyle w:val="MGTHeader"/>
      </w:pPr>
      <w:r w:rsidRPr="00E8754D">
        <w:t>United Nations Conference on Trade and Development (UNCTAD)</w:t>
      </w:r>
    </w:p>
    <w:p w14:paraId="2EB63806" w14:textId="2E82377F" w:rsidR="009975AC" w:rsidRPr="009975AC" w:rsidRDefault="009975AC" w:rsidP="00B20619">
      <w:pPr>
        <w:pStyle w:val="MGTHeader"/>
        <w:rPr>
          <w:lang w:val="fr-FR"/>
        </w:rPr>
      </w:pPr>
      <w:r w:rsidRPr="009975AC">
        <w:rPr>
          <w:lang w:val="fr-FR"/>
        </w:rPr>
        <w:t xml:space="preserve">United Nations </w:t>
      </w:r>
      <w:proofErr w:type="spellStart"/>
      <w:r w:rsidRPr="009975AC">
        <w:rPr>
          <w:lang w:val="fr-FR"/>
        </w:rPr>
        <w:t>Environment</w:t>
      </w:r>
      <w:proofErr w:type="spellEnd"/>
      <w:r w:rsidRPr="009975AC">
        <w:rPr>
          <w:lang w:val="fr-FR"/>
        </w:rPr>
        <w:t xml:space="preserve"> Programme</w:t>
      </w:r>
      <w:r w:rsidR="0077679B">
        <w:rPr>
          <w:lang w:val="fr-FR"/>
        </w:rPr>
        <w:t>(</w:t>
      </w:r>
      <w:r w:rsidRPr="009975AC">
        <w:rPr>
          <w:lang w:val="fr-FR"/>
        </w:rPr>
        <w:t>UNEP)</w:t>
      </w:r>
    </w:p>
    <w:p w14:paraId="19F29921" w14:textId="77777777" w:rsidR="008D1D39" w:rsidRPr="007B2F79" w:rsidRDefault="008D1D39" w:rsidP="00573631">
      <w:pPr>
        <w:shd w:val="clear" w:color="auto" w:fill="FFFFFF"/>
        <w:spacing w:after="0"/>
        <w:rPr>
          <w:rFonts w:eastAsia="Times New Roman" w:cs="Times New Roman"/>
          <w:color w:val="4A4A4A"/>
          <w:sz w:val="21"/>
          <w:szCs w:val="21"/>
          <w:lang w:val="fr-FR"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5F86EE29" w14:textId="77777777" w:rsidR="009975AC" w:rsidRPr="00E8754D" w:rsidRDefault="009975AC" w:rsidP="009975AC">
      <w:pPr>
        <w:shd w:val="clear" w:color="auto" w:fill="FFFFFF"/>
        <w:spacing w:after="0"/>
        <w:rPr>
          <w:rFonts w:eastAsia="Times New Roman" w:cs="Times New Roman"/>
          <w:color w:val="4A4A4A"/>
          <w:sz w:val="21"/>
          <w:szCs w:val="21"/>
          <w:lang w:eastAsia="en-GB"/>
        </w:rPr>
      </w:pPr>
      <w:r w:rsidRPr="00E8754D">
        <w:rPr>
          <w:rFonts w:eastAsia="Times New Roman" w:cs="Times New Roman"/>
          <w:color w:val="4A4A4A"/>
          <w:sz w:val="21"/>
          <w:szCs w:val="21"/>
          <w:lang w:eastAsia="en-GB"/>
        </w:rPr>
        <w:t>United Nations Conference on Trade and Development (UNCTAD)</w:t>
      </w:r>
    </w:p>
    <w:p w14:paraId="566B830B" w14:textId="61A62D40" w:rsidR="009975AC" w:rsidRPr="009975AC" w:rsidRDefault="009975AC" w:rsidP="009975AC">
      <w:pPr>
        <w:shd w:val="clear" w:color="auto" w:fill="FFFFFF"/>
        <w:spacing w:after="0"/>
        <w:rPr>
          <w:rFonts w:eastAsia="Times New Roman" w:cs="Times New Roman"/>
          <w:color w:val="4A4A4A"/>
          <w:sz w:val="21"/>
          <w:szCs w:val="21"/>
          <w:lang w:val="fr-FR" w:eastAsia="en-GB"/>
        </w:rPr>
      </w:pPr>
      <w:r w:rsidRPr="009975AC">
        <w:rPr>
          <w:rFonts w:eastAsia="Times New Roman" w:cs="Times New Roman"/>
          <w:color w:val="4A4A4A"/>
          <w:sz w:val="21"/>
          <w:szCs w:val="21"/>
          <w:lang w:val="fr-FR" w:eastAsia="en-GB"/>
        </w:rPr>
        <w:t xml:space="preserve">United Nations </w:t>
      </w:r>
      <w:proofErr w:type="spellStart"/>
      <w:r w:rsidRPr="009975AC">
        <w:rPr>
          <w:rFonts w:eastAsia="Times New Roman" w:cs="Times New Roman"/>
          <w:color w:val="4A4A4A"/>
          <w:sz w:val="21"/>
          <w:szCs w:val="21"/>
          <w:lang w:val="fr-FR" w:eastAsia="en-GB"/>
        </w:rPr>
        <w:t>Environment</w:t>
      </w:r>
      <w:proofErr w:type="spellEnd"/>
      <w:r w:rsidRPr="009975AC">
        <w:rPr>
          <w:rFonts w:eastAsia="Times New Roman" w:cs="Times New Roman"/>
          <w:color w:val="4A4A4A"/>
          <w:sz w:val="21"/>
          <w:szCs w:val="21"/>
          <w:lang w:val="fr-FR" w:eastAsia="en-GB"/>
        </w:rPr>
        <w:t xml:space="preserve"> Programme</w:t>
      </w:r>
      <w:r w:rsidR="0077679B">
        <w:rPr>
          <w:rFonts w:eastAsia="Times New Roman" w:cs="Times New Roman"/>
          <w:color w:val="4A4A4A"/>
          <w:sz w:val="21"/>
          <w:szCs w:val="21"/>
          <w:lang w:val="fr-FR" w:eastAsia="en-GB"/>
        </w:rPr>
        <w:t>(</w:t>
      </w:r>
      <w:r w:rsidRPr="009975AC">
        <w:rPr>
          <w:rFonts w:eastAsia="Times New Roman" w:cs="Times New Roman"/>
          <w:color w:val="4A4A4A"/>
          <w:sz w:val="21"/>
          <w:szCs w:val="21"/>
          <w:lang w:val="fr-FR" w:eastAsia="en-GB"/>
        </w:rPr>
        <w:t>UNEP)</w:t>
      </w:r>
    </w:p>
    <w:p w14:paraId="6E829FD0" w14:textId="2439F30A" w:rsidR="00F719A8" w:rsidRPr="007B2F79" w:rsidRDefault="00F719A8" w:rsidP="00576CFA">
      <w:pPr>
        <w:pStyle w:val="MText"/>
        <w:rPr>
          <w:lang w:val="fr-FR"/>
        </w:rPr>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58A1661A" w14:textId="77777777" w:rsidR="00B20619" w:rsidRDefault="00D51E7C" w:rsidP="00B20619">
      <w:pPr>
        <w:pStyle w:val="MText"/>
        <w:rPr>
          <w:bCs/>
          <w:u w:val="single"/>
        </w:rPr>
      </w:pPr>
      <w:r w:rsidRPr="00B20619">
        <w:t>Definitions:</w:t>
      </w:r>
    </w:p>
    <w:p w14:paraId="6036A550" w14:textId="4247D41E" w:rsidR="00F50639" w:rsidRPr="00E8754D" w:rsidRDefault="00F50639" w:rsidP="00F50639">
      <w:p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u w:val="single"/>
          <w:lang w:eastAsia="en-GB"/>
        </w:rPr>
        <w:t>Sustainability Reports</w:t>
      </w:r>
      <w:r w:rsidRPr="00E8754D">
        <w:rPr>
          <w:rFonts w:eastAsia="Times New Roman" w:cs="Times New Roman"/>
          <w:bCs/>
          <w:color w:val="4A4A4A"/>
          <w:sz w:val="21"/>
          <w:szCs w:val="21"/>
          <w:lang w:eastAsia="en-GB"/>
        </w:rPr>
        <w:t xml:space="preserve">: </w:t>
      </w:r>
    </w:p>
    <w:p w14:paraId="2B70D1F2" w14:textId="77777777" w:rsidR="00F50639" w:rsidRPr="00E8754D" w:rsidRDefault="00F50639" w:rsidP="00F50639">
      <w:pPr>
        <w:shd w:val="clear" w:color="auto" w:fill="FFFFFF"/>
        <w:spacing w:after="0"/>
        <w:rPr>
          <w:rFonts w:eastAsia="Times New Roman" w:cs="Times New Roman"/>
          <w:bCs/>
          <w:color w:val="4A4A4A"/>
          <w:sz w:val="21"/>
          <w:szCs w:val="21"/>
          <w:u w:val="single"/>
          <w:lang w:eastAsia="en-GB"/>
        </w:rPr>
      </w:pPr>
      <w:r w:rsidRPr="00E8754D">
        <w:rPr>
          <w:rFonts w:eastAsia="Times New Roman" w:cs="Times New Roman"/>
          <w:bCs/>
          <w:color w:val="4A4A4A"/>
          <w:sz w:val="21"/>
          <w:szCs w:val="21"/>
          <w:lang w:eastAsia="en-GB"/>
        </w:rPr>
        <w:t xml:space="preserve">For the purposes of this indicator, ‘sustainability reports’ will not be limited to stand-alone sustainability reports produced by companies, but will be considered as ‘reporting sustainability information’ and expanded to other forms of reporting sustainability information, such as publishing sustainability information as part of the company’s annual reports or reporting sustainability information to the national government. This is to ensure that the focus of the indicator is on tracking the publishing of sustainability information, rather than on the practice of publishing stand-alone sustainability reports. It also ensures that the indicator interpretation is aligned with the wording of Target 12.6 which refers to promoting “the integration of sustainability information into the annual reporting cycle of companies”. </w:t>
      </w:r>
    </w:p>
    <w:p w14:paraId="2232E943" w14:textId="77777777" w:rsidR="00F50639" w:rsidRPr="00E8754D" w:rsidRDefault="00F50639" w:rsidP="00F50639">
      <w:pPr>
        <w:shd w:val="clear" w:color="auto" w:fill="FFFFFF"/>
        <w:spacing w:after="0"/>
        <w:rPr>
          <w:rFonts w:eastAsia="Times New Roman" w:cs="Times New Roman"/>
          <w:bCs/>
          <w:color w:val="4A4A4A"/>
          <w:sz w:val="21"/>
          <w:szCs w:val="21"/>
          <w:lang w:eastAsia="en-GB"/>
        </w:rPr>
      </w:pPr>
    </w:p>
    <w:p w14:paraId="162B7999" w14:textId="77777777" w:rsidR="00F50639" w:rsidRPr="00E8754D" w:rsidRDefault="00F50639" w:rsidP="00F50639">
      <w:p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lang w:eastAsia="en-GB"/>
        </w:rPr>
        <w:lastRenderedPageBreak/>
        <w:t xml:space="preserve">Not every report called ‘Sustainability Report’ will be counted towards the indicator. </w:t>
      </w:r>
      <w:proofErr w:type="gramStart"/>
      <w:r w:rsidRPr="00E8754D">
        <w:rPr>
          <w:rFonts w:eastAsia="Times New Roman" w:cs="Times New Roman"/>
          <w:bCs/>
          <w:color w:val="4A4A4A"/>
          <w:sz w:val="21"/>
          <w:szCs w:val="21"/>
          <w:lang w:eastAsia="en-GB"/>
        </w:rPr>
        <w:t>In order to</w:t>
      </w:r>
      <w:proofErr w:type="gramEnd"/>
      <w:r w:rsidRPr="00E8754D">
        <w:rPr>
          <w:rFonts w:eastAsia="Times New Roman" w:cs="Times New Roman"/>
          <w:bCs/>
          <w:color w:val="4A4A4A"/>
          <w:sz w:val="21"/>
          <w:szCs w:val="21"/>
          <w:lang w:eastAsia="en-GB"/>
        </w:rPr>
        <w:t xml:space="preserve"> be counted, they will have to comply with a ‘minimum requirement’ in terms of sustainability disclosures reported on (see below).</w:t>
      </w:r>
    </w:p>
    <w:p w14:paraId="1CE49649" w14:textId="77777777" w:rsidR="00F50639" w:rsidRPr="00E8754D" w:rsidRDefault="00F50639" w:rsidP="00F50639">
      <w:pPr>
        <w:shd w:val="clear" w:color="auto" w:fill="FFFFFF"/>
        <w:spacing w:after="0"/>
        <w:rPr>
          <w:rFonts w:eastAsia="Times New Roman" w:cs="Times New Roman"/>
          <w:bCs/>
          <w:color w:val="4A4A4A"/>
          <w:sz w:val="21"/>
          <w:szCs w:val="21"/>
          <w:lang w:eastAsia="en-GB"/>
        </w:rPr>
      </w:pPr>
    </w:p>
    <w:p w14:paraId="08662EBD" w14:textId="77777777" w:rsidR="00F50639" w:rsidRPr="00E8754D" w:rsidRDefault="00F50639" w:rsidP="00F50639">
      <w:pPr>
        <w:shd w:val="clear" w:color="auto" w:fill="FFFFFF"/>
        <w:spacing w:after="0"/>
        <w:rPr>
          <w:rFonts w:eastAsia="Times New Roman" w:cs="Times New Roman"/>
          <w:bCs/>
          <w:color w:val="4A4A4A"/>
          <w:sz w:val="21"/>
          <w:szCs w:val="21"/>
          <w:u w:val="single"/>
          <w:lang w:eastAsia="en-GB"/>
        </w:rPr>
      </w:pPr>
      <w:r w:rsidRPr="00E8754D">
        <w:rPr>
          <w:rFonts w:eastAsia="Times New Roman" w:cs="Times New Roman"/>
          <w:bCs/>
          <w:color w:val="4A4A4A"/>
          <w:sz w:val="21"/>
          <w:szCs w:val="21"/>
          <w:u w:val="single"/>
          <w:lang w:eastAsia="en-GB"/>
        </w:rPr>
        <w:t>Company:</w:t>
      </w:r>
    </w:p>
    <w:p w14:paraId="531BAF53" w14:textId="77777777" w:rsidR="00F50639" w:rsidRPr="00E8754D" w:rsidRDefault="00F50639" w:rsidP="00F50639">
      <w:p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lang w:eastAsia="en-GB"/>
        </w:rPr>
        <w:t>While many companies report at the group level, many of their impacts will be local, and some subsidiaries or franchises produce separate sustainability reports. As a practice that should be encouraged, and one that is useful to monitor, is therefore proposed to count both the group and subsidiary/franchise level separately, as separate entities.  “Company” can therefore apply to either the parent company, or a franchise or subsidiary, depending on their reporting practices.</w:t>
      </w:r>
    </w:p>
    <w:p w14:paraId="6821D280" w14:textId="77777777" w:rsidR="00F50639" w:rsidRPr="00E8754D" w:rsidRDefault="00F50639" w:rsidP="00F50639">
      <w:pPr>
        <w:shd w:val="clear" w:color="auto" w:fill="FFFFFF"/>
        <w:spacing w:after="0"/>
        <w:jc w:val="both"/>
        <w:rPr>
          <w:rFonts w:eastAsia="Times New Roman" w:cs="Times New Roman"/>
          <w:color w:val="4A4A4A"/>
          <w:sz w:val="21"/>
          <w:szCs w:val="21"/>
          <w:lang w:eastAsia="en-GB"/>
        </w:rPr>
      </w:pPr>
    </w:p>
    <w:p w14:paraId="530A391F" w14:textId="77777777" w:rsidR="00B20619" w:rsidRDefault="00D51E7C" w:rsidP="00B20619">
      <w:pPr>
        <w:pStyle w:val="MText"/>
        <w:rPr>
          <w:bCs/>
        </w:rPr>
      </w:pPr>
      <w:r w:rsidRPr="00B20619">
        <w:t>Concepts:</w:t>
      </w:r>
    </w:p>
    <w:p w14:paraId="17B9B081" w14:textId="09D1DCA4" w:rsidR="002F399F" w:rsidRPr="00E8754D" w:rsidRDefault="002F399F" w:rsidP="002F399F">
      <w:p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lang w:eastAsia="en-GB"/>
        </w:rPr>
        <w:t>It is proposed that, to be counted towards the indicator, companies must publish information that meets a “Minimum requirement” of disclosure. A core set of economic, environmental, social and governance disclosures of sustainability information is therefore identified. In defining these disclosure elements, the custodian agencies attempted to align with the disclosures that appear in existing related reporting frameworks, including the IIRC reporting framework, the Global Reporting Initiative Standard (GRI), the Sustainability Accounting Standards Board (SASB) (see Annex I for a comparison of the various sustainability disclosures contained under each.</w:t>
      </w:r>
    </w:p>
    <w:p w14:paraId="49B50B98" w14:textId="77777777" w:rsidR="002F399F" w:rsidRPr="00E8754D" w:rsidRDefault="002F399F" w:rsidP="002F399F">
      <w:pPr>
        <w:shd w:val="clear" w:color="auto" w:fill="FFFFFF"/>
        <w:spacing w:after="0"/>
        <w:rPr>
          <w:rFonts w:eastAsia="Times New Roman" w:cs="Times New Roman"/>
          <w:bCs/>
          <w:color w:val="4A4A4A"/>
          <w:sz w:val="21"/>
          <w:szCs w:val="21"/>
          <w:lang w:eastAsia="en-GB"/>
        </w:rPr>
      </w:pPr>
    </w:p>
    <w:p w14:paraId="418AB20A" w14:textId="77777777" w:rsidR="002F399F" w:rsidRPr="00E8754D" w:rsidRDefault="002F399F" w:rsidP="002F399F">
      <w:p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lang w:eastAsia="en-GB"/>
        </w:rPr>
        <w:t>It also attempts to align with the UNCTAD Core Indicators for company reporting on the contribution towards the attainment of the Sustainable Development Goals. UNCTAD has prepared Guidance on Core indicators for entity reporting on the contribution towards the attainment of the Sustainable Development Goals (SDGs) to support entities in the provision of information under indicator 12.6.1 and governments in assessing the private sector contribution to the SDGs. The Guidance reflects the Agreed Conclusions of the thirty-fourth session of the Intergovernmental Working Group of Experts on International Standards of Accounting and Reporting (ISAR), which in 2017 requested UNCTAD to develop the guiding document. The UNCTAD Guidance includes detailed definitions and data sources for the core indicators in the company accounts to assist the entities in the reporting.</w:t>
      </w:r>
    </w:p>
    <w:p w14:paraId="00DD1216" w14:textId="77777777" w:rsidR="002F399F" w:rsidRPr="00E8754D" w:rsidRDefault="002F399F" w:rsidP="002F399F">
      <w:pPr>
        <w:shd w:val="clear" w:color="auto" w:fill="FFFFFF"/>
        <w:spacing w:after="0"/>
        <w:rPr>
          <w:rFonts w:eastAsia="Times New Roman" w:cs="Times New Roman"/>
          <w:bCs/>
          <w:color w:val="4A4A4A"/>
          <w:sz w:val="21"/>
          <w:szCs w:val="21"/>
          <w:lang w:eastAsia="en-GB"/>
        </w:rPr>
      </w:pPr>
    </w:p>
    <w:p w14:paraId="3C0B9169" w14:textId="77777777" w:rsidR="002F399F" w:rsidRPr="00E8754D" w:rsidRDefault="002F399F" w:rsidP="002F399F">
      <w:p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lang w:eastAsia="en-GB"/>
        </w:rPr>
        <w:t>The purpose is not to create a new reporting standard or framework, but to ensure that the minimum requirement for Indicator 12.6.1 is aligned with existing global frameworks currently used by companies, so that they may continue to use these frameworks and be counted towards the indicator.</w:t>
      </w:r>
    </w:p>
    <w:p w14:paraId="22D6448F" w14:textId="77777777" w:rsidR="002F399F" w:rsidRPr="00E8754D" w:rsidRDefault="002F399F" w:rsidP="002F399F">
      <w:p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lang w:eastAsia="en-GB"/>
        </w:rPr>
        <w:t xml:space="preserve">While establishing a minimum requirement in terms of reporting ensures that only companies disclosing meaningful information on all aspects of sustainability are counted towards the indicator, it could be perceived as giving the message that the minimum suffices and that companies do not need to go beyond it. </w:t>
      </w:r>
    </w:p>
    <w:p w14:paraId="1110F7F8" w14:textId="77777777" w:rsidR="002F399F" w:rsidRPr="00E8754D" w:rsidRDefault="002F399F" w:rsidP="002F399F">
      <w:pPr>
        <w:shd w:val="clear" w:color="auto" w:fill="FFFFFF"/>
        <w:spacing w:after="0"/>
        <w:rPr>
          <w:rFonts w:eastAsia="Times New Roman" w:cs="Times New Roman"/>
          <w:bCs/>
          <w:color w:val="4A4A4A"/>
          <w:sz w:val="21"/>
          <w:szCs w:val="21"/>
          <w:lang w:eastAsia="en-GB"/>
        </w:rPr>
      </w:pPr>
    </w:p>
    <w:p w14:paraId="5305ACA6" w14:textId="77777777" w:rsidR="002F399F" w:rsidRPr="00E8754D" w:rsidRDefault="002F399F" w:rsidP="002F399F">
      <w:p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lang w:eastAsia="en-GB"/>
        </w:rPr>
        <w:t>Therefore, it is proposed that the methodology include an advanced level, with a further set of disclosure elements which would further provide impetus for examining and reporting on the sustainability practices and impacts of the company. These include: 1) stakeholder engagement, 2) assessing impacts beyond the company boundaries and along the supply chain; 3) supplier and consumer engagement on sustainability issues; 4) procurement and sourcing practices; and 5) environmental performance information in the form of intensity values to be monitored over time, such as consumption of energy, water or materials per unit of production or per unit of profit.</w:t>
      </w:r>
    </w:p>
    <w:p w14:paraId="1BBD480E" w14:textId="77777777" w:rsidR="002F399F" w:rsidRPr="00E8754D" w:rsidRDefault="002F399F" w:rsidP="002F399F">
      <w:pPr>
        <w:shd w:val="clear" w:color="auto" w:fill="FFFFFF"/>
        <w:spacing w:after="0"/>
        <w:rPr>
          <w:rFonts w:eastAsia="Times New Roman" w:cs="Times New Roman"/>
          <w:bCs/>
          <w:color w:val="4A4A4A"/>
          <w:sz w:val="21"/>
          <w:szCs w:val="21"/>
          <w:lang w:eastAsia="en-GB"/>
        </w:rPr>
      </w:pPr>
    </w:p>
    <w:p w14:paraId="4781FC34" w14:textId="77777777" w:rsidR="002F399F" w:rsidRPr="00E8754D" w:rsidRDefault="002F399F" w:rsidP="002F399F">
      <w:p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lang w:eastAsia="en-GB"/>
        </w:rPr>
        <w:lastRenderedPageBreak/>
        <w:t>Having different levels will also allow for information to be collected on the degree of reporting of different companies, including whether the same companies produce more ambitious reports, and go further in their sustainability practices with time, such as through supplier engagement. It would allow for companies who are beginning to produce sustainability reports to be counted towards the indicator once they achieve the minimum level, but provide incentive, through their inclusion in the indicator count, for them to work towards more ambitious reporting and demonstrate their progress over time.</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3F22C90A" w:rsidR="00576CFA" w:rsidRPr="00A96255" w:rsidRDefault="00576CFA" w:rsidP="00576CFA">
      <w:pPr>
        <w:pStyle w:val="MText"/>
      </w:pPr>
    </w:p>
    <w:p w14:paraId="548E9AAA" w14:textId="4B7B1BF6" w:rsidR="00EC2915" w:rsidRDefault="0077679B" w:rsidP="00576CFA">
      <w:pPr>
        <w:pStyle w:val="MText"/>
      </w:pPr>
      <w:r>
        <w:t>Number of companies</w:t>
      </w:r>
    </w:p>
    <w:p w14:paraId="4CEC8A40" w14:textId="77777777" w:rsidR="0005311E" w:rsidRPr="00A96255" w:rsidRDefault="0005311E" w:rsidP="00576CFA">
      <w:pPr>
        <w:pStyle w:val="MText"/>
      </w:pPr>
    </w:p>
    <w:p w14:paraId="651AA7AC" w14:textId="5144B8C4" w:rsidR="00DA615C" w:rsidRPr="00A96255" w:rsidRDefault="008B0AC7" w:rsidP="00F719A8">
      <w:pPr>
        <w:pStyle w:val="MHeader2"/>
      </w:pPr>
      <w:r w:rsidRPr="00A96255">
        <w:t>2.c. Classifications</w:t>
      </w:r>
    </w:p>
    <w:p w14:paraId="6291A7DD" w14:textId="348767D7" w:rsidR="00576CFA" w:rsidRPr="00A96255" w:rsidRDefault="00576CFA" w:rsidP="00576CFA">
      <w:pPr>
        <w:pStyle w:val="MText"/>
      </w:pP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906CB56" w14:textId="77777777" w:rsidR="003249C3" w:rsidRPr="00E8754D" w:rsidRDefault="003249C3" w:rsidP="003249C3">
      <w:pPr>
        <w:shd w:val="clear" w:color="auto" w:fill="FFFFFF"/>
        <w:spacing w:after="0"/>
        <w:rPr>
          <w:rFonts w:eastAsia="Times New Roman" w:cs="Times New Roman"/>
          <w:color w:val="4A4A4A"/>
          <w:sz w:val="21"/>
          <w:szCs w:val="21"/>
          <w:lang w:eastAsia="en-GB"/>
        </w:rPr>
      </w:pPr>
    </w:p>
    <w:p w14:paraId="64B357D0" w14:textId="77777777" w:rsidR="003249C3" w:rsidRPr="00E8754D" w:rsidRDefault="003249C3" w:rsidP="003249C3">
      <w:pPr>
        <w:pStyle w:val="ListParagraph"/>
        <w:numPr>
          <w:ilvl w:val="0"/>
          <w:numId w:val="12"/>
        </w:numPr>
        <w:shd w:val="clear" w:color="auto" w:fill="FFFFFF"/>
        <w:spacing w:after="0"/>
        <w:rPr>
          <w:rFonts w:eastAsia="Times New Roman" w:cs="Times New Roman"/>
          <w:color w:val="4A4A4A"/>
          <w:sz w:val="21"/>
          <w:szCs w:val="21"/>
          <w:lang w:eastAsia="en-GB"/>
        </w:rPr>
      </w:pPr>
      <w:r w:rsidRPr="00E8754D">
        <w:rPr>
          <w:rFonts w:eastAsia="Times New Roman" w:cs="Times New Roman"/>
          <w:color w:val="4A4A4A"/>
          <w:sz w:val="21"/>
          <w:szCs w:val="21"/>
          <w:lang w:eastAsia="en-GB"/>
        </w:rPr>
        <w:t>Existing global and national repositories of sustainability reports (see tentative list in Annex II)</w:t>
      </w:r>
    </w:p>
    <w:p w14:paraId="4F3CC1E5" w14:textId="77777777" w:rsidR="003249C3" w:rsidRPr="00E8754D" w:rsidRDefault="003249C3" w:rsidP="003249C3">
      <w:pPr>
        <w:pStyle w:val="ListParagraph"/>
        <w:numPr>
          <w:ilvl w:val="0"/>
          <w:numId w:val="12"/>
        </w:numPr>
        <w:shd w:val="clear" w:color="auto" w:fill="FFFFFF"/>
        <w:spacing w:after="0"/>
        <w:rPr>
          <w:rFonts w:eastAsia="Times New Roman" w:cs="Times New Roman"/>
          <w:color w:val="4A4A4A"/>
          <w:sz w:val="21"/>
          <w:szCs w:val="21"/>
          <w:lang w:eastAsia="en-GB"/>
        </w:rPr>
      </w:pPr>
      <w:r w:rsidRPr="00E8754D">
        <w:rPr>
          <w:rFonts w:eastAsia="Times New Roman" w:cs="Times New Roman"/>
          <w:color w:val="4A4A4A"/>
          <w:sz w:val="21"/>
          <w:szCs w:val="21"/>
          <w:lang w:eastAsia="en-GB"/>
        </w:rPr>
        <w:t xml:space="preserve">Data provided by national governments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3D462E7D" w14:textId="77777777" w:rsidR="000F5F80" w:rsidRPr="00E8754D" w:rsidRDefault="000F5F80" w:rsidP="000F5F80">
      <w:pPr>
        <w:pStyle w:val="GHFeaturedlist"/>
        <w:numPr>
          <w:ilvl w:val="0"/>
          <w:numId w:val="0"/>
        </w:numPr>
        <w:spacing w:after="0" w:line="240" w:lineRule="auto"/>
        <w:contextualSpacing w:val="0"/>
        <w:rPr>
          <w:rFonts w:ascii="Calibri" w:hAnsi="Calibri"/>
          <w:color w:val="595959" w:themeColor="text1" w:themeTint="A6"/>
          <w:sz w:val="21"/>
        </w:rPr>
      </w:pPr>
      <w:r w:rsidRPr="00E8754D">
        <w:rPr>
          <w:rFonts w:ascii="Calibri" w:hAnsi="Calibri"/>
          <w:color w:val="595959" w:themeColor="text1" w:themeTint="A6"/>
          <w:sz w:val="21"/>
        </w:rPr>
        <w:t xml:space="preserve">The custodian agencies propose to establish a global platform or database which would: </w:t>
      </w:r>
    </w:p>
    <w:p w14:paraId="48725344" w14:textId="77777777" w:rsidR="000F5F80" w:rsidRPr="00E8754D" w:rsidRDefault="000F5F80" w:rsidP="000F5F80">
      <w:pPr>
        <w:pStyle w:val="GHFeaturedlist"/>
        <w:numPr>
          <w:ilvl w:val="0"/>
          <w:numId w:val="13"/>
        </w:numPr>
        <w:spacing w:after="0" w:line="240" w:lineRule="auto"/>
        <w:contextualSpacing w:val="0"/>
        <w:rPr>
          <w:rFonts w:ascii="Calibri" w:hAnsi="Calibri"/>
          <w:color w:val="595959" w:themeColor="text1" w:themeTint="A6"/>
          <w:sz w:val="21"/>
        </w:rPr>
      </w:pPr>
      <w:r w:rsidRPr="00E8754D">
        <w:rPr>
          <w:rFonts w:ascii="Calibri" w:hAnsi="Calibri"/>
          <w:color w:val="595959" w:themeColor="text1" w:themeTint="A6"/>
          <w:sz w:val="21"/>
        </w:rPr>
        <w:t>Collate and analyse sustainability reports through advanced analytics to determine coherence with the minimum requirement and advanced level</w:t>
      </w:r>
    </w:p>
    <w:p w14:paraId="64F13A15" w14:textId="77777777" w:rsidR="000F5F80" w:rsidRPr="00E8754D" w:rsidRDefault="000F5F80" w:rsidP="000F5F80">
      <w:pPr>
        <w:pStyle w:val="GHFeaturedlist"/>
        <w:numPr>
          <w:ilvl w:val="0"/>
          <w:numId w:val="13"/>
        </w:numPr>
        <w:spacing w:after="0" w:line="240" w:lineRule="auto"/>
        <w:contextualSpacing w:val="0"/>
        <w:rPr>
          <w:rFonts w:ascii="Calibri" w:hAnsi="Calibri"/>
          <w:color w:val="595959" w:themeColor="text1" w:themeTint="A6"/>
          <w:sz w:val="21"/>
        </w:rPr>
      </w:pPr>
      <w:r w:rsidRPr="00E8754D">
        <w:rPr>
          <w:rFonts w:ascii="Calibri" w:hAnsi="Calibri"/>
          <w:color w:val="595959" w:themeColor="text1" w:themeTint="A6"/>
          <w:sz w:val="21"/>
        </w:rPr>
        <w:t xml:space="preserve">Provide country specific information </w:t>
      </w:r>
    </w:p>
    <w:p w14:paraId="154E246D" w14:textId="77777777" w:rsidR="000F5F80" w:rsidRPr="00E8754D" w:rsidRDefault="000F5F80" w:rsidP="000F5F80">
      <w:pPr>
        <w:pStyle w:val="GHFeaturedlist"/>
        <w:numPr>
          <w:ilvl w:val="0"/>
          <w:numId w:val="13"/>
        </w:numPr>
        <w:spacing w:after="0" w:line="240" w:lineRule="auto"/>
        <w:contextualSpacing w:val="0"/>
        <w:rPr>
          <w:rFonts w:ascii="Calibri" w:hAnsi="Calibri"/>
          <w:color w:val="595959" w:themeColor="text1" w:themeTint="A6"/>
          <w:sz w:val="21"/>
        </w:rPr>
      </w:pPr>
      <w:r w:rsidRPr="00E8754D">
        <w:rPr>
          <w:rFonts w:ascii="Calibri" w:hAnsi="Calibri"/>
          <w:color w:val="595959" w:themeColor="text1" w:themeTint="A6"/>
          <w:sz w:val="21"/>
        </w:rPr>
        <w:t>Aggregate data at sub-regional, regional and global levels (avoiding double-counting of the same companies)</w:t>
      </w:r>
    </w:p>
    <w:p w14:paraId="71D8398B" w14:textId="77777777" w:rsidR="000F5F80" w:rsidRPr="00E8754D" w:rsidRDefault="000F5F80" w:rsidP="000F5F80">
      <w:pPr>
        <w:pStyle w:val="GHFeaturedlist"/>
        <w:numPr>
          <w:ilvl w:val="0"/>
          <w:numId w:val="13"/>
        </w:numPr>
        <w:spacing w:after="0" w:line="240" w:lineRule="auto"/>
        <w:contextualSpacing w:val="0"/>
        <w:rPr>
          <w:rFonts w:ascii="Calibri" w:hAnsi="Calibri"/>
          <w:color w:val="595959" w:themeColor="text1" w:themeTint="A6"/>
          <w:sz w:val="21"/>
        </w:rPr>
      </w:pPr>
      <w:r w:rsidRPr="00E8754D">
        <w:rPr>
          <w:rFonts w:ascii="Calibri" w:hAnsi="Calibri"/>
          <w:color w:val="595959" w:themeColor="text1" w:themeTint="A6"/>
          <w:sz w:val="21"/>
        </w:rPr>
        <w:t>Disaggregate data (company size, per industry)</w:t>
      </w:r>
    </w:p>
    <w:p w14:paraId="0F24826F" w14:textId="77777777" w:rsidR="000F5F80" w:rsidRPr="00E8754D" w:rsidRDefault="000F5F80" w:rsidP="000F5F80">
      <w:pPr>
        <w:pStyle w:val="GHFeaturedlist"/>
        <w:numPr>
          <w:ilvl w:val="0"/>
          <w:numId w:val="0"/>
        </w:numPr>
        <w:spacing w:after="120" w:line="240" w:lineRule="auto"/>
        <w:contextualSpacing w:val="0"/>
        <w:rPr>
          <w:rFonts w:ascii="Calibri" w:hAnsi="Calibri"/>
          <w:color w:val="595959" w:themeColor="text1" w:themeTint="A6"/>
          <w:sz w:val="21"/>
        </w:rPr>
      </w:pPr>
    </w:p>
    <w:p w14:paraId="06AC9666" w14:textId="77777777" w:rsidR="000F5F80" w:rsidRPr="00E8754D" w:rsidRDefault="000F5F80" w:rsidP="000F5F80">
      <w:pPr>
        <w:pStyle w:val="GHFeaturedlist"/>
        <w:numPr>
          <w:ilvl w:val="0"/>
          <w:numId w:val="0"/>
        </w:numPr>
        <w:spacing w:after="120" w:line="240" w:lineRule="auto"/>
        <w:contextualSpacing w:val="0"/>
        <w:rPr>
          <w:rFonts w:ascii="Calibri" w:hAnsi="Calibri"/>
          <w:color w:val="595959" w:themeColor="text1" w:themeTint="A6"/>
          <w:sz w:val="21"/>
        </w:rPr>
      </w:pPr>
      <w:r w:rsidRPr="00E8754D">
        <w:rPr>
          <w:rFonts w:ascii="Calibri" w:hAnsi="Calibri"/>
          <w:color w:val="595959" w:themeColor="text1" w:themeTint="A6"/>
          <w:sz w:val="21"/>
        </w:rPr>
        <w:t>The Custodian Agencies will mine existing global and national-level report aggregators, to analyse the reports included in their databases. A preliminary list of repositories is included in Annex II.</w:t>
      </w:r>
    </w:p>
    <w:p w14:paraId="261271C4" w14:textId="77777777" w:rsidR="000F5F80" w:rsidRPr="00E8754D" w:rsidRDefault="000F5F80" w:rsidP="000F5F80">
      <w:pPr>
        <w:pStyle w:val="GHFeaturedlist"/>
        <w:numPr>
          <w:ilvl w:val="0"/>
          <w:numId w:val="0"/>
        </w:numPr>
        <w:spacing w:after="120" w:line="240" w:lineRule="auto"/>
        <w:contextualSpacing w:val="0"/>
        <w:rPr>
          <w:rFonts w:ascii="Calibri" w:hAnsi="Calibri"/>
          <w:color w:val="595959" w:themeColor="text1" w:themeTint="A6"/>
          <w:sz w:val="21"/>
        </w:rPr>
      </w:pPr>
      <w:r w:rsidRPr="00E8754D">
        <w:rPr>
          <w:rFonts w:ascii="Calibri" w:hAnsi="Calibri"/>
          <w:color w:val="595959" w:themeColor="text1" w:themeTint="A6"/>
          <w:sz w:val="21"/>
        </w:rPr>
        <w:t>Provision will also be made for manual submission by individual report generators. This is particularly important for small companies whose reports may not be included in the global databases.</w:t>
      </w:r>
    </w:p>
    <w:p w14:paraId="2CA33436" w14:textId="77777777" w:rsidR="000F5F80" w:rsidRPr="00E8754D" w:rsidRDefault="000F5F80" w:rsidP="000F5F80">
      <w:pPr>
        <w:pStyle w:val="GHFeaturedlist"/>
        <w:numPr>
          <w:ilvl w:val="0"/>
          <w:numId w:val="0"/>
        </w:numPr>
        <w:spacing w:after="120" w:line="240" w:lineRule="auto"/>
        <w:contextualSpacing w:val="0"/>
        <w:rPr>
          <w:rFonts w:ascii="Calibri" w:hAnsi="Calibri"/>
          <w:color w:val="595959" w:themeColor="text1" w:themeTint="A6"/>
          <w:sz w:val="21"/>
        </w:rPr>
      </w:pPr>
      <w:r w:rsidRPr="00E8754D">
        <w:rPr>
          <w:rFonts w:ascii="Calibri" w:hAnsi="Calibri"/>
          <w:color w:val="595959" w:themeColor="text1" w:themeTint="A6"/>
          <w:sz w:val="21"/>
        </w:rPr>
        <w:t xml:space="preserve">Advanced analytics will scan the report content and determine their compliance with the minimum standard or advanced level. They will also assign each company to a country according to the criteria listed above, to determine the number of companies per country publishing sustainability information. </w:t>
      </w:r>
    </w:p>
    <w:p w14:paraId="0C16C473" w14:textId="77777777" w:rsidR="000F5F80" w:rsidRPr="00E8754D" w:rsidRDefault="000F5F80" w:rsidP="000F5F80">
      <w:pPr>
        <w:pStyle w:val="GHFeaturedlist"/>
        <w:numPr>
          <w:ilvl w:val="0"/>
          <w:numId w:val="0"/>
        </w:numPr>
        <w:spacing w:after="120" w:line="240" w:lineRule="auto"/>
        <w:contextualSpacing w:val="0"/>
        <w:rPr>
          <w:rFonts w:ascii="Calibri" w:hAnsi="Calibri"/>
          <w:color w:val="595959" w:themeColor="text1" w:themeTint="A6"/>
          <w:sz w:val="21"/>
        </w:rPr>
      </w:pPr>
      <w:r w:rsidRPr="00E8754D">
        <w:rPr>
          <w:rFonts w:ascii="Calibri" w:hAnsi="Calibri"/>
          <w:color w:val="595959" w:themeColor="text1" w:themeTint="A6"/>
          <w:sz w:val="21"/>
        </w:rPr>
        <w:t xml:space="preserve">This information will be communicated to each government individually, for their validation. They will also </w:t>
      </w:r>
      <w:proofErr w:type="gramStart"/>
      <w:r w:rsidRPr="00E8754D">
        <w:rPr>
          <w:rFonts w:ascii="Calibri" w:hAnsi="Calibri"/>
          <w:color w:val="595959" w:themeColor="text1" w:themeTint="A6"/>
          <w:sz w:val="21"/>
        </w:rPr>
        <w:t>have the opportunity to</w:t>
      </w:r>
      <w:proofErr w:type="gramEnd"/>
      <w:r w:rsidRPr="00E8754D">
        <w:rPr>
          <w:rFonts w:ascii="Calibri" w:hAnsi="Calibri"/>
          <w:color w:val="595959" w:themeColor="text1" w:themeTint="A6"/>
          <w:sz w:val="21"/>
        </w:rPr>
        <w:t xml:space="preserve"> seek clarification, contest the information, or provide complementary data to the custodian agencies for inclusion in the indicator count.</w:t>
      </w:r>
    </w:p>
    <w:p w14:paraId="607B3888" w14:textId="77777777" w:rsidR="000F5F80" w:rsidRPr="00E8754D" w:rsidRDefault="000F5F80" w:rsidP="000F5F80">
      <w:pPr>
        <w:pStyle w:val="GHFeaturedlist"/>
        <w:numPr>
          <w:ilvl w:val="0"/>
          <w:numId w:val="0"/>
        </w:numPr>
        <w:spacing w:after="120" w:line="240" w:lineRule="auto"/>
        <w:contextualSpacing w:val="0"/>
        <w:rPr>
          <w:rFonts w:ascii="Calibri" w:hAnsi="Calibri"/>
          <w:color w:val="595959" w:themeColor="text1" w:themeTint="A6"/>
          <w:sz w:val="21"/>
        </w:rPr>
      </w:pPr>
      <w:r w:rsidRPr="00E8754D">
        <w:rPr>
          <w:rFonts w:ascii="Calibri" w:hAnsi="Calibri"/>
          <w:color w:val="595959" w:themeColor="text1" w:themeTint="A6"/>
          <w:sz w:val="21"/>
        </w:rPr>
        <w:t xml:space="preserve">The platform will also automate the aggregation of data to obtain a global figure as well as data per UN sub-region and region for inclusion in the Global SDGs Database, and as a basis for the analysis of progress </w:t>
      </w:r>
      <w:r w:rsidRPr="00E8754D">
        <w:rPr>
          <w:rFonts w:ascii="Calibri" w:hAnsi="Calibri"/>
          <w:color w:val="595959" w:themeColor="text1" w:themeTint="A6"/>
          <w:sz w:val="21"/>
        </w:rPr>
        <w:lastRenderedPageBreak/>
        <w:t>carried out annually for the United Nations Sustainable Development Goals Report and Secretary General’s Report on Progress towards the Sustainable Development Goals.</w:t>
      </w:r>
    </w:p>
    <w:p w14:paraId="7234A18E" w14:textId="77777777" w:rsidR="000F5F80" w:rsidRPr="00E8754D" w:rsidRDefault="000F5F80" w:rsidP="000F5F80">
      <w:pPr>
        <w:shd w:val="clear" w:color="auto" w:fill="FFFFFF"/>
        <w:spacing w:after="0"/>
        <w:rPr>
          <w:rFonts w:eastAsia="Times New Roman" w:cs="Times New Roman"/>
          <w:color w:val="4A4A4A"/>
          <w:sz w:val="21"/>
          <w:szCs w:val="21"/>
          <w:lang w:eastAsia="en-GB"/>
        </w:rPr>
      </w:pPr>
      <w:r w:rsidRPr="00E8754D">
        <w:rPr>
          <w:rFonts w:eastAsia="Times New Roman" w:cs="Times New Roman"/>
          <w:color w:val="4A4A4A"/>
          <w:sz w:val="21"/>
          <w:szCs w:val="21"/>
          <w:lang w:eastAsia="en-GB"/>
        </w:rPr>
        <w:t>The platform will be online and open access. It will include filters so that governments or other stakeholders will eb able to filter the information themselves, per country, sector, company size or disclosure element, to obtain the desired information.</w:t>
      </w:r>
    </w:p>
    <w:p w14:paraId="6826B0DB" w14:textId="77777777" w:rsidR="000F5F80" w:rsidRPr="00E8754D" w:rsidRDefault="000F5F80" w:rsidP="000F5F80">
      <w:pPr>
        <w:shd w:val="clear" w:color="auto" w:fill="FFFFFF"/>
        <w:spacing w:after="0"/>
        <w:rPr>
          <w:rFonts w:eastAsia="Times New Roman" w:cs="Times New Roman"/>
          <w:color w:val="4A4A4A"/>
          <w:sz w:val="21"/>
          <w:szCs w:val="21"/>
          <w:lang w:eastAsia="en-GB"/>
        </w:rPr>
      </w:pPr>
    </w:p>
    <w:p w14:paraId="2F5BAD88" w14:textId="77777777" w:rsidR="000F5F80" w:rsidRPr="00E8754D" w:rsidRDefault="000F5F80" w:rsidP="000F5F80">
      <w:pPr>
        <w:pStyle w:val="ListParagraph"/>
        <w:numPr>
          <w:ilvl w:val="0"/>
          <w:numId w:val="14"/>
        </w:numPr>
        <w:shd w:val="clear" w:color="auto" w:fill="FFFFFF"/>
        <w:spacing w:after="0"/>
        <w:rPr>
          <w:rFonts w:eastAsia="Times New Roman" w:cs="Times New Roman"/>
          <w:color w:val="4A4A4A"/>
          <w:sz w:val="21"/>
          <w:szCs w:val="21"/>
          <w:lang w:eastAsia="en-GB"/>
        </w:rPr>
      </w:pPr>
      <w:r w:rsidRPr="00E8754D">
        <w:rPr>
          <w:rFonts w:eastAsia="Times New Roman" w:cs="Times New Roman"/>
          <w:color w:val="4A4A4A"/>
          <w:sz w:val="21"/>
          <w:szCs w:val="21"/>
          <w:lang w:eastAsia="en-GB"/>
        </w:rPr>
        <w:t>While the platform will provide data for each country, this will be sent to each government for review and verification. Each government will be able to propose amendments to the data should they have further information to complement that provided by the database.</w:t>
      </w:r>
    </w:p>
    <w:p w14:paraId="6B1D0A6D" w14:textId="77777777" w:rsidR="000F5F80" w:rsidRPr="00E8754D" w:rsidRDefault="000F5F80" w:rsidP="000F5F80">
      <w:pPr>
        <w:pStyle w:val="ListParagraph"/>
        <w:numPr>
          <w:ilvl w:val="0"/>
          <w:numId w:val="14"/>
        </w:numPr>
        <w:shd w:val="clear" w:color="auto" w:fill="FFFFFF"/>
        <w:spacing w:after="0"/>
        <w:rPr>
          <w:rFonts w:eastAsia="Times New Roman" w:cs="Times New Roman"/>
          <w:color w:val="4A4A4A"/>
          <w:sz w:val="21"/>
          <w:szCs w:val="21"/>
          <w:lang w:eastAsia="en-GB"/>
        </w:rPr>
      </w:pPr>
      <w:r w:rsidRPr="00E8754D">
        <w:rPr>
          <w:rFonts w:eastAsia="Times New Roman" w:cs="Times New Roman"/>
          <w:color w:val="4A4A4A"/>
          <w:sz w:val="21"/>
          <w:szCs w:val="21"/>
          <w:lang w:eastAsia="en-GB"/>
        </w:rPr>
        <w:t>While common definitions of company size, industries (defined below), etc. are required to be used by the custodian agencies for analysis and aggregation at regional and global levels and reporting to the SDGs Report, national governments may choose to use different definitions for their own analysis and reporting, such as for their Voluntary National Reviews (VNRs). Filters will be included on the online platform for the database which will allow governments and other users to filter information according to their own national definitions.</w:t>
      </w:r>
    </w:p>
    <w:p w14:paraId="023EB5A8" w14:textId="4A3E4748" w:rsidR="00C833CA" w:rsidRDefault="00C833CA" w:rsidP="00F719A8">
      <w:pPr>
        <w:pStyle w:val="MHeader2"/>
      </w:pPr>
    </w:p>
    <w:p w14:paraId="170A2C05" w14:textId="0442658E" w:rsidR="00E46D96" w:rsidRPr="00A96255" w:rsidRDefault="00E46D96" w:rsidP="00F719A8">
      <w:pPr>
        <w:pStyle w:val="MHeader2"/>
      </w:pPr>
      <w:r w:rsidRPr="00A96255">
        <w:t>3.c. Data collection calendar</w:t>
      </w:r>
    </w:p>
    <w:p w14:paraId="1C175887" w14:textId="77777777" w:rsidR="00C833CA" w:rsidRPr="00E8754D" w:rsidRDefault="00C833CA" w:rsidP="00C833CA">
      <w:pPr>
        <w:shd w:val="clear" w:color="auto" w:fill="FFFFFF"/>
        <w:spacing w:after="0"/>
        <w:rPr>
          <w:rFonts w:eastAsia="Times New Roman" w:cs="Times New Roman"/>
          <w:color w:val="4A4A4A"/>
          <w:sz w:val="21"/>
          <w:szCs w:val="21"/>
          <w:lang w:eastAsia="en-GB"/>
        </w:rPr>
      </w:pPr>
    </w:p>
    <w:p w14:paraId="46ABF5F4" w14:textId="77777777" w:rsidR="00C833CA" w:rsidRPr="00E8754D" w:rsidRDefault="00C833CA" w:rsidP="00C833CA">
      <w:pPr>
        <w:pStyle w:val="ListParagraph"/>
        <w:keepNext/>
        <w:keepLines/>
        <w:numPr>
          <w:ilvl w:val="0"/>
          <w:numId w:val="15"/>
        </w:numPr>
        <w:shd w:val="clear" w:color="auto" w:fill="FFFFFF"/>
        <w:spacing w:after="0"/>
        <w:jc w:val="both"/>
        <w:rPr>
          <w:rFonts w:eastAsia="Times New Roman" w:cs="Times New Roman"/>
          <w:color w:val="4A4A4A"/>
          <w:sz w:val="21"/>
          <w:szCs w:val="21"/>
          <w:lang w:eastAsia="en-GB"/>
        </w:rPr>
      </w:pPr>
      <w:r w:rsidRPr="00E8754D">
        <w:rPr>
          <w:rFonts w:eastAsia="Times New Roman" w:cs="Times New Roman"/>
          <w:color w:val="4A4A4A"/>
          <w:sz w:val="21"/>
          <w:szCs w:val="21"/>
          <w:lang w:eastAsia="en-GB"/>
        </w:rPr>
        <w:t>First data collection: Expected in early 2020 for 2019 company reports</w:t>
      </w:r>
    </w:p>
    <w:p w14:paraId="4E077359" w14:textId="77777777" w:rsidR="00C833CA" w:rsidRPr="00E8754D" w:rsidRDefault="00C833CA" w:rsidP="00C833CA">
      <w:pPr>
        <w:pStyle w:val="ListParagraph"/>
        <w:keepNext/>
        <w:keepLines/>
        <w:shd w:val="clear" w:color="auto" w:fill="FFFFFF"/>
        <w:spacing w:after="0"/>
        <w:jc w:val="both"/>
        <w:rPr>
          <w:rFonts w:eastAsia="Times New Roman" w:cs="Times New Roman"/>
          <w:color w:val="4A4A4A"/>
          <w:sz w:val="21"/>
          <w:szCs w:val="21"/>
          <w:lang w:eastAsia="en-GB"/>
        </w:rPr>
      </w:pPr>
      <w:r w:rsidRPr="00E8754D">
        <w:rPr>
          <w:rFonts w:eastAsia="Times New Roman" w:cs="Times New Roman"/>
          <w:color w:val="4A4A4A"/>
          <w:sz w:val="21"/>
          <w:szCs w:val="21"/>
          <w:lang w:eastAsia="en-GB"/>
        </w:rPr>
        <w:t>Annually thereafter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69F509E7" w14:textId="77777777" w:rsidR="00E71628" w:rsidRPr="00B20619" w:rsidRDefault="00E71628" w:rsidP="00E71628">
      <w:pPr>
        <w:pStyle w:val="ListParagraph"/>
        <w:keepNext/>
        <w:keepLines/>
        <w:numPr>
          <w:ilvl w:val="0"/>
          <w:numId w:val="16"/>
        </w:numPr>
        <w:shd w:val="clear" w:color="auto" w:fill="FFFFFF"/>
        <w:spacing w:after="0"/>
        <w:jc w:val="both"/>
        <w:rPr>
          <w:rFonts w:eastAsia="Times New Roman" w:cs="Times New Roman"/>
          <w:color w:val="4A4A4A"/>
          <w:sz w:val="21"/>
          <w:szCs w:val="21"/>
          <w:lang w:eastAsia="en-GB"/>
        </w:rPr>
      </w:pPr>
      <w:r w:rsidRPr="00B20619">
        <w:rPr>
          <w:rFonts w:eastAsia="Times New Roman" w:cs="Times New Roman"/>
          <w:color w:val="4A4A4A"/>
          <w:sz w:val="21"/>
          <w:szCs w:val="21"/>
          <w:lang w:eastAsia="en-GB"/>
        </w:rPr>
        <w:t>First reporting cycle: 2020</w:t>
      </w:r>
    </w:p>
    <w:p w14:paraId="7889CD17" w14:textId="77777777" w:rsidR="00E71628" w:rsidRPr="00B20619" w:rsidRDefault="00E71628" w:rsidP="00E71628">
      <w:pPr>
        <w:pStyle w:val="ListParagraph"/>
        <w:keepNext/>
        <w:keepLines/>
        <w:shd w:val="clear" w:color="auto" w:fill="FFFFFF"/>
        <w:spacing w:after="0"/>
        <w:jc w:val="both"/>
        <w:rPr>
          <w:rFonts w:eastAsia="Times New Roman" w:cs="Times New Roman"/>
          <w:color w:val="4A4A4A"/>
          <w:sz w:val="21"/>
          <w:szCs w:val="21"/>
          <w:lang w:eastAsia="en-GB"/>
        </w:rPr>
      </w:pPr>
      <w:r w:rsidRPr="00B20619">
        <w:rPr>
          <w:rFonts w:eastAsia="Times New Roman" w:cs="Times New Roman"/>
          <w:color w:val="4A4A4A"/>
          <w:sz w:val="21"/>
          <w:szCs w:val="21"/>
          <w:lang w:eastAsia="en-GB"/>
        </w:rPr>
        <w:t>Annually thereafter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7C58B1DE" w14:textId="77777777" w:rsidR="000771F5" w:rsidRPr="00E8754D" w:rsidRDefault="000771F5" w:rsidP="000771F5">
      <w:pPr>
        <w:shd w:val="clear" w:color="auto" w:fill="FFFFFF"/>
        <w:spacing w:after="0"/>
        <w:rPr>
          <w:rFonts w:eastAsia="Times New Roman" w:cs="Times New Roman"/>
          <w:color w:val="4A4A4A"/>
          <w:sz w:val="21"/>
          <w:szCs w:val="21"/>
          <w:lang w:eastAsia="en-GB"/>
        </w:rPr>
      </w:pPr>
      <w:r w:rsidRPr="00E8754D">
        <w:rPr>
          <w:rFonts w:eastAsia="Times New Roman" w:cs="Times New Roman"/>
          <w:color w:val="4A4A4A"/>
          <w:sz w:val="21"/>
          <w:szCs w:val="21"/>
          <w:lang w:eastAsia="en-GB"/>
        </w:rPr>
        <w:t>See list of repositories and databases in Annex II, plus governments that have complementary information.</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2CABAD11" w14:textId="49A76976" w:rsidR="007F1F87" w:rsidRPr="00E8754D" w:rsidRDefault="007F1F87" w:rsidP="007F1F87">
      <w:pPr>
        <w:pStyle w:val="ListParagraph"/>
        <w:numPr>
          <w:ilvl w:val="0"/>
          <w:numId w:val="17"/>
        </w:numPr>
        <w:shd w:val="clear" w:color="auto" w:fill="FFFFFF"/>
        <w:spacing w:after="0"/>
        <w:rPr>
          <w:rFonts w:eastAsia="Times New Roman" w:cs="Times New Roman"/>
          <w:color w:val="4A4A4A"/>
          <w:sz w:val="21"/>
          <w:szCs w:val="21"/>
          <w:lang w:eastAsia="en-GB"/>
        </w:rPr>
      </w:pPr>
      <w:r w:rsidRPr="00E8754D">
        <w:rPr>
          <w:rFonts w:eastAsia="Times New Roman" w:cs="Times New Roman"/>
          <w:color w:val="4A4A4A"/>
          <w:sz w:val="21"/>
          <w:szCs w:val="21"/>
          <w:lang w:eastAsia="en-GB"/>
        </w:rPr>
        <w:t>United Nations Conference on Trade and Development (UNCTAD)</w:t>
      </w:r>
      <w:r w:rsidR="0077679B">
        <w:rPr>
          <w:rFonts w:eastAsia="Times New Roman" w:cs="Times New Roman"/>
          <w:color w:val="4A4A4A"/>
          <w:sz w:val="21"/>
          <w:szCs w:val="21"/>
          <w:lang w:eastAsia="en-GB"/>
        </w:rPr>
        <w:t xml:space="preserve"> and </w:t>
      </w:r>
      <w:r w:rsidR="0077679B" w:rsidRPr="00E8754D">
        <w:rPr>
          <w:rFonts w:eastAsia="Times New Roman" w:cs="Times New Roman"/>
          <w:color w:val="4A4A4A"/>
          <w:sz w:val="21"/>
          <w:szCs w:val="21"/>
          <w:lang w:eastAsia="en-GB"/>
        </w:rPr>
        <w:t>United Nations Environment Programme</w:t>
      </w:r>
      <w:r w:rsidR="0077679B">
        <w:rPr>
          <w:rFonts w:eastAsia="Times New Roman" w:cs="Times New Roman"/>
          <w:color w:val="4A4A4A"/>
          <w:sz w:val="21"/>
          <w:szCs w:val="21"/>
          <w:lang w:eastAsia="en-GB"/>
        </w:rPr>
        <w:t xml:space="preserve"> (UNEP)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26B863C3" w14:textId="1A04479C" w:rsidR="00576CFA" w:rsidRPr="00A96255" w:rsidRDefault="00576CFA" w:rsidP="00576CFA">
      <w:pPr>
        <w:pStyle w:val="MText"/>
      </w:pP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1126ACC1" w14:textId="77777777" w:rsidR="0015038B" w:rsidRPr="00E8754D" w:rsidRDefault="0015038B" w:rsidP="0015038B">
      <w:p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lang w:eastAsia="en-GB"/>
        </w:rPr>
        <w:t xml:space="preserve">While the private sector has a critical role to play in the attainment of the SDGs, Target 12.6 and Indicator 12.6.1 are the only ones specifically monitoring the practices of private sector entities. While Indicator </w:t>
      </w:r>
      <w:r w:rsidRPr="00E8754D">
        <w:rPr>
          <w:rFonts w:eastAsia="Times New Roman" w:cs="Times New Roman"/>
          <w:bCs/>
          <w:color w:val="4A4A4A"/>
          <w:sz w:val="21"/>
          <w:szCs w:val="21"/>
          <w:lang w:eastAsia="en-GB"/>
        </w:rPr>
        <w:lastRenderedPageBreak/>
        <w:t xml:space="preserve">12.6.1 counts the number of companies producing “sustainability reports”, the custodian agencies consider the indicator an important opportunity not only to monitor and promote the growth in sustainability reporting globally, but also to monitor and promote high quality reporting, promote the integration of sustainability information into the annual reporting cycle of companies, and promote sustainability practices by companies (as mentioned in the Target under which the indicator falls). Attempts have therefore been made to integrate </w:t>
      </w:r>
      <w:proofErr w:type="gramStart"/>
      <w:r w:rsidRPr="00E8754D">
        <w:rPr>
          <w:rFonts w:eastAsia="Times New Roman" w:cs="Times New Roman"/>
          <w:bCs/>
          <w:color w:val="4A4A4A"/>
          <w:sz w:val="21"/>
          <w:szCs w:val="21"/>
          <w:lang w:eastAsia="en-GB"/>
        </w:rPr>
        <w:t>all of these</w:t>
      </w:r>
      <w:proofErr w:type="gramEnd"/>
      <w:r w:rsidRPr="00E8754D">
        <w:rPr>
          <w:rFonts w:eastAsia="Times New Roman" w:cs="Times New Roman"/>
          <w:bCs/>
          <w:color w:val="4A4A4A"/>
          <w:sz w:val="21"/>
          <w:szCs w:val="21"/>
          <w:lang w:eastAsia="en-GB"/>
        </w:rPr>
        <w:t xml:space="preserve"> aspects into the methodology, to the extent possible.</w:t>
      </w:r>
    </w:p>
    <w:p w14:paraId="13BE2CC0" w14:textId="77777777" w:rsidR="0015038B" w:rsidRPr="00E8754D" w:rsidRDefault="0015038B" w:rsidP="0015038B">
      <w:pPr>
        <w:shd w:val="clear" w:color="auto" w:fill="FFFFFF"/>
        <w:spacing w:after="0"/>
        <w:rPr>
          <w:rFonts w:eastAsia="Times New Roman" w:cs="Times New Roman"/>
          <w:bCs/>
          <w:color w:val="4A4A4A"/>
          <w:sz w:val="21"/>
          <w:szCs w:val="21"/>
          <w:lang w:eastAsia="en-GB"/>
        </w:rPr>
      </w:pPr>
    </w:p>
    <w:p w14:paraId="01C783EA" w14:textId="77777777" w:rsidR="0015038B" w:rsidRPr="00E8754D" w:rsidRDefault="0015038B" w:rsidP="0015038B">
      <w:p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lang w:eastAsia="en-GB"/>
        </w:rPr>
        <w:t>Given the above, the custodian agencies propose an approach whereby:</w:t>
      </w:r>
    </w:p>
    <w:p w14:paraId="5E1C6A65" w14:textId="77777777" w:rsidR="0015038B" w:rsidRPr="00E8754D" w:rsidRDefault="0015038B" w:rsidP="0015038B">
      <w:pPr>
        <w:pStyle w:val="ListParagraph"/>
        <w:numPr>
          <w:ilvl w:val="0"/>
          <w:numId w:val="5"/>
        </w:num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lang w:eastAsia="en-GB"/>
        </w:rPr>
        <w:t>Rather than simply counting the number of companies publishing stand-alone sustainability reports, the indicator methodology will focus on the sustainability information published by a company, whether in the form of a stand-alone sustainability report, or integrated within other company reports, such as the annual report. Therefore, in this respect, for the purposes of this indicator, ‘sustainability report’ can refer to a stand-alone sustainability report, or sustainability information reported under other formats, such as integrated into the company’s annual report.</w:t>
      </w:r>
    </w:p>
    <w:p w14:paraId="032A7BFD" w14:textId="77777777" w:rsidR="0015038B" w:rsidRPr="00E8754D" w:rsidRDefault="0015038B" w:rsidP="0015038B">
      <w:pPr>
        <w:pStyle w:val="ListParagraph"/>
        <w:numPr>
          <w:ilvl w:val="0"/>
          <w:numId w:val="5"/>
        </w:num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lang w:eastAsia="en-GB"/>
        </w:rPr>
        <w:t>Not every document entitled ‘sustainability report’ will be counted towards the indicator, given that the quality of these reports varies greatly, and that many may not contain meaningful information on all aspects of sustainability (governance, economic, social and environmental).</w:t>
      </w:r>
    </w:p>
    <w:p w14:paraId="0FE3547B" w14:textId="77777777" w:rsidR="0015038B" w:rsidRPr="00E8754D" w:rsidRDefault="0015038B" w:rsidP="0015038B">
      <w:pPr>
        <w:pStyle w:val="ListParagraph"/>
        <w:numPr>
          <w:ilvl w:val="0"/>
          <w:numId w:val="5"/>
        </w:num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lang w:eastAsia="en-GB"/>
        </w:rPr>
        <w:t>A minimum requirement is therefore proposed, whereby for a company to be counted towards the indicator, it must have published information on a set of key disclosure elements covering the company’s governance practices as well as economic, social and environment impacts. This will ensure that companies who produce sustainability reports that are weak in terms of their disclosure will not be counted and should promote more rigorous reporting.</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61A62731" w14:textId="3E3A76A4" w:rsidR="00B00631" w:rsidRPr="00B20619" w:rsidRDefault="00B00631" w:rsidP="00B20619">
      <w:pPr>
        <w:pStyle w:val="MText"/>
        <w:rPr>
          <w:highlight w:val="yellow"/>
        </w:rPr>
      </w:pPr>
      <w:r w:rsidRPr="00B20619">
        <w:t>N/A</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15F94A2" w14:textId="77777777" w:rsidR="007004B6" w:rsidRPr="00E8754D" w:rsidRDefault="007004B6" w:rsidP="007004B6">
      <w:pPr>
        <w:shd w:val="clear" w:color="auto" w:fill="FFFFFF"/>
        <w:spacing w:after="0"/>
        <w:rPr>
          <w:rFonts w:eastAsia="Times New Roman" w:cs="Times New Roman"/>
          <w:bCs/>
          <w:color w:val="595959" w:themeColor="text1" w:themeTint="A6"/>
          <w:sz w:val="21"/>
          <w:szCs w:val="21"/>
          <w:lang w:eastAsia="en-GB"/>
        </w:rPr>
      </w:pPr>
      <w:r w:rsidRPr="00E8754D">
        <w:rPr>
          <w:rFonts w:eastAsia="Times New Roman" w:cs="Times New Roman"/>
          <w:bCs/>
          <w:color w:val="4A4A4A"/>
          <w:sz w:val="21"/>
          <w:szCs w:val="21"/>
          <w:lang w:eastAsia="en-GB"/>
        </w:rPr>
        <w:t xml:space="preserve">Companies will be counted towards the indicator if they publish sustainability information covering the </w:t>
      </w:r>
      <w:r w:rsidRPr="00E8754D">
        <w:rPr>
          <w:rFonts w:eastAsia="Times New Roman" w:cs="Times New Roman"/>
          <w:bCs/>
          <w:color w:val="595959" w:themeColor="text1" w:themeTint="A6"/>
          <w:sz w:val="21"/>
          <w:szCs w:val="21"/>
          <w:lang w:eastAsia="en-GB"/>
        </w:rPr>
        <w:t>following sustainability disclosures:</w:t>
      </w:r>
    </w:p>
    <w:p w14:paraId="0AD5EEE2" w14:textId="77777777" w:rsidR="007004B6" w:rsidRPr="00E8754D" w:rsidRDefault="007004B6" w:rsidP="007004B6">
      <w:pPr>
        <w:shd w:val="clear" w:color="auto" w:fill="FFFFFF"/>
        <w:spacing w:after="0"/>
        <w:rPr>
          <w:rFonts w:eastAsia="Times New Roman" w:cs="Times New Roman"/>
          <w:b/>
          <w:bCs/>
          <w:color w:val="595959" w:themeColor="text1" w:themeTint="A6"/>
          <w:sz w:val="21"/>
          <w:szCs w:val="21"/>
          <w:lang w:eastAsia="en-GB"/>
        </w:rPr>
      </w:pPr>
    </w:p>
    <w:p w14:paraId="4C3A1A62" w14:textId="77777777" w:rsidR="007004B6" w:rsidRPr="00E8754D" w:rsidRDefault="007004B6" w:rsidP="007004B6">
      <w:pPr>
        <w:pBdr>
          <w:top w:val="single" w:sz="4" w:space="1" w:color="auto"/>
          <w:left w:val="single" w:sz="4" w:space="4" w:color="auto"/>
          <w:bottom w:val="single" w:sz="4" w:space="1" w:color="auto"/>
          <w:right w:val="single" w:sz="4" w:space="4" w:color="auto"/>
        </w:pBdr>
        <w:spacing w:after="120" w:line="240" w:lineRule="auto"/>
        <w:rPr>
          <w:rFonts w:cstheme="minorHAnsi"/>
          <w:b/>
          <w:color w:val="595959" w:themeColor="text1" w:themeTint="A6"/>
          <w:sz w:val="21"/>
        </w:rPr>
      </w:pPr>
      <w:r w:rsidRPr="00E8754D">
        <w:rPr>
          <w:rFonts w:cstheme="minorHAnsi"/>
          <w:b/>
          <w:color w:val="595959" w:themeColor="text1" w:themeTint="A6"/>
          <w:sz w:val="21"/>
        </w:rPr>
        <w:t>Minimum Requirement:</w:t>
      </w:r>
    </w:p>
    <w:p w14:paraId="6C1309F9" w14:textId="77777777" w:rsidR="007004B6" w:rsidRPr="00E8754D" w:rsidRDefault="007004B6" w:rsidP="007004B6">
      <w:pPr>
        <w:pBdr>
          <w:top w:val="single" w:sz="4" w:space="1" w:color="auto"/>
          <w:left w:val="single" w:sz="4" w:space="4" w:color="auto"/>
          <w:bottom w:val="single" w:sz="4" w:space="1" w:color="auto"/>
          <w:right w:val="single" w:sz="4" w:space="4" w:color="auto"/>
        </w:pBdr>
        <w:spacing w:after="0" w:line="240" w:lineRule="auto"/>
        <w:rPr>
          <w:rFonts w:cstheme="minorHAnsi"/>
          <w:b/>
          <w:color w:val="595959" w:themeColor="text1" w:themeTint="A6"/>
          <w:sz w:val="21"/>
        </w:rPr>
      </w:pPr>
      <w:bookmarkStart w:id="5" w:name="_Hlk532393523"/>
      <w:r w:rsidRPr="00E8754D">
        <w:rPr>
          <w:rFonts w:cstheme="minorHAnsi"/>
          <w:b/>
          <w:color w:val="595959" w:themeColor="text1" w:themeTint="A6"/>
          <w:sz w:val="21"/>
        </w:rPr>
        <w:t xml:space="preserve">Institutional and governance: </w:t>
      </w:r>
    </w:p>
    <w:p w14:paraId="317296A2"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 xml:space="preserve">Materiality assessment* </w:t>
      </w:r>
    </w:p>
    <w:p w14:paraId="1409A463"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Sustainability strategy and/or principles related to sustainability</w:t>
      </w:r>
    </w:p>
    <w:p w14:paraId="50F43425"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Management approach to address materiality topics</w:t>
      </w:r>
    </w:p>
    <w:p w14:paraId="43814289"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Governance structure, including for economic, environmental and social issues</w:t>
      </w:r>
    </w:p>
    <w:p w14:paraId="50E26C77"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 xml:space="preserve">Key impacts, risks, opportunities </w:t>
      </w:r>
    </w:p>
    <w:p w14:paraId="19680440"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Anti-fraud, anti-corruption and anti-competitive behaviour practices</w:t>
      </w:r>
    </w:p>
    <w:p w14:paraId="4677B7C2" w14:textId="77777777" w:rsidR="007004B6" w:rsidRPr="00E8754D" w:rsidRDefault="007004B6" w:rsidP="007004B6">
      <w:pPr>
        <w:pBdr>
          <w:top w:val="single" w:sz="4" w:space="1" w:color="auto"/>
          <w:left w:val="single" w:sz="4" w:space="4" w:color="auto"/>
          <w:bottom w:val="single" w:sz="4" w:space="1" w:color="auto"/>
          <w:right w:val="single" w:sz="4" w:space="4" w:color="auto"/>
        </w:pBdr>
        <w:spacing w:after="0" w:line="240" w:lineRule="auto"/>
        <w:rPr>
          <w:rFonts w:cstheme="minorHAnsi"/>
          <w:b/>
          <w:color w:val="595959" w:themeColor="text1" w:themeTint="A6"/>
          <w:sz w:val="21"/>
        </w:rPr>
      </w:pPr>
    </w:p>
    <w:p w14:paraId="79D16344" w14:textId="77777777" w:rsidR="007004B6" w:rsidRPr="00E8754D" w:rsidRDefault="007004B6" w:rsidP="007004B6">
      <w:pPr>
        <w:pBdr>
          <w:top w:val="single" w:sz="4" w:space="1" w:color="auto"/>
          <w:left w:val="single" w:sz="4" w:space="4" w:color="auto"/>
          <w:bottom w:val="single" w:sz="4" w:space="1" w:color="auto"/>
          <w:right w:val="single" w:sz="4" w:space="4" w:color="auto"/>
        </w:pBdr>
        <w:spacing w:after="0" w:line="240" w:lineRule="auto"/>
        <w:rPr>
          <w:rFonts w:cstheme="minorHAnsi"/>
          <w:b/>
          <w:color w:val="595959" w:themeColor="text1" w:themeTint="A6"/>
          <w:sz w:val="21"/>
        </w:rPr>
      </w:pPr>
      <w:r w:rsidRPr="00E8754D">
        <w:rPr>
          <w:rFonts w:cstheme="minorHAnsi"/>
          <w:b/>
          <w:color w:val="595959" w:themeColor="text1" w:themeTint="A6"/>
          <w:sz w:val="21"/>
        </w:rPr>
        <w:t>Economic:</w:t>
      </w:r>
    </w:p>
    <w:p w14:paraId="70DA2714"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 xml:space="preserve">Direct measure of economic performance (revenue, net profit, value added, </w:t>
      </w:r>
      <w:proofErr w:type="spellStart"/>
      <w:r w:rsidRPr="00E8754D">
        <w:rPr>
          <w:rFonts w:cstheme="minorHAnsi"/>
          <w:color w:val="595959" w:themeColor="text1" w:themeTint="A6"/>
          <w:sz w:val="21"/>
        </w:rPr>
        <w:t>payouts</w:t>
      </w:r>
      <w:proofErr w:type="spellEnd"/>
      <w:r w:rsidRPr="00E8754D">
        <w:rPr>
          <w:rFonts w:cstheme="minorHAnsi"/>
          <w:color w:val="595959" w:themeColor="text1" w:themeTint="A6"/>
          <w:sz w:val="21"/>
        </w:rPr>
        <w:t xml:space="preserve"> to shareholders)</w:t>
      </w:r>
    </w:p>
    <w:p w14:paraId="7C1A225F"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Indirect measure of economic performance (community investment, investment in infrastructure or other significant local economic impact)</w:t>
      </w:r>
    </w:p>
    <w:p w14:paraId="11A59D50" w14:textId="77777777" w:rsidR="007004B6" w:rsidRPr="00E8754D" w:rsidRDefault="007004B6" w:rsidP="007004B6">
      <w:pPr>
        <w:pBdr>
          <w:top w:val="single" w:sz="4" w:space="1" w:color="auto"/>
          <w:left w:val="single" w:sz="4" w:space="4" w:color="auto"/>
          <w:bottom w:val="single" w:sz="4" w:space="1" w:color="auto"/>
          <w:right w:val="single" w:sz="4" w:space="4" w:color="auto"/>
        </w:pBdr>
        <w:spacing w:after="0" w:line="240" w:lineRule="auto"/>
        <w:rPr>
          <w:rFonts w:cstheme="minorHAnsi"/>
          <w:b/>
          <w:color w:val="595959" w:themeColor="text1" w:themeTint="A6"/>
          <w:sz w:val="21"/>
        </w:rPr>
      </w:pPr>
    </w:p>
    <w:p w14:paraId="1990B0D9" w14:textId="77777777" w:rsidR="007004B6" w:rsidRPr="00E8754D" w:rsidRDefault="007004B6" w:rsidP="007004B6">
      <w:pPr>
        <w:pBdr>
          <w:top w:val="single" w:sz="4" w:space="1" w:color="auto"/>
          <w:left w:val="single" w:sz="4" w:space="4" w:color="auto"/>
          <w:bottom w:val="single" w:sz="4" w:space="1" w:color="auto"/>
          <w:right w:val="single" w:sz="4" w:space="4" w:color="auto"/>
        </w:pBdr>
        <w:spacing w:after="0" w:line="240" w:lineRule="auto"/>
        <w:rPr>
          <w:rFonts w:cstheme="minorHAnsi"/>
          <w:b/>
          <w:color w:val="595959" w:themeColor="text1" w:themeTint="A6"/>
          <w:sz w:val="21"/>
        </w:rPr>
      </w:pPr>
      <w:r w:rsidRPr="00E8754D">
        <w:rPr>
          <w:rFonts w:cstheme="minorHAnsi"/>
          <w:b/>
          <w:color w:val="595959" w:themeColor="text1" w:themeTint="A6"/>
          <w:sz w:val="21"/>
        </w:rPr>
        <w:t>Environmental:</w:t>
      </w:r>
    </w:p>
    <w:p w14:paraId="5EDD43CE"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Energy consumption and energy efficiency</w:t>
      </w:r>
    </w:p>
    <w:p w14:paraId="697F20E8"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lastRenderedPageBreak/>
        <w:t>Water consumption, wastewater generation, integrated water resource management practices, or water recycling/re-use and efficiency</w:t>
      </w:r>
    </w:p>
    <w:p w14:paraId="4D1E53C6"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Greenhouse gas emissions</w:t>
      </w:r>
    </w:p>
    <w:p w14:paraId="1F80B790"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Other emissions and effluents, including Ozone-depleting substances, Nitrogen Oxides (NOX), Sulphur Oxides (SOX), and chemicals</w:t>
      </w:r>
    </w:p>
    <w:p w14:paraId="280EC09E"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Waste generation, including hazardous wastes</w:t>
      </w:r>
    </w:p>
    <w:p w14:paraId="590034CE"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Waste minimisation and recycling practices</w:t>
      </w:r>
    </w:p>
    <w:p w14:paraId="77F6A0A5"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Use and/or production of hazardous chemicals and substances</w:t>
      </w:r>
    </w:p>
    <w:p w14:paraId="4B7DC3AA" w14:textId="77777777" w:rsidR="007004B6" w:rsidRPr="00E8754D" w:rsidRDefault="007004B6" w:rsidP="007004B6">
      <w:pPr>
        <w:pBdr>
          <w:top w:val="single" w:sz="4" w:space="1" w:color="auto"/>
          <w:left w:val="single" w:sz="4" w:space="4" w:color="auto"/>
          <w:bottom w:val="single" w:sz="4" w:space="1" w:color="auto"/>
          <w:right w:val="single" w:sz="4" w:space="4" w:color="auto"/>
        </w:pBdr>
        <w:spacing w:after="0" w:line="240" w:lineRule="auto"/>
        <w:rPr>
          <w:rFonts w:cstheme="minorHAnsi"/>
          <w:b/>
          <w:color w:val="595959" w:themeColor="text1" w:themeTint="A6"/>
          <w:sz w:val="21"/>
        </w:rPr>
      </w:pPr>
    </w:p>
    <w:p w14:paraId="32C835FD" w14:textId="77777777" w:rsidR="007004B6" w:rsidRPr="00E8754D" w:rsidRDefault="007004B6" w:rsidP="007004B6">
      <w:pPr>
        <w:pBdr>
          <w:top w:val="single" w:sz="4" w:space="1" w:color="auto"/>
          <w:left w:val="single" w:sz="4" w:space="4" w:color="auto"/>
          <w:bottom w:val="single" w:sz="4" w:space="1" w:color="auto"/>
          <w:right w:val="single" w:sz="4" w:space="4" w:color="auto"/>
        </w:pBdr>
        <w:spacing w:after="0" w:line="240" w:lineRule="auto"/>
        <w:rPr>
          <w:rFonts w:cstheme="minorHAnsi"/>
          <w:b/>
          <w:color w:val="595959" w:themeColor="text1" w:themeTint="A6"/>
          <w:sz w:val="21"/>
        </w:rPr>
      </w:pPr>
      <w:r w:rsidRPr="00E8754D">
        <w:rPr>
          <w:rFonts w:cstheme="minorHAnsi"/>
          <w:b/>
          <w:color w:val="595959" w:themeColor="text1" w:themeTint="A6"/>
          <w:sz w:val="21"/>
        </w:rPr>
        <w:t>Social:</w:t>
      </w:r>
    </w:p>
    <w:p w14:paraId="45CBED99"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jc w:val="both"/>
        <w:rPr>
          <w:rFonts w:cstheme="minorHAnsi"/>
          <w:color w:val="595959" w:themeColor="text1" w:themeTint="A6"/>
          <w:sz w:val="21"/>
        </w:rPr>
      </w:pPr>
      <w:r w:rsidRPr="00E8754D">
        <w:rPr>
          <w:rFonts w:cstheme="minorHAnsi"/>
          <w:color w:val="595959" w:themeColor="text1" w:themeTint="A6"/>
          <w:sz w:val="21"/>
        </w:rPr>
        <w:t>Occupational health and safety</w:t>
      </w:r>
    </w:p>
    <w:p w14:paraId="3B66D362"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jc w:val="both"/>
        <w:rPr>
          <w:rFonts w:cstheme="minorHAnsi"/>
          <w:color w:val="595959" w:themeColor="text1" w:themeTint="A6"/>
          <w:sz w:val="21"/>
        </w:rPr>
      </w:pPr>
      <w:r w:rsidRPr="00E8754D">
        <w:rPr>
          <w:rFonts w:cstheme="minorHAnsi"/>
          <w:color w:val="595959" w:themeColor="text1" w:themeTint="A6"/>
          <w:sz w:val="21"/>
        </w:rPr>
        <w:t>Total number of employees, by contract type and gender</w:t>
      </w:r>
    </w:p>
    <w:p w14:paraId="72C83768"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jc w:val="both"/>
        <w:rPr>
          <w:rFonts w:cstheme="minorHAnsi"/>
          <w:color w:val="595959" w:themeColor="text1" w:themeTint="A6"/>
          <w:sz w:val="21"/>
        </w:rPr>
      </w:pPr>
      <w:r w:rsidRPr="00E8754D">
        <w:rPr>
          <w:rFonts w:cstheme="minorHAnsi"/>
          <w:color w:val="595959" w:themeColor="text1" w:themeTint="A6"/>
          <w:sz w:val="21"/>
        </w:rPr>
        <w:t xml:space="preserve">Employee training </w:t>
      </w:r>
    </w:p>
    <w:p w14:paraId="060284B3"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jc w:val="both"/>
        <w:rPr>
          <w:rFonts w:cstheme="minorHAnsi"/>
          <w:color w:val="595959" w:themeColor="text1" w:themeTint="A6"/>
          <w:sz w:val="21"/>
        </w:rPr>
      </w:pPr>
      <w:r w:rsidRPr="00E8754D">
        <w:rPr>
          <w:rFonts w:cstheme="minorHAnsi"/>
          <w:color w:val="595959" w:themeColor="text1" w:themeTint="A6"/>
          <w:sz w:val="21"/>
        </w:rPr>
        <w:t>Unfair and illegal labour practices and other human rights considerations</w:t>
      </w:r>
    </w:p>
    <w:p w14:paraId="29A97A81"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jc w:val="both"/>
        <w:rPr>
          <w:rFonts w:cstheme="minorHAnsi"/>
          <w:color w:val="595959" w:themeColor="text1" w:themeTint="A6"/>
          <w:sz w:val="21"/>
        </w:rPr>
      </w:pPr>
      <w:r w:rsidRPr="00E8754D">
        <w:rPr>
          <w:rFonts w:cstheme="minorHAnsi"/>
          <w:color w:val="595959" w:themeColor="text1" w:themeTint="A6"/>
          <w:sz w:val="21"/>
        </w:rPr>
        <w:t>Diversity, equal opportunity and discrimination in governance bodies and among employees</w:t>
      </w:r>
    </w:p>
    <w:p w14:paraId="65CD7888"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jc w:val="both"/>
        <w:rPr>
          <w:rFonts w:cstheme="minorHAnsi"/>
          <w:color w:val="595959" w:themeColor="text1" w:themeTint="A6"/>
          <w:sz w:val="21"/>
        </w:rPr>
      </w:pPr>
      <w:r w:rsidRPr="00E8754D">
        <w:rPr>
          <w:rFonts w:cstheme="minorHAnsi"/>
          <w:color w:val="595959" w:themeColor="text1" w:themeTint="A6"/>
          <w:sz w:val="21"/>
        </w:rPr>
        <w:t>Worker rights and collective agreements</w:t>
      </w:r>
    </w:p>
    <w:bookmarkEnd w:id="5"/>
    <w:p w14:paraId="1695F929" w14:textId="77777777" w:rsidR="007004B6" w:rsidRPr="00E8754D" w:rsidRDefault="007004B6" w:rsidP="007004B6">
      <w:pPr>
        <w:spacing w:after="0" w:line="240" w:lineRule="auto"/>
        <w:rPr>
          <w:rFonts w:cstheme="minorHAnsi"/>
          <w:color w:val="595959" w:themeColor="text1" w:themeTint="A6"/>
          <w:sz w:val="21"/>
        </w:rPr>
      </w:pPr>
    </w:p>
    <w:p w14:paraId="1284681F" w14:textId="77777777" w:rsidR="007004B6" w:rsidRPr="00E8754D" w:rsidRDefault="007004B6" w:rsidP="007004B6">
      <w:pPr>
        <w:spacing w:after="120" w:line="240" w:lineRule="auto"/>
        <w:jc w:val="both"/>
        <w:rPr>
          <w:rFonts w:eastAsia="MS PGothic" w:cstheme="minorHAnsi"/>
          <w:color w:val="595959" w:themeColor="text1" w:themeTint="A6"/>
          <w:sz w:val="21"/>
          <w:lang w:eastAsia="en-US"/>
        </w:rPr>
      </w:pPr>
      <w:r w:rsidRPr="00E8754D">
        <w:rPr>
          <w:rFonts w:ascii="Calibri" w:hAnsi="Calibri"/>
          <w:noProof/>
          <w:color w:val="595959" w:themeColor="text1" w:themeTint="A6"/>
        </w:rPr>
        <mc:AlternateContent>
          <mc:Choice Requires="wps">
            <w:drawing>
              <wp:anchor distT="0" distB="0" distL="114300" distR="114300" simplePos="0" relativeHeight="251659264" behindDoc="0" locked="0" layoutInCell="1" allowOverlap="1" wp14:anchorId="69E71A6E" wp14:editId="61EDCEFE">
                <wp:simplePos x="0" y="0"/>
                <wp:positionH relativeFrom="margin">
                  <wp:align>center</wp:align>
                </wp:positionH>
                <wp:positionV relativeFrom="paragraph">
                  <wp:posOffset>702310</wp:posOffset>
                </wp:positionV>
                <wp:extent cx="5734685" cy="4953000"/>
                <wp:effectExtent l="0" t="0" r="1841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4953000"/>
                        </a:xfrm>
                        <a:prstGeom prst="rect">
                          <a:avLst/>
                        </a:prstGeom>
                        <a:solidFill>
                          <a:srgbClr val="FFFFFF"/>
                        </a:solidFill>
                        <a:ln w="9525">
                          <a:solidFill>
                            <a:srgbClr val="000000"/>
                          </a:solidFill>
                          <a:miter lim="800000"/>
                          <a:headEnd/>
                          <a:tailEnd/>
                        </a:ln>
                      </wps:spPr>
                      <wps:txbx>
                        <w:txbxContent>
                          <w:p w14:paraId="2B7C0D0C" w14:textId="77777777" w:rsidR="007004B6" w:rsidRPr="00A14EDC" w:rsidRDefault="007004B6" w:rsidP="007004B6">
                            <w:pPr>
                              <w:pStyle w:val="Caption"/>
                              <w:keepNext/>
                              <w:pBdr>
                                <w:bottom w:val="none" w:sz="0" w:space="0" w:color="auto"/>
                              </w:pBdr>
                              <w:spacing w:after="0" w:line="240" w:lineRule="auto"/>
                              <w:rPr>
                                <w:rFonts w:ascii="Calibri" w:hAnsi="Calibri"/>
                                <w:caps w:val="0"/>
                                <w:color w:val="595959" w:themeColor="text1" w:themeTint="A6"/>
                                <w:sz w:val="21"/>
                              </w:rPr>
                            </w:pPr>
                            <w:r w:rsidRPr="00A14EDC">
                              <w:rPr>
                                <w:rFonts w:ascii="Calibri" w:hAnsi="Calibri"/>
                                <w:caps w:val="0"/>
                                <w:color w:val="595959" w:themeColor="text1" w:themeTint="A6"/>
                                <w:sz w:val="21"/>
                              </w:rPr>
                              <w:t>Advanced level requirement:</w:t>
                            </w:r>
                          </w:p>
                          <w:p w14:paraId="510D4319" w14:textId="77777777" w:rsidR="007004B6" w:rsidRPr="00A14EDC" w:rsidRDefault="007004B6" w:rsidP="007004B6">
                            <w:pPr>
                              <w:pStyle w:val="GHTableBody"/>
                              <w:spacing w:before="0" w:after="0"/>
                              <w:rPr>
                                <w:rFonts w:ascii="Calibri" w:hAnsi="Calibri"/>
                                <w:color w:val="595959" w:themeColor="text1" w:themeTint="A6"/>
                                <w:sz w:val="21"/>
                              </w:rPr>
                            </w:pPr>
                            <w:r w:rsidRPr="00A14EDC">
                              <w:rPr>
                                <w:rFonts w:ascii="Calibri" w:hAnsi="Calibri"/>
                                <w:color w:val="595959" w:themeColor="text1" w:themeTint="A6"/>
                                <w:sz w:val="21"/>
                              </w:rPr>
                              <w:t xml:space="preserve">As for minimum requirement, with the following additional disclosures and/or indicators: </w:t>
                            </w:r>
                          </w:p>
                          <w:p w14:paraId="04D409B3" w14:textId="77777777" w:rsidR="007004B6" w:rsidRPr="00A14EDC" w:rsidRDefault="007004B6" w:rsidP="007004B6">
                            <w:pPr>
                              <w:pStyle w:val="GHTableBody"/>
                              <w:spacing w:before="0" w:after="0"/>
                              <w:ind w:left="108"/>
                              <w:rPr>
                                <w:rFonts w:ascii="Calibri" w:hAnsi="Calibri"/>
                                <w:b/>
                                <w:color w:val="595959" w:themeColor="text1" w:themeTint="A6"/>
                                <w:sz w:val="21"/>
                              </w:rPr>
                            </w:pPr>
                          </w:p>
                          <w:p w14:paraId="5584D5EB" w14:textId="77777777" w:rsidR="007004B6" w:rsidRPr="00A14EDC" w:rsidRDefault="007004B6" w:rsidP="007004B6">
                            <w:pPr>
                              <w:pStyle w:val="GHTableBody"/>
                              <w:spacing w:before="0" w:after="0"/>
                              <w:ind w:left="162"/>
                              <w:rPr>
                                <w:rFonts w:ascii="Calibri" w:hAnsi="Calibri"/>
                                <w:b/>
                                <w:color w:val="595959" w:themeColor="text1" w:themeTint="A6"/>
                                <w:sz w:val="21"/>
                              </w:rPr>
                            </w:pPr>
                            <w:r w:rsidRPr="00A14EDC">
                              <w:rPr>
                                <w:rFonts w:ascii="Calibri" w:hAnsi="Calibri"/>
                                <w:b/>
                                <w:color w:val="595959" w:themeColor="text1" w:themeTint="A6"/>
                                <w:sz w:val="21"/>
                              </w:rPr>
                              <w:t xml:space="preserve">Institutional and governance: </w:t>
                            </w:r>
                          </w:p>
                          <w:p w14:paraId="640F738F"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Details of supply chain</w:t>
                            </w:r>
                          </w:p>
                          <w:p w14:paraId="3FD110F6"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Details of stakeholder engagement surrounding sustainability performance</w:t>
                            </w:r>
                          </w:p>
                          <w:p w14:paraId="5284894E"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Details of remuneration</w:t>
                            </w:r>
                          </w:p>
                          <w:p w14:paraId="41944A4E" w14:textId="77777777" w:rsidR="007004B6" w:rsidRPr="00A14EDC" w:rsidRDefault="007004B6" w:rsidP="007004B6">
                            <w:pPr>
                              <w:pStyle w:val="GHTableBody"/>
                              <w:spacing w:before="0" w:after="0"/>
                              <w:ind w:left="216"/>
                              <w:rPr>
                                <w:rFonts w:ascii="Calibri" w:hAnsi="Calibri"/>
                                <w:b/>
                                <w:color w:val="595959" w:themeColor="text1" w:themeTint="A6"/>
                                <w:sz w:val="21"/>
                              </w:rPr>
                            </w:pPr>
                          </w:p>
                          <w:p w14:paraId="70F36B6C" w14:textId="77777777" w:rsidR="007004B6" w:rsidRPr="00A14EDC" w:rsidRDefault="007004B6" w:rsidP="007004B6">
                            <w:pPr>
                              <w:pStyle w:val="GHTableBody"/>
                              <w:spacing w:before="0" w:after="0"/>
                              <w:ind w:left="216"/>
                              <w:rPr>
                                <w:rFonts w:ascii="Calibri" w:hAnsi="Calibri"/>
                                <w:b/>
                                <w:color w:val="595959" w:themeColor="text1" w:themeTint="A6"/>
                                <w:sz w:val="21"/>
                              </w:rPr>
                            </w:pPr>
                            <w:r w:rsidRPr="00A14EDC">
                              <w:rPr>
                                <w:rFonts w:ascii="Calibri" w:hAnsi="Calibri"/>
                                <w:b/>
                                <w:color w:val="595959" w:themeColor="text1" w:themeTint="A6"/>
                                <w:sz w:val="21"/>
                              </w:rPr>
                              <w:t>Economic</w:t>
                            </w:r>
                          </w:p>
                          <w:p w14:paraId="456D0D50"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Sustainable public procurement policies and practices</w:t>
                            </w:r>
                          </w:p>
                          <w:p w14:paraId="03A4924E"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Percentage or proportion of local suppliers/procurement</w:t>
                            </w:r>
                          </w:p>
                          <w:p w14:paraId="5B8D5E73"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Charitable donations</w:t>
                            </w:r>
                          </w:p>
                          <w:p w14:paraId="596D50BF" w14:textId="77777777" w:rsidR="007004B6" w:rsidRPr="00A14EDC" w:rsidRDefault="007004B6" w:rsidP="007004B6">
                            <w:pPr>
                              <w:pStyle w:val="GHTableBody"/>
                              <w:spacing w:before="0" w:after="0"/>
                              <w:ind w:left="216"/>
                              <w:rPr>
                                <w:rFonts w:ascii="Calibri" w:hAnsi="Calibri"/>
                                <w:b/>
                                <w:color w:val="595959" w:themeColor="text1" w:themeTint="A6"/>
                                <w:sz w:val="21"/>
                              </w:rPr>
                            </w:pPr>
                          </w:p>
                          <w:p w14:paraId="51BF899A" w14:textId="77777777" w:rsidR="007004B6" w:rsidRPr="00A14EDC" w:rsidRDefault="007004B6" w:rsidP="007004B6">
                            <w:pPr>
                              <w:pStyle w:val="GHTableBody"/>
                              <w:spacing w:before="0" w:after="0"/>
                              <w:ind w:left="216"/>
                              <w:rPr>
                                <w:rFonts w:ascii="Calibri" w:hAnsi="Calibri"/>
                                <w:b/>
                                <w:color w:val="595959" w:themeColor="text1" w:themeTint="A6"/>
                                <w:sz w:val="21"/>
                              </w:rPr>
                            </w:pPr>
                            <w:r w:rsidRPr="00A14EDC">
                              <w:rPr>
                                <w:rFonts w:ascii="Calibri" w:hAnsi="Calibri"/>
                                <w:b/>
                                <w:color w:val="595959" w:themeColor="text1" w:themeTint="A6"/>
                                <w:sz w:val="21"/>
                              </w:rPr>
                              <w:t>Environmental</w:t>
                            </w:r>
                          </w:p>
                          <w:p w14:paraId="3C0EA719"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Supplier environmental assessment</w:t>
                            </w:r>
                          </w:p>
                          <w:p w14:paraId="192D2EDE"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Material consumption, sourcing of materials and reclaimed or recycled materials used</w:t>
                            </w:r>
                          </w:p>
                          <w:p w14:paraId="756BCABE"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Energy intensity and renewable energy sources</w:t>
                            </w:r>
                          </w:p>
                          <w:p w14:paraId="434DE1E5"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Water intensity and Integrated water resource management</w:t>
                            </w:r>
                          </w:p>
                          <w:p w14:paraId="1DDFE63C"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GHG intensity</w:t>
                            </w:r>
                          </w:p>
                          <w:p w14:paraId="31904FAF"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Waste intensity</w:t>
                            </w:r>
                          </w:p>
                          <w:p w14:paraId="084DB5C8"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Biodiversity impacts</w:t>
                            </w:r>
                          </w:p>
                          <w:p w14:paraId="28437EE4"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Supplier and consumer/customer engagement on environmental issues</w:t>
                            </w:r>
                          </w:p>
                          <w:p w14:paraId="4067C460" w14:textId="77777777" w:rsidR="007004B6" w:rsidRPr="00A14EDC" w:rsidRDefault="007004B6" w:rsidP="007004B6">
                            <w:pPr>
                              <w:pStyle w:val="GHTableBody"/>
                              <w:spacing w:before="0" w:after="0"/>
                              <w:ind w:left="216"/>
                              <w:rPr>
                                <w:rFonts w:ascii="Calibri" w:hAnsi="Calibri"/>
                                <w:b/>
                                <w:color w:val="595959" w:themeColor="text1" w:themeTint="A6"/>
                                <w:sz w:val="21"/>
                              </w:rPr>
                            </w:pPr>
                          </w:p>
                          <w:p w14:paraId="67E55EA7" w14:textId="77777777" w:rsidR="007004B6" w:rsidRPr="00A14EDC" w:rsidRDefault="007004B6" w:rsidP="007004B6">
                            <w:pPr>
                              <w:pStyle w:val="GHTableBody"/>
                              <w:spacing w:before="0" w:after="0"/>
                              <w:ind w:left="216"/>
                              <w:rPr>
                                <w:rFonts w:ascii="Calibri" w:hAnsi="Calibri"/>
                                <w:b/>
                                <w:color w:val="595959" w:themeColor="text1" w:themeTint="A6"/>
                                <w:sz w:val="21"/>
                              </w:rPr>
                            </w:pPr>
                            <w:r w:rsidRPr="00A14EDC">
                              <w:rPr>
                                <w:rFonts w:ascii="Calibri" w:hAnsi="Calibri"/>
                                <w:b/>
                                <w:color w:val="595959" w:themeColor="text1" w:themeTint="A6"/>
                                <w:sz w:val="21"/>
                              </w:rPr>
                              <w:t>Social</w:t>
                            </w:r>
                          </w:p>
                          <w:p w14:paraId="656D2D51"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Supplier social assessment</w:t>
                            </w:r>
                          </w:p>
                          <w:p w14:paraId="287077E9"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Local community impacts</w:t>
                            </w:r>
                          </w:p>
                          <w:p w14:paraId="7DB4E64E"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Supplier and consumer engagement on sustainability issues</w:t>
                            </w:r>
                          </w:p>
                          <w:p w14:paraId="1FF4352D" w14:textId="77777777" w:rsidR="007004B6" w:rsidRPr="00BB56C0" w:rsidRDefault="007004B6" w:rsidP="007004B6">
                            <w:pPr>
                              <w:pStyle w:val="GHTableBody"/>
                              <w:spacing w:before="0" w:after="0"/>
                              <w:jc w:val="both"/>
                              <w:rPr>
                                <w:rFonts w:ascii="Calibri" w:hAnsi="Calibri"/>
                                <w:sz w:val="22"/>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69E71A6E" id="_x0000_t202" coordsize="21600,21600" o:spt="202" path="m,l,21600r21600,l21600,xe">
                <v:stroke joinstyle="miter"/>
                <v:path gradientshapeok="t" o:connecttype="rect"/>
              </v:shapetype>
              <v:shape id="Text Box 2" o:spid="_x0000_s1026" type="#_x0000_t202" style="position:absolute;left:0;text-align:left;margin-left:0;margin-top:55.3pt;width:451.55pt;height:390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">
                <v:textbox>
                  <w:txbxContent>
                    <w:p w14:paraId="2B7C0D0C" w14:textId="77777777" w:rsidR="007004B6" w:rsidRPr="00A14EDC" w:rsidRDefault="007004B6" w:rsidP="007004B6">
                      <w:pPr>
                        <w:pStyle w:val="Caption"/>
                        <w:keepNext/>
                        <w:pBdr>
                          <w:bottom w:val="none" w:sz="0" w:space="0" w:color="auto"/>
                        </w:pBdr>
                        <w:spacing w:after="0" w:line="240" w:lineRule="auto"/>
                        <w:rPr>
                          <w:rFonts w:ascii="Calibri" w:hAnsi="Calibri"/>
                          <w:caps w:val="0"/>
                          <w:color w:val="595959" w:themeColor="text1" w:themeTint="A6"/>
                          <w:sz w:val="21"/>
                        </w:rPr>
                      </w:pPr>
                      <w:r w:rsidRPr="00A14EDC">
                        <w:rPr>
                          <w:rFonts w:ascii="Calibri" w:hAnsi="Calibri"/>
                          <w:caps w:val="0"/>
                          <w:color w:val="595959" w:themeColor="text1" w:themeTint="A6"/>
                          <w:sz w:val="21"/>
                        </w:rPr>
                        <w:t>Advanced level requirement:</w:t>
                      </w:r>
                    </w:p>
                    <w:p w14:paraId="510D4319" w14:textId="77777777" w:rsidR="007004B6" w:rsidRPr="00A14EDC" w:rsidRDefault="007004B6" w:rsidP="007004B6">
                      <w:pPr>
                        <w:pStyle w:val="GHTableBody"/>
                        <w:spacing w:before="0" w:after="0"/>
                        <w:rPr>
                          <w:rFonts w:ascii="Calibri" w:hAnsi="Calibri"/>
                          <w:color w:val="595959" w:themeColor="text1" w:themeTint="A6"/>
                          <w:sz w:val="21"/>
                        </w:rPr>
                      </w:pPr>
                      <w:r w:rsidRPr="00A14EDC">
                        <w:rPr>
                          <w:rFonts w:ascii="Calibri" w:hAnsi="Calibri"/>
                          <w:color w:val="595959" w:themeColor="text1" w:themeTint="A6"/>
                          <w:sz w:val="21"/>
                        </w:rPr>
                        <w:t xml:space="preserve">As for minimum requirement, with the following additional disclosures and/or indicators: </w:t>
                      </w:r>
                    </w:p>
                    <w:p w14:paraId="04D409B3" w14:textId="77777777" w:rsidR="007004B6" w:rsidRPr="00A14EDC" w:rsidRDefault="007004B6" w:rsidP="007004B6">
                      <w:pPr>
                        <w:pStyle w:val="GHTableBody"/>
                        <w:spacing w:before="0" w:after="0"/>
                        <w:ind w:left="108"/>
                        <w:rPr>
                          <w:rFonts w:ascii="Calibri" w:hAnsi="Calibri"/>
                          <w:b/>
                          <w:color w:val="595959" w:themeColor="text1" w:themeTint="A6"/>
                          <w:sz w:val="21"/>
                        </w:rPr>
                      </w:pPr>
                    </w:p>
                    <w:p w14:paraId="5584D5EB" w14:textId="77777777" w:rsidR="007004B6" w:rsidRPr="00A14EDC" w:rsidRDefault="007004B6" w:rsidP="007004B6">
                      <w:pPr>
                        <w:pStyle w:val="GHTableBody"/>
                        <w:spacing w:before="0" w:after="0"/>
                        <w:ind w:left="162"/>
                        <w:rPr>
                          <w:rFonts w:ascii="Calibri" w:hAnsi="Calibri"/>
                          <w:b/>
                          <w:color w:val="595959" w:themeColor="text1" w:themeTint="A6"/>
                          <w:sz w:val="21"/>
                        </w:rPr>
                      </w:pPr>
                      <w:r w:rsidRPr="00A14EDC">
                        <w:rPr>
                          <w:rFonts w:ascii="Calibri" w:hAnsi="Calibri"/>
                          <w:b/>
                          <w:color w:val="595959" w:themeColor="text1" w:themeTint="A6"/>
                          <w:sz w:val="21"/>
                        </w:rPr>
                        <w:t xml:space="preserve">Institutional and governance: </w:t>
                      </w:r>
                    </w:p>
                    <w:p w14:paraId="640F738F"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Details of supply chain</w:t>
                      </w:r>
                    </w:p>
                    <w:p w14:paraId="3FD110F6"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Details of stakeholder engagement surrounding sustainability performance</w:t>
                      </w:r>
                    </w:p>
                    <w:p w14:paraId="5284894E"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Details of remuneration</w:t>
                      </w:r>
                    </w:p>
                    <w:p w14:paraId="41944A4E" w14:textId="77777777" w:rsidR="007004B6" w:rsidRPr="00A14EDC" w:rsidRDefault="007004B6" w:rsidP="007004B6">
                      <w:pPr>
                        <w:pStyle w:val="GHTableBody"/>
                        <w:spacing w:before="0" w:after="0"/>
                        <w:ind w:left="216"/>
                        <w:rPr>
                          <w:rFonts w:ascii="Calibri" w:hAnsi="Calibri"/>
                          <w:b/>
                          <w:color w:val="595959" w:themeColor="text1" w:themeTint="A6"/>
                          <w:sz w:val="21"/>
                        </w:rPr>
                      </w:pPr>
                    </w:p>
                    <w:p w14:paraId="70F36B6C" w14:textId="77777777" w:rsidR="007004B6" w:rsidRPr="00A14EDC" w:rsidRDefault="007004B6" w:rsidP="007004B6">
                      <w:pPr>
                        <w:pStyle w:val="GHTableBody"/>
                        <w:spacing w:before="0" w:after="0"/>
                        <w:ind w:left="216"/>
                        <w:rPr>
                          <w:rFonts w:ascii="Calibri" w:hAnsi="Calibri"/>
                          <w:b/>
                          <w:color w:val="595959" w:themeColor="text1" w:themeTint="A6"/>
                          <w:sz w:val="21"/>
                        </w:rPr>
                      </w:pPr>
                      <w:r w:rsidRPr="00A14EDC">
                        <w:rPr>
                          <w:rFonts w:ascii="Calibri" w:hAnsi="Calibri"/>
                          <w:b/>
                          <w:color w:val="595959" w:themeColor="text1" w:themeTint="A6"/>
                          <w:sz w:val="21"/>
                        </w:rPr>
                        <w:t>Economic</w:t>
                      </w:r>
                    </w:p>
                    <w:p w14:paraId="456D0D50"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Sustainable public procurement policies and practices</w:t>
                      </w:r>
                    </w:p>
                    <w:p w14:paraId="03A4924E"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Percentage or proportion of local suppliers/procurement</w:t>
                      </w:r>
                    </w:p>
                    <w:p w14:paraId="5B8D5E73"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Charitable donations</w:t>
                      </w:r>
                    </w:p>
                    <w:p w14:paraId="596D50BF" w14:textId="77777777" w:rsidR="007004B6" w:rsidRPr="00A14EDC" w:rsidRDefault="007004B6" w:rsidP="007004B6">
                      <w:pPr>
                        <w:pStyle w:val="GHTableBody"/>
                        <w:spacing w:before="0" w:after="0"/>
                        <w:ind w:left="216"/>
                        <w:rPr>
                          <w:rFonts w:ascii="Calibri" w:hAnsi="Calibri"/>
                          <w:b/>
                          <w:color w:val="595959" w:themeColor="text1" w:themeTint="A6"/>
                          <w:sz w:val="21"/>
                        </w:rPr>
                      </w:pPr>
                    </w:p>
                    <w:p w14:paraId="51BF899A" w14:textId="77777777" w:rsidR="007004B6" w:rsidRPr="00A14EDC" w:rsidRDefault="007004B6" w:rsidP="007004B6">
                      <w:pPr>
                        <w:pStyle w:val="GHTableBody"/>
                        <w:spacing w:before="0" w:after="0"/>
                        <w:ind w:left="216"/>
                        <w:rPr>
                          <w:rFonts w:ascii="Calibri" w:hAnsi="Calibri"/>
                          <w:b/>
                          <w:color w:val="595959" w:themeColor="text1" w:themeTint="A6"/>
                          <w:sz w:val="21"/>
                        </w:rPr>
                      </w:pPr>
                      <w:r w:rsidRPr="00A14EDC">
                        <w:rPr>
                          <w:rFonts w:ascii="Calibri" w:hAnsi="Calibri"/>
                          <w:b/>
                          <w:color w:val="595959" w:themeColor="text1" w:themeTint="A6"/>
                          <w:sz w:val="21"/>
                        </w:rPr>
                        <w:t>Environmental</w:t>
                      </w:r>
                    </w:p>
                    <w:p w14:paraId="3C0EA719"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Supplier environmental assessment</w:t>
                      </w:r>
                    </w:p>
                    <w:p w14:paraId="192D2EDE"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Material consumption, sourcing of materials and reclaimed or recycled materials used</w:t>
                      </w:r>
                    </w:p>
                    <w:p w14:paraId="756BCABE"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Energy intensity and renewable energy sources</w:t>
                      </w:r>
                    </w:p>
                    <w:p w14:paraId="434DE1E5"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Water intensity and Integrated water resource management</w:t>
                      </w:r>
                    </w:p>
                    <w:p w14:paraId="1DDFE63C"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GHG intensity</w:t>
                      </w:r>
                    </w:p>
                    <w:p w14:paraId="31904FAF"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Waste intensity</w:t>
                      </w:r>
                    </w:p>
                    <w:p w14:paraId="084DB5C8"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Biodiversity impacts</w:t>
                      </w:r>
                    </w:p>
                    <w:p w14:paraId="28437EE4"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Supplier and consumer/customer engagement on environmental issues</w:t>
                      </w:r>
                    </w:p>
                    <w:p w14:paraId="4067C460" w14:textId="77777777" w:rsidR="007004B6" w:rsidRPr="00A14EDC" w:rsidRDefault="007004B6" w:rsidP="007004B6">
                      <w:pPr>
                        <w:pStyle w:val="GHTableBody"/>
                        <w:spacing w:before="0" w:after="0"/>
                        <w:ind w:left="216"/>
                        <w:rPr>
                          <w:rFonts w:ascii="Calibri" w:hAnsi="Calibri"/>
                          <w:b/>
                          <w:color w:val="595959" w:themeColor="text1" w:themeTint="A6"/>
                          <w:sz w:val="21"/>
                        </w:rPr>
                      </w:pPr>
                    </w:p>
                    <w:p w14:paraId="67E55EA7" w14:textId="77777777" w:rsidR="007004B6" w:rsidRPr="00A14EDC" w:rsidRDefault="007004B6" w:rsidP="007004B6">
                      <w:pPr>
                        <w:pStyle w:val="GHTableBody"/>
                        <w:spacing w:before="0" w:after="0"/>
                        <w:ind w:left="216"/>
                        <w:rPr>
                          <w:rFonts w:ascii="Calibri" w:hAnsi="Calibri"/>
                          <w:b/>
                          <w:color w:val="595959" w:themeColor="text1" w:themeTint="A6"/>
                          <w:sz w:val="21"/>
                        </w:rPr>
                      </w:pPr>
                      <w:r w:rsidRPr="00A14EDC">
                        <w:rPr>
                          <w:rFonts w:ascii="Calibri" w:hAnsi="Calibri"/>
                          <w:b/>
                          <w:color w:val="595959" w:themeColor="text1" w:themeTint="A6"/>
                          <w:sz w:val="21"/>
                        </w:rPr>
                        <w:t>Social</w:t>
                      </w:r>
                    </w:p>
                    <w:p w14:paraId="656D2D51"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Supplier social assessment</w:t>
                      </w:r>
                    </w:p>
                    <w:p w14:paraId="287077E9"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Local community impacts</w:t>
                      </w:r>
                    </w:p>
                    <w:p w14:paraId="7DB4E64E" w14:textId="77777777" w:rsidR="007004B6" w:rsidRPr="00A14EDC" w:rsidRDefault="007004B6"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Supplier and consumer engagement on sustainability issues</w:t>
                      </w:r>
                    </w:p>
                    <w:p w14:paraId="1FF4352D" w14:textId="77777777" w:rsidR="007004B6" w:rsidRPr="00BB56C0" w:rsidRDefault="007004B6" w:rsidP="007004B6">
                      <w:pPr>
                        <w:pStyle w:val="GHTableBody"/>
                        <w:spacing w:before="0" w:after="0"/>
                        <w:jc w:val="both"/>
                        <w:rPr>
                          <w:rFonts w:ascii="Calibri" w:hAnsi="Calibri"/>
                          <w:sz w:val="22"/>
                        </w:rPr>
                      </w:pPr>
                    </w:p>
                  </w:txbxContent>
                </v:textbox>
                <w10:wrap type="square" anchorx="margin"/>
              </v:shape>
            </w:pict>
          </mc:Fallback>
        </mc:AlternateContent>
      </w:r>
      <w:r w:rsidRPr="00E8754D">
        <w:rPr>
          <w:rFonts w:eastAsia="MS PGothic" w:cstheme="minorHAnsi"/>
          <w:color w:val="595959" w:themeColor="text1" w:themeTint="A6"/>
          <w:sz w:val="21"/>
          <w:lang w:eastAsia="en-US"/>
        </w:rPr>
        <w:t xml:space="preserve">The methodology will make allowance for application of the </w:t>
      </w:r>
      <w:r w:rsidRPr="00E8754D">
        <w:rPr>
          <w:rFonts w:eastAsia="MS PGothic" w:cstheme="minorHAnsi"/>
          <w:b/>
          <w:color w:val="595959" w:themeColor="text1" w:themeTint="A6"/>
          <w:sz w:val="21"/>
          <w:u w:val="single"/>
          <w:lang w:eastAsia="en-US"/>
        </w:rPr>
        <w:t>‘comply or explain’ principle for the minimum standard</w:t>
      </w:r>
      <w:r w:rsidRPr="00E8754D">
        <w:rPr>
          <w:rFonts w:eastAsia="MS PGothic" w:cstheme="minorHAnsi"/>
          <w:color w:val="595959" w:themeColor="text1" w:themeTint="A6"/>
          <w:sz w:val="21"/>
          <w:lang w:eastAsia="en-US"/>
        </w:rPr>
        <w:t>, which allows reporting entities to highlight why certain disclosures are not relevant for their specific company and make it more accessible to small companies. However, this would not apply to issues that have been identified as material to the company, on which they are expected to report.</w:t>
      </w:r>
    </w:p>
    <w:p w14:paraId="7C9B3903" w14:textId="77777777" w:rsidR="007004B6" w:rsidRPr="00E8754D" w:rsidRDefault="007004B6" w:rsidP="007004B6">
      <w:pPr>
        <w:pStyle w:val="Caption"/>
        <w:keepNext/>
        <w:pBdr>
          <w:bottom w:val="none" w:sz="0" w:space="0" w:color="auto"/>
        </w:pBdr>
        <w:spacing w:after="0" w:line="240" w:lineRule="auto"/>
        <w:rPr>
          <w:rFonts w:asciiTheme="minorHAnsi" w:hAnsiTheme="minorHAnsi" w:cstheme="minorHAnsi"/>
          <w:caps w:val="0"/>
          <w:color w:val="0070C0"/>
          <w:sz w:val="21"/>
        </w:rPr>
      </w:pPr>
    </w:p>
    <w:p w14:paraId="762D7F3B" w14:textId="57D6C404" w:rsidR="007004B6" w:rsidRDefault="007004B6" w:rsidP="00F719A8">
      <w:pPr>
        <w:pStyle w:val="MHeader2"/>
      </w:pPr>
    </w:p>
    <w:p w14:paraId="514CE3C0" w14:textId="66DAE26E" w:rsidR="00E1050F" w:rsidRPr="00A96255" w:rsidRDefault="00576CFA" w:rsidP="00F719A8">
      <w:pPr>
        <w:pStyle w:val="MHeader2"/>
      </w:pPr>
      <w:r w:rsidRPr="00A96255">
        <w:t>4.d. Validation</w:t>
      </w:r>
    </w:p>
    <w:p w14:paraId="388B39BD" w14:textId="3359B3B8" w:rsidR="00576CFA" w:rsidRPr="00A96255" w:rsidRDefault="00576CFA" w:rsidP="00576CFA">
      <w:pPr>
        <w:pStyle w:val="MText"/>
      </w:pPr>
    </w:p>
    <w:p w14:paraId="49CB8337" w14:textId="195BDE66" w:rsidR="00EC2915" w:rsidRDefault="00EC2915" w:rsidP="00576CFA">
      <w:pPr>
        <w:pStyle w:val="MText"/>
      </w:pPr>
    </w:p>
    <w:p w14:paraId="0025F830" w14:textId="547D6653"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21C05B3C" w:rsidR="00576CFA" w:rsidRPr="00A96255" w:rsidRDefault="00576CFA" w:rsidP="00576CFA">
      <w:pPr>
        <w:pStyle w:val="MText"/>
      </w:pP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6EF23E18" w14:textId="77777777" w:rsidR="007120CE" w:rsidRPr="00E8754D" w:rsidRDefault="007120CE" w:rsidP="007120CE">
      <w:pPr>
        <w:shd w:val="clear" w:color="auto" w:fill="FFFFFF"/>
        <w:spacing w:after="0"/>
        <w:rPr>
          <w:rFonts w:eastAsia="Times New Roman" w:cs="Times New Roman"/>
          <w:color w:val="4A4A4A"/>
          <w:sz w:val="21"/>
          <w:szCs w:val="21"/>
          <w:lang w:eastAsia="en-GB"/>
        </w:rPr>
      </w:pPr>
      <w:r w:rsidRPr="00E8754D">
        <w:rPr>
          <w:rFonts w:eastAsia="Times New Roman" w:cs="Times New Roman"/>
          <w:color w:val="4A4A4A"/>
          <w:sz w:val="21"/>
          <w:szCs w:val="21"/>
          <w:lang w:eastAsia="en-GB"/>
        </w:rPr>
        <w:t xml:space="preserve">The analytics will be carried out in all official UN languages and a variety of other languages, but not all national languages will be covered. </w:t>
      </w:r>
      <w:proofErr w:type="gramStart"/>
      <w:r w:rsidRPr="00E8754D">
        <w:rPr>
          <w:rFonts w:eastAsia="Times New Roman" w:cs="Times New Roman"/>
          <w:color w:val="4A4A4A"/>
          <w:sz w:val="21"/>
          <w:szCs w:val="21"/>
          <w:lang w:eastAsia="en-GB"/>
        </w:rPr>
        <w:t>Therefore</w:t>
      </w:r>
      <w:proofErr w:type="gramEnd"/>
      <w:r w:rsidRPr="00E8754D">
        <w:rPr>
          <w:rFonts w:eastAsia="Times New Roman" w:cs="Times New Roman"/>
          <w:color w:val="4A4A4A"/>
          <w:sz w:val="21"/>
          <w:szCs w:val="21"/>
          <w:lang w:eastAsia="en-GB"/>
        </w:rPr>
        <w:t xml:space="preserve"> there could be some reports that cannot be captured for this reason. </w:t>
      </w:r>
    </w:p>
    <w:p w14:paraId="7D819306" w14:textId="77777777" w:rsidR="007120CE" w:rsidRDefault="007120CE" w:rsidP="00DA615C">
      <w:pPr>
        <w:pStyle w:val="MText"/>
        <w:rPr>
          <w:highlight w:val="yellow"/>
        </w:rPr>
      </w:pPr>
    </w:p>
    <w:p w14:paraId="58DCB865" w14:textId="77777777" w:rsidR="00D51E7C" w:rsidRPr="00781662" w:rsidRDefault="00D51E7C" w:rsidP="00D51E7C">
      <w:pPr>
        <w:pStyle w:val="MText"/>
      </w:pPr>
      <w:r w:rsidRPr="00781662">
        <w:t>•</w:t>
      </w:r>
      <w:r w:rsidRPr="00781662">
        <w:tab/>
        <w:t>At country level</w:t>
      </w:r>
    </w:p>
    <w:p w14:paraId="1B6182A5" w14:textId="54983DC5" w:rsidR="00D51E7C" w:rsidRPr="00781662" w:rsidRDefault="00D51E7C" w:rsidP="00D51E7C">
      <w:pPr>
        <w:pStyle w:val="MText"/>
      </w:pPr>
    </w:p>
    <w:p w14:paraId="06DDC253" w14:textId="77777777" w:rsidR="00D51E7C" w:rsidRDefault="00D51E7C" w:rsidP="00D51E7C">
      <w:pPr>
        <w:pStyle w:val="MText"/>
      </w:pPr>
      <w:r w:rsidRPr="00781662">
        <w:t>•</w:t>
      </w:r>
      <w:r w:rsidRPr="00781662">
        <w:tab/>
        <w:t>At regional and global levels</w:t>
      </w:r>
    </w:p>
    <w:p w14:paraId="04748E1F" w14:textId="77777777" w:rsidR="00D51E7C" w:rsidRDefault="00D51E7C" w:rsidP="00D51E7C">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3A4E13C2" w14:textId="77777777" w:rsidR="00474903" w:rsidRPr="00E8754D" w:rsidRDefault="00474903" w:rsidP="00474903">
      <w:p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lang w:eastAsia="en-GB"/>
        </w:rPr>
        <w:t>The data will be aggregated at the sub-regional, regional and global levels. In doing so, double-counting will be avoided, so a company may appear under several countries, but will only be counted once at regional and global levels.</w:t>
      </w:r>
    </w:p>
    <w:p w14:paraId="26C04CC6" w14:textId="77777777" w:rsidR="00474903" w:rsidRDefault="00474903" w:rsidP="00E1050F">
      <w:pPr>
        <w:pStyle w:val="MText"/>
        <w:rPr>
          <w:highlight w:val="yellow"/>
        </w:rPr>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3EEBE525" w:rsidR="00576CFA" w:rsidRPr="00A96255" w:rsidRDefault="00576CFA" w:rsidP="00576CFA">
      <w:pPr>
        <w:pStyle w:val="MText"/>
      </w:pP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7AC296CD" w:rsidR="00576CFA" w:rsidRPr="00A96255" w:rsidRDefault="00576CFA" w:rsidP="00576CFA">
      <w:pPr>
        <w:pStyle w:val="MText"/>
      </w:pP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E6B04E3" w14:textId="6D3498B6" w:rsidR="00576CFA" w:rsidRPr="00A96255" w:rsidRDefault="00576CFA" w:rsidP="00576CFA">
      <w:pPr>
        <w:pStyle w:val="MText"/>
      </w:pP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AA76230" w14:textId="6D5444F3" w:rsidR="00576CFA" w:rsidRPr="00A96255" w:rsidRDefault="00576CFA" w:rsidP="00576CFA">
      <w:pPr>
        <w:pStyle w:val="MText"/>
      </w:pPr>
      <w:bookmarkStart w:id="6" w:name="_GoBack"/>
      <w:bookmarkEnd w:id="6"/>
    </w:p>
    <w:p w14:paraId="5B7C52CE" w14:textId="6A7BCE3A"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7A4AB439" w14:textId="77777777" w:rsidR="00B20619" w:rsidRPr="00B20619" w:rsidRDefault="00D51E7C" w:rsidP="00B20619">
      <w:pPr>
        <w:pStyle w:val="MText"/>
      </w:pPr>
      <w:r w:rsidRPr="00B20619">
        <w:t>Data availability:</w:t>
      </w:r>
    </w:p>
    <w:p w14:paraId="33952243" w14:textId="400AD2ED" w:rsidR="004E20A0" w:rsidRPr="00B20619" w:rsidRDefault="004E20A0" w:rsidP="00B20619">
      <w:pPr>
        <w:pStyle w:val="MText"/>
      </w:pPr>
      <w:r w:rsidRPr="00B20619">
        <w:lastRenderedPageBreak/>
        <w:t xml:space="preserve">Data will be made available for all member states that have companies publishing sustainability information, as defined by the indicator. </w:t>
      </w:r>
    </w:p>
    <w:p w14:paraId="2D0542F7" w14:textId="3DE6BFAB" w:rsidR="00D51E7C" w:rsidRPr="00B20619" w:rsidRDefault="00D51E7C" w:rsidP="00B20619">
      <w:pPr>
        <w:pStyle w:val="MText"/>
      </w:pPr>
    </w:p>
    <w:p w14:paraId="126FC5EF" w14:textId="77777777" w:rsidR="00B20619" w:rsidRPr="00B20619" w:rsidRDefault="00D51E7C" w:rsidP="00B20619">
      <w:pPr>
        <w:pStyle w:val="MText"/>
      </w:pPr>
      <w:r w:rsidRPr="00B20619">
        <w:t>Time series:</w:t>
      </w:r>
    </w:p>
    <w:p w14:paraId="6C286884" w14:textId="548F2448" w:rsidR="0079360B" w:rsidRPr="00B20619" w:rsidRDefault="0079360B" w:rsidP="00B20619">
      <w:pPr>
        <w:pStyle w:val="MText"/>
      </w:pPr>
      <w:r w:rsidRPr="00B20619">
        <w:t>The reporting on this indicator will be annual, given that most companies publish sustainability information on an annual basis.</w:t>
      </w:r>
    </w:p>
    <w:p w14:paraId="760C013A" w14:textId="4597FCBD" w:rsidR="00D51E7C" w:rsidRPr="00B20619" w:rsidRDefault="00D51E7C" w:rsidP="00B20619">
      <w:pPr>
        <w:pStyle w:val="MText"/>
      </w:pPr>
    </w:p>
    <w:p w14:paraId="530A7D18" w14:textId="77777777" w:rsidR="00F37EC1" w:rsidRDefault="00F37EC1" w:rsidP="00B20619">
      <w:pPr>
        <w:pStyle w:val="MText"/>
      </w:pPr>
    </w:p>
    <w:p w14:paraId="14565C97" w14:textId="77777777" w:rsidR="00F37EC1" w:rsidRDefault="00F37EC1" w:rsidP="00B20619">
      <w:pPr>
        <w:pStyle w:val="MText"/>
      </w:pPr>
    </w:p>
    <w:p w14:paraId="72C7C370" w14:textId="546DD377" w:rsidR="00D51E7C" w:rsidRDefault="00D51E7C" w:rsidP="00B20619">
      <w:pPr>
        <w:pStyle w:val="MText"/>
      </w:pPr>
      <w:r w:rsidRPr="00B20619">
        <w:t>Disaggregation:</w:t>
      </w:r>
    </w:p>
    <w:p w14:paraId="3F78004B" w14:textId="77777777" w:rsidR="001037EF" w:rsidRPr="00E8754D" w:rsidRDefault="001037EF" w:rsidP="001037EF">
      <w:pPr>
        <w:spacing w:after="120" w:line="240" w:lineRule="auto"/>
        <w:rPr>
          <w:rFonts w:ascii="Calibri" w:hAnsi="Calibri"/>
          <w:color w:val="595959" w:themeColor="text1" w:themeTint="A6"/>
          <w:sz w:val="21"/>
        </w:rPr>
      </w:pPr>
      <w:r w:rsidRPr="00E8754D">
        <w:rPr>
          <w:rFonts w:ascii="Calibri" w:hAnsi="Calibri"/>
          <w:color w:val="595959" w:themeColor="text1" w:themeTint="A6"/>
          <w:sz w:val="21"/>
        </w:rPr>
        <w:t xml:space="preserve">The platform will generate the following information for each country, then aggregate per sub-region, region and globally (avoiding double-counting of companies during the aggregation): </w:t>
      </w:r>
    </w:p>
    <w:p w14:paraId="79B008FF" w14:textId="77777777" w:rsidR="001037EF" w:rsidRPr="00E8754D" w:rsidRDefault="001037EF" w:rsidP="001037EF">
      <w:pPr>
        <w:pStyle w:val="GHFeaturedlist"/>
        <w:numPr>
          <w:ilvl w:val="0"/>
          <w:numId w:val="10"/>
        </w:numPr>
        <w:spacing w:after="120" w:line="240" w:lineRule="auto"/>
        <w:ind w:left="360"/>
        <w:rPr>
          <w:rFonts w:ascii="Calibri" w:hAnsi="Calibri"/>
          <w:b/>
          <w:color w:val="595959" w:themeColor="text1" w:themeTint="A6"/>
          <w:sz w:val="21"/>
        </w:rPr>
      </w:pPr>
      <w:r w:rsidRPr="00E8754D">
        <w:rPr>
          <w:rFonts w:ascii="Calibri" w:hAnsi="Calibri"/>
          <w:b/>
          <w:color w:val="595959" w:themeColor="text1" w:themeTint="A6"/>
          <w:sz w:val="21"/>
        </w:rPr>
        <w:t>Total number of companies publishing reports that:</w:t>
      </w:r>
    </w:p>
    <w:p w14:paraId="715610FA" w14:textId="77777777" w:rsidR="001037EF" w:rsidRPr="00E8754D" w:rsidRDefault="001037EF" w:rsidP="001037EF">
      <w:pPr>
        <w:pStyle w:val="GHFeaturedlist"/>
        <w:numPr>
          <w:ilvl w:val="0"/>
          <w:numId w:val="11"/>
        </w:numPr>
        <w:spacing w:after="120" w:line="240" w:lineRule="auto"/>
        <w:rPr>
          <w:rFonts w:ascii="Calibri" w:hAnsi="Calibri"/>
          <w:b/>
          <w:color w:val="595959" w:themeColor="text1" w:themeTint="A6"/>
          <w:sz w:val="21"/>
        </w:rPr>
      </w:pPr>
      <w:r w:rsidRPr="00E8754D">
        <w:rPr>
          <w:rFonts w:ascii="Calibri" w:hAnsi="Calibri"/>
          <w:b/>
          <w:color w:val="595959" w:themeColor="text1" w:themeTint="A6"/>
          <w:sz w:val="21"/>
        </w:rPr>
        <w:t xml:space="preserve">Meet the minimum requirements </w:t>
      </w:r>
    </w:p>
    <w:p w14:paraId="0DD627DB" w14:textId="77777777" w:rsidR="001037EF" w:rsidRPr="00E8754D" w:rsidRDefault="001037EF" w:rsidP="001037EF">
      <w:pPr>
        <w:pStyle w:val="GHFeaturedlist"/>
        <w:numPr>
          <w:ilvl w:val="0"/>
          <w:numId w:val="11"/>
        </w:numPr>
        <w:spacing w:after="120" w:line="240" w:lineRule="auto"/>
        <w:rPr>
          <w:rFonts w:ascii="Calibri" w:hAnsi="Calibri"/>
          <w:b/>
          <w:color w:val="595959" w:themeColor="text1" w:themeTint="A6"/>
          <w:sz w:val="21"/>
        </w:rPr>
      </w:pPr>
      <w:r w:rsidRPr="00E8754D">
        <w:rPr>
          <w:rFonts w:ascii="Calibri" w:hAnsi="Calibri"/>
          <w:b/>
          <w:color w:val="595959" w:themeColor="text1" w:themeTint="A6"/>
          <w:sz w:val="21"/>
        </w:rPr>
        <w:t>Meet the advanced level requirement</w:t>
      </w:r>
    </w:p>
    <w:p w14:paraId="6BC3B8B9" w14:textId="77777777" w:rsidR="001037EF" w:rsidRPr="00E8754D" w:rsidRDefault="001037EF" w:rsidP="001037EF">
      <w:pPr>
        <w:pStyle w:val="GHFeaturedlist"/>
        <w:numPr>
          <w:ilvl w:val="0"/>
          <w:numId w:val="0"/>
        </w:numPr>
        <w:spacing w:after="120" w:line="240" w:lineRule="auto"/>
        <w:ind w:left="1080"/>
        <w:rPr>
          <w:rFonts w:ascii="Calibri" w:hAnsi="Calibri"/>
          <w:b/>
          <w:color w:val="595959" w:themeColor="text1" w:themeTint="A6"/>
          <w:sz w:val="21"/>
        </w:rPr>
      </w:pPr>
    </w:p>
    <w:p w14:paraId="4E928BF0" w14:textId="77777777" w:rsidR="001037EF" w:rsidRPr="00E8754D" w:rsidRDefault="001037EF" w:rsidP="001037EF">
      <w:pPr>
        <w:pStyle w:val="ListParagraph"/>
        <w:numPr>
          <w:ilvl w:val="0"/>
          <w:numId w:val="10"/>
        </w:numPr>
        <w:shd w:val="clear" w:color="auto" w:fill="FFFFFF"/>
        <w:spacing w:after="0"/>
        <w:ind w:left="360" w:hanging="270"/>
        <w:rPr>
          <w:rFonts w:eastAsia="Times New Roman" w:cs="Times New Roman"/>
          <w:b/>
          <w:color w:val="4A4A4A"/>
          <w:sz w:val="21"/>
          <w:szCs w:val="21"/>
          <w:lang w:eastAsia="en-GB"/>
        </w:rPr>
      </w:pPr>
      <w:r w:rsidRPr="00E8754D">
        <w:rPr>
          <w:rFonts w:eastAsia="Times New Roman" w:cs="Times New Roman"/>
          <w:b/>
          <w:color w:val="4A4A4A"/>
          <w:sz w:val="21"/>
          <w:szCs w:val="21"/>
          <w:lang w:eastAsia="en-GB"/>
        </w:rPr>
        <w:t>Inclusion of a company under a specific country</w:t>
      </w:r>
    </w:p>
    <w:p w14:paraId="670F6468" w14:textId="77777777" w:rsidR="001037EF" w:rsidRPr="00E8754D" w:rsidRDefault="001037EF" w:rsidP="001037EF">
      <w:pPr>
        <w:shd w:val="clear" w:color="auto" w:fill="FFFFFF"/>
        <w:spacing w:after="0"/>
        <w:rPr>
          <w:rFonts w:eastAsia="Times New Roman" w:cs="Times New Roman"/>
          <w:color w:val="4A4A4A"/>
          <w:sz w:val="21"/>
          <w:szCs w:val="21"/>
          <w:lang w:eastAsia="en-GB"/>
        </w:rPr>
      </w:pPr>
      <w:r w:rsidRPr="00E8754D">
        <w:rPr>
          <w:rFonts w:eastAsia="Times New Roman" w:cs="Times New Roman"/>
          <w:color w:val="4A4A4A"/>
          <w:sz w:val="21"/>
          <w:szCs w:val="21"/>
          <w:lang w:eastAsia="en-GB"/>
        </w:rPr>
        <w:t>It is proposed that:</w:t>
      </w:r>
    </w:p>
    <w:p w14:paraId="548BCB0A" w14:textId="77777777" w:rsidR="001037EF" w:rsidRPr="00E8754D" w:rsidRDefault="001037EF" w:rsidP="001037EF">
      <w:pPr>
        <w:pStyle w:val="ListParagraph"/>
        <w:numPr>
          <w:ilvl w:val="0"/>
          <w:numId w:val="8"/>
        </w:numPr>
        <w:shd w:val="clear" w:color="auto" w:fill="FFFFFF"/>
        <w:spacing w:after="0"/>
        <w:rPr>
          <w:rFonts w:eastAsia="Times New Roman" w:cs="Times New Roman"/>
          <w:color w:val="4A4A4A"/>
          <w:sz w:val="21"/>
          <w:szCs w:val="21"/>
          <w:lang w:eastAsia="en-GB"/>
        </w:rPr>
      </w:pPr>
      <w:r w:rsidRPr="00E8754D">
        <w:rPr>
          <w:rFonts w:eastAsia="Times New Roman" w:cs="Times New Roman"/>
          <w:color w:val="4A4A4A"/>
          <w:sz w:val="21"/>
          <w:szCs w:val="21"/>
          <w:lang w:eastAsia="en-GB"/>
        </w:rPr>
        <w:t xml:space="preserve">Multi-national companies are included in the country in which they are listed, or in the country where the head office is found. </w:t>
      </w:r>
    </w:p>
    <w:p w14:paraId="11F90FA2" w14:textId="77777777" w:rsidR="001037EF" w:rsidRPr="00E8754D" w:rsidRDefault="001037EF" w:rsidP="001037EF">
      <w:pPr>
        <w:pStyle w:val="ListParagraph"/>
        <w:numPr>
          <w:ilvl w:val="0"/>
          <w:numId w:val="8"/>
        </w:numPr>
        <w:shd w:val="clear" w:color="auto" w:fill="FFFFFF"/>
        <w:spacing w:after="0"/>
        <w:rPr>
          <w:rFonts w:eastAsia="Times New Roman" w:cs="Times New Roman"/>
          <w:color w:val="4A4A4A"/>
          <w:sz w:val="21"/>
          <w:szCs w:val="21"/>
          <w:lang w:eastAsia="en-GB"/>
        </w:rPr>
      </w:pPr>
      <w:r w:rsidRPr="00E8754D">
        <w:rPr>
          <w:rFonts w:eastAsia="Times New Roman" w:cs="Times New Roman"/>
          <w:color w:val="4A4A4A"/>
          <w:sz w:val="21"/>
          <w:szCs w:val="21"/>
          <w:lang w:eastAsia="en-GB"/>
        </w:rPr>
        <w:t>When a multinational company produces specific separate reports, with disaggregated information per country, for the different countries they operate in, these would be counted separately under the indicator count for each country.</w:t>
      </w:r>
    </w:p>
    <w:p w14:paraId="1AD97AE4" w14:textId="77777777" w:rsidR="001037EF" w:rsidRPr="00E8754D" w:rsidRDefault="001037EF" w:rsidP="001037EF">
      <w:pPr>
        <w:pStyle w:val="GHFeaturedlist"/>
        <w:numPr>
          <w:ilvl w:val="0"/>
          <w:numId w:val="0"/>
        </w:numPr>
        <w:spacing w:after="120" w:line="240" w:lineRule="auto"/>
        <w:ind w:left="-927"/>
        <w:rPr>
          <w:rFonts w:ascii="Calibri" w:hAnsi="Calibri"/>
          <w:b/>
          <w:color w:val="595959" w:themeColor="text1" w:themeTint="A6"/>
          <w:sz w:val="21"/>
        </w:rPr>
      </w:pPr>
    </w:p>
    <w:p w14:paraId="244C49C8" w14:textId="77777777" w:rsidR="001037EF" w:rsidRPr="00E8754D" w:rsidRDefault="001037EF" w:rsidP="001037EF">
      <w:pPr>
        <w:pStyle w:val="GHFeaturedlist"/>
        <w:numPr>
          <w:ilvl w:val="0"/>
          <w:numId w:val="10"/>
        </w:numPr>
        <w:spacing w:after="120" w:line="240" w:lineRule="auto"/>
        <w:rPr>
          <w:rFonts w:ascii="Calibri" w:hAnsi="Calibri"/>
          <w:b/>
          <w:color w:val="595959" w:themeColor="text1" w:themeTint="A6"/>
          <w:sz w:val="21"/>
        </w:rPr>
      </w:pPr>
      <w:r w:rsidRPr="00E8754D">
        <w:rPr>
          <w:rFonts w:ascii="Calibri" w:hAnsi="Calibri"/>
          <w:b/>
          <w:color w:val="595959" w:themeColor="text1" w:themeTint="A6"/>
          <w:sz w:val="21"/>
        </w:rPr>
        <w:t>Data disaggregated per company size</w:t>
      </w:r>
    </w:p>
    <w:p w14:paraId="1DB7460A" w14:textId="77777777" w:rsidR="001037EF" w:rsidRPr="00E8754D" w:rsidRDefault="001037EF" w:rsidP="001037EF">
      <w:pPr>
        <w:spacing w:after="120" w:line="240" w:lineRule="auto"/>
        <w:rPr>
          <w:rFonts w:ascii="Calibri" w:hAnsi="Calibri"/>
          <w:color w:val="595959" w:themeColor="text1" w:themeTint="A6"/>
          <w:sz w:val="21"/>
        </w:rPr>
      </w:pPr>
      <w:r w:rsidRPr="00E8754D">
        <w:rPr>
          <w:rFonts w:ascii="Calibri" w:hAnsi="Calibri"/>
          <w:color w:val="595959" w:themeColor="text1" w:themeTint="A6"/>
          <w:sz w:val="21"/>
        </w:rPr>
        <w:t xml:space="preserve">Company sizes are currently defined differently in different jurisdictions. For Indicator 12.6.1, a simple split of ‘large’ and ‘small’ could be proposed, with large being more than 250 employees, and small and medium being less than 250 employees. This is in line with the Global Reporting Initiative (GRI), UN Global Compact definitions, and is the most frequent definition at the national level in terms of employee number. No minimum turnover requirement is prescribed due to the wide variation in turnover of companies of this size between countries. </w:t>
      </w:r>
    </w:p>
    <w:p w14:paraId="1B06B2F2" w14:textId="77777777" w:rsidR="001037EF" w:rsidRPr="00E8754D" w:rsidRDefault="001037EF" w:rsidP="001037EF">
      <w:pPr>
        <w:spacing w:after="0" w:line="240" w:lineRule="auto"/>
        <w:rPr>
          <w:rFonts w:ascii="Calibri" w:hAnsi="Calibri"/>
          <w:color w:val="595959" w:themeColor="text1" w:themeTint="A6"/>
          <w:sz w:val="21"/>
        </w:rPr>
      </w:pPr>
      <w:r w:rsidRPr="00E8754D">
        <w:rPr>
          <w:rFonts w:ascii="Calibri" w:hAnsi="Calibri"/>
          <w:color w:val="595959" w:themeColor="text1" w:themeTint="A6"/>
          <w:sz w:val="21"/>
        </w:rPr>
        <w:t>This is the definition of a company size that will be used by the custodian agencies for aggregation and comparability of data and analysis of trends at sub-regional, regional and global levels. However, definitions of company size used by national governments when carrying out their own analysis and presenting their Voluntary National Reviews could be different, in line with their national definitions.</w:t>
      </w:r>
    </w:p>
    <w:p w14:paraId="6B0BA210" w14:textId="77777777" w:rsidR="001037EF" w:rsidRPr="00E8754D" w:rsidRDefault="001037EF" w:rsidP="001037EF">
      <w:pPr>
        <w:pStyle w:val="GHFeaturedlist"/>
        <w:numPr>
          <w:ilvl w:val="0"/>
          <w:numId w:val="0"/>
        </w:numPr>
        <w:spacing w:after="0" w:line="240" w:lineRule="auto"/>
        <w:ind w:left="850" w:hanging="288"/>
        <w:contextualSpacing w:val="0"/>
        <w:rPr>
          <w:rFonts w:ascii="Calibri" w:hAnsi="Calibri"/>
          <w:color w:val="595959" w:themeColor="text1" w:themeTint="A6"/>
          <w:sz w:val="21"/>
        </w:rPr>
      </w:pPr>
    </w:p>
    <w:p w14:paraId="385529D6" w14:textId="77777777" w:rsidR="001037EF" w:rsidRPr="00E8754D" w:rsidRDefault="001037EF" w:rsidP="001037EF">
      <w:pPr>
        <w:pStyle w:val="GHFeaturedlist"/>
        <w:numPr>
          <w:ilvl w:val="0"/>
          <w:numId w:val="10"/>
        </w:numPr>
        <w:spacing w:after="120" w:line="240" w:lineRule="auto"/>
        <w:rPr>
          <w:rFonts w:ascii="Calibri" w:hAnsi="Calibri"/>
          <w:b/>
          <w:color w:val="595959" w:themeColor="text1" w:themeTint="A6"/>
          <w:sz w:val="21"/>
        </w:rPr>
      </w:pPr>
      <w:r w:rsidRPr="00E8754D">
        <w:rPr>
          <w:rFonts w:ascii="Calibri" w:hAnsi="Calibri"/>
          <w:b/>
          <w:color w:val="595959" w:themeColor="text1" w:themeTint="A6"/>
          <w:sz w:val="21"/>
        </w:rPr>
        <w:t>Data disaggregated per sector</w:t>
      </w:r>
    </w:p>
    <w:p w14:paraId="3632D17B" w14:textId="77777777" w:rsidR="001037EF" w:rsidRPr="00E8754D" w:rsidRDefault="001037EF" w:rsidP="001037EF">
      <w:pPr>
        <w:pStyle w:val="GHFeaturedlist"/>
        <w:numPr>
          <w:ilvl w:val="0"/>
          <w:numId w:val="0"/>
        </w:numPr>
        <w:spacing w:after="120" w:line="240" w:lineRule="auto"/>
        <w:ind w:left="1287"/>
        <w:rPr>
          <w:rFonts w:ascii="Calibri" w:hAnsi="Calibri"/>
          <w:b/>
          <w:color w:val="595959" w:themeColor="text1" w:themeTint="A6"/>
          <w:sz w:val="21"/>
        </w:rPr>
      </w:pPr>
    </w:p>
    <w:p w14:paraId="569B343F" w14:textId="77777777" w:rsidR="001037EF" w:rsidRPr="00E8754D" w:rsidRDefault="001037EF" w:rsidP="001037EF">
      <w:pPr>
        <w:pStyle w:val="GHFeaturedlist"/>
        <w:numPr>
          <w:ilvl w:val="0"/>
          <w:numId w:val="0"/>
        </w:numPr>
        <w:spacing w:after="120" w:line="240" w:lineRule="auto"/>
        <w:rPr>
          <w:rFonts w:ascii="Calibri" w:hAnsi="Calibri"/>
          <w:color w:val="595959" w:themeColor="text1" w:themeTint="A6"/>
          <w:sz w:val="21"/>
        </w:rPr>
      </w:pPr>
      <w:r w:rsidRPr="00E8754D">
        <w:rPr>
          <w:rFonts w:ascii="Calibri" w:hAnsi="Calibri"/>
          <w:color w:val="595959" w:themeColor="text1" w:themeTint="A6"/>
          <w:sz w:val="21"/>
        </w:rPr>
        <w:t>We propose to use the International Standard Industrial Classification of All Economic Activities (ISIC) (first level classification) to provide information on the number of companies publishing sustainability reports per industry.</w:t>
      </w:r>
    </w:p>
    <w:p w14:paraId="1B30498D" w14:textId="77777777" w:rsidR="001037EF" w:rsidRPr="00E8754D" w:rsidRDefault="001037EF" w:rsidP="001037EF">
      <w:pPr>
        <w:shd w:val="clear" w:color="auto" w:fill="FFFFFF"/>
        <w:spacing w:after="0" w:line="240" w:lineRule="auto"/>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A. Agriculture, forestry and fishing</w:t>
      </w:r>
    </w:p>
    <w:p w14:paraId="268278F2" w14:textId="77777777" w:rsidR="001037EF" w:rsidRPr="00E8754D" w:rsidRDefault="001037EF" w:rsidP="001037EF">
      <w:pPr>
        <w:shd w:val="clear" w:color="auto" w:fill="FFFFFF"/>
        <w:spacing w:after="0" w:line="240" w:lineRule="auto"/>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B. Mining and quarrying</w:t>
      </w:r>
    </w:p>
    <w:p w14:paraId="7666A3C4" w14:textId="77777777" w:rsidR="001037EF" w:rsidRPr="00E8754D" w:rsidRDefault="001037EF" w:rsidP="001037EF">
      <w:pPr>
        <w:shd w:val="clear" w:color="auto" w:fill="FFFFFF"/>
        <w:spacing w:after="0" w:line="240" w:lineRule="auto"/>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C. Manufacturing</w:t>
      </w:r>
    </w:p>
    <w:p w14:paraId="5AA59DD2" w14:textId="77777777" w:rsidR="001037EF" w:rsidRPr="00E8754D" w:rsidRDefault="001037EF" w:rsidP="001037EF">
      <w:pPr>
        <w:shd w:val="clear" w:color="auto" w:fill="FFFFFF"/>
        <w:spacing w:after="0" w:line="240" w:lineRule="auto"/>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D. Electricity, gas, steam and air conditioning supply</w:t>
      </w:r>
    </w:p>
    <w:p w14:paraId="1EA478CD" w14:textId="77777777" w:rsidR="001037EF" w:rsidRPr="00E8754D" w:rsidRDefault="001037EF" w:rsidP="001037EF">
      <w:pPr>
        <w:shd w:val="clear" w:color="auto" w:fill="FFFFFF"/>
        <w:spacing w:after="0" w:line="240" w:lineRule="auto"/>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E. Water supply; sewerage, waste management and remediation activities</w:t>
      </w:r>
    </w:p>
    <w:p w14:paraId="26BB1F73" w14:textId="77777777" w:rsidR="001037EF" w:rsidRPr="00E8754D" w:rsidRDefault="001037EF" w:rsidP="001037EF">
      <w:pPr>
        <w:shd w:val="clear" w:color="auto" w:fill="FFFFFF"/>
        <w:spacing w:after="0" w:line="240" w:lineRule="auto"/>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F. Construction</w:t>
      </w:r>
    </w:p>
    <w:p w14:paraId="73B2437C" w14:textId="77777777" w:rsidR="001037EF" w:rsidRPr="00E8754D" w:rsidRDefault="001037EF" w:rsidP="001037EF">
      <w:pPr>
        <w:shd w:val="clear" w:color="auto" w:fill="FFFFFF"/>
        <w:spacing w:after="0" w:line="240" w:lineRule="auto"/>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G. Wholesale and retail trade; repair of motor vehicles and motorcycles</w:t>
      </w:r>
    </w:p>
    <w:p w14:paraId="18D3DB8B" w14:textId="77777777" w:rsidR="001037EF" w:rsidRPr="00E8754D" w:rsidRDefault="001037EF" w:rsidP="001037EF">
      <w:pPr>
        <w:shd w:val="clear" w:color="auto" w:fill="FFFFFF"/>
        <w:spacing w:after="0" w:line="240" w:lineRule="auto"/>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H. Transportation and storage</w:t>
      </w:r>
    </w:p>
    <w:p w14:paraId="129A21C4" w14:textId="77777777" w:rsidR="001037EF" w:rsidRPr="00E8754D" w:rsidRDefault="001037EF" w:rsidP="001037EF">
      <w:pPr>
        <w:shd w:val="clear" w:color="auto" w:fill="FFFFFF"/>
        <w:spacing w:after="0" w:line="240" w:lineRule="auto"/>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lastRenderedPageBreak/>
        <w:t>I. Accommodation and food service activities</w:t>
      </w:r>
    </w:p>
    <w:p w14:paraId="3E0E0D82" w14:textId="77777777" w:rsidR="001037EF" w:rsidRPr="00E8754D" w:rsidRDefault="001037EF" w:rsidP="001037EF">
      <w:pPr>
        <w:shd w:val="clear" w:color="auto" w:fill="FFFFFF"/>
        <w:spacing w:after="0" w:line="240" w:lineRule="auto"/>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J. Information and communication</w:t>
      </w:r>
    </w:p>
    <w:p w14:paraId="3C28FBA2" w14:textId="77777777" w:rsidR="001037EF" w:rsidRPr="00E8754D" w:rsidRDefault="001037EF" w:rsidP="001037EF">
      <w:pPr>
        <w:shd w:val="clear" w:color="auto" w:fill="FFFFFF"/>
        <w:spacing w:after="0" w:line="240" w:lineRule="auto"/>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K. Financial and insurance activities</w:t>
      </w:r>
    </w:p>
    <w:p w14:paraId="0B4A53AA" w14:textId="77777777" w:rsidR="001037EF" w:rsidRPr="00E8754D" w:rsidRDefault="001037EF" w:rsidP="001037EF">
      <w:pPr>
        <w:shd w:val="clear" w:color="auto" w:fill="FFFFFF"/>
        <w:spacing w:after="0" w:line="240" w:lineRule="auto"/>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L. Real estate activities</w:t>
      </w:r>
    </w:p>
    <w:p w14:paraId="3D78641E" w14:textId="77777777" w:rsidR="001037EF" w:rsidRPr="00E8754D" w:rsidRDefault="001037EF" w:rsidP="001037EF">
      <w:pPr>
        <w:shd w:val="clear" w:color="auto" w:fill="FFFFFF"/>
        <w:spacing w:after="0" w:line="240" w:lineRule="auto"/>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M. Professional, scientific and technical activities</w:t>
      </w:r>
    </w:p>
    <w:p w14:paraId="4EA5B80D" w14:textId="77777777" w:rsidR="001037EF" w:rsidRPr="00E8754D" w:rsidRDefault="001037EF" w:rsidP="001037EF">
      <w:pPr>
        <w:shd w:val="clear" w:color="auto" w:fill="FFFFFF"/>
        <w:spacing w:after="0" w:line="240" w:lineRule="auto"/>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N. Administrative and support service activities</w:t>
      </w:r>
    </w:p>
    <w:p w14:paraId="4692ACCE" w14:textId="77777777" w:rsidR="001037EF" w:rsidRPr="00E8754D" w:rsidRDefault="001037EF" w:rsidP="001037EF">
      <w:pPr>
        <w:shd w:val="clear" w:color="auto" w:fill="FFFFFF"/>
        <w:spacing w:after="0" w:line="240" w:lineRule="auto"/>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 xml:space="preserve">O. Public administration and </w:t>
      </w:r>
      <w:proofErr w:type="spellStart"/>
      <w:r w:rsidRPr="00E8754D">
        <w:rPr>
          <w:rFonts w:ascii="Calibri" w:eastAsia="Times New Roman" w:hAnsi="Calibri" w:cs="Calibri"/>
          <w:color w:val="595959" w:themeColor="text1" w:themeTint="A6"/>
          <w:sz w:val="21"/>
          <w:szCs w:val="21"/>
        </w:rPr>
        <w:t>defense</w:t>
      </w:r>
      <w:proofErr w:type="spellEnd"/>
      <w:r w:rsidRPr="00E8754D">
        <w:rPr>
          <w:rFonts w:ascii="Calibri" w:eastAsia="Times New Roman" w:hAnsi="Calibri" w:cs="Calibri"/>
          <w:color w:val="595959" w:themeColor="text1" w:themeTint="A6"/>
          <w:sz w:val="21"/>
          <w:szCs w:val="21"/>
        </w:rPr>
        <w:t>; compulsory social security</w:t>
      </w:r>
    </w:p>
    <w:p w14:paraId="03FC2BC3" w14:textId="77777777" w:rsidR="001037EF" w:rsidRPr="00E8754D" w:rsidRDefault="001037EF" w:rsidP="001037EF">
      <w:pPr>
        <w:shd w:val="clear" w:color="auto" w:fill="FFFFFF"/>
        <w:spacing w:after="0" w:line="240" w:lineRule="auto"/>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P. Education</w:t>
      </w:r>
    </w:p>
    <w:p w14:paraId="7C2791E8" w14:textId="77777777" w:rsidR="001037EF" w:rsidRPr="00E8754D" w:rsidRDefault="001037EF" w:rsidP="001037EF">
      <w:pPr>
        <w:shd w:val="clear" w:color="auto" w:fill="FFFFFF"/>
        <w:spacing w:after="0" w:line="240" w:lineRule="auto"/>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Q. Human health and social work activities</w:t>
      </w:r>
    </w:p>
    <w:p w14:paraId="151568B8" w14:textId="77777777" w:rsidR="001037EF" w:rsidRPr="00E8754D" w:rsidRDefault="001037EF" w:rsidP="001037EF">
      <w:pPr>
        <w:shd w:val="clear" w:color="auto" w:fill="FFFFFF"/>
        <w:spacing w:after="0" w:line="240" w:lineRule="auto"/>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R. Arts, entertainment and recreation</w:t>
      </w:r>
    </w:p>
    <w:p w14:paraId="715F22FF" w14:textId="77777777" w:rsidR="001037EF" w:rsidRPr="00E8754D" w:rsidRDefault="001037EF" w:rsidP="001037EF">
      <w:pPr>
        <w:shd w:val="clear" w:color="auto" w:fill="FFFFFF"/>
        <w:spacing w:after="0" w:line="240" w:lineRule="auto"/>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S. Other service activities</w:t>
      </w:r>
    </w:p>
    <w:p w14:paraId="69CE8DC4" w14:textId="77777777" w:rsidR="001037EF" w:rsidRPr="00E8754D" w:rsidRDefault="001037EF" w:rsidP="001037EF">
      <w:pPr>
        <w:shd w:val="clear" w:color="auto" w:fill="FFFFFF"/>
        <w:spacing w:after="0" w:line="240" w:lineRule="auto"/>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T. Activities of households as employers; undifferentiated goods- and services-producing activities of households for own use</w:t>
      </w:r>
    </w:p>
    <w:p w14:paraId="34217F3B" w14:textId="77777777" w:rsidR="001037EF" w:rsidRPr="00E8754D" w:rsidRDefault="001037EF" w:rsidP="001037EF">
      <w:pPr>
        <w:shd w:val="clear" w:color="auto" w:fill="FFFFFF"/>
        <w:spacing w:after="0" w:line="240" w:lineRule="auto"/>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U. Activities of extraterritorial organizations and bodies</w:t>
      </w:r>
    </w:p>
    <w:p w14:paraId="041ACAE9" w14:textId="77777777" w:rsidR="001037EF" w:rsidRPr="00E8754D" w:rsidRDefault="001037EF" w:rsidP="001037EF">
      <w:pPr>
        <w:pStyle w:val="GHFeaturedlist"/>
        <w:numPr>
          <w:ilvl w:val="0"/>
          <w:numId w:val="0"/>
        </w:numPr>
        <w:spacing w:after="120" w:line="240" w:lineRule="auto"/>
        <w:rPr>
          <w:rFonts w:ascii="Calibri" w:hAnsi="Calibri"/>
          <w:b/>
          <w:color w:val="595959" w:themeColor="text1" w:themeTint="A6"/>
          <w:sz w:val="21"/>
        </w:rPr>
      </w:pPr>
    </w:p>
    <w:p w14:paraId="12E70345" w14:textId="77777777" w:rsidR="001037EF" w:rsidRPr="00E8754D" w:rsidRDefault="001037EF" w:rsidP="001037EF">
      <w:pPr>
        <w:pStyle w:val="GHFeaturedlist"/>
        <w:numPr>
          <w:ilvl w:val="0"/>
          <w:numId w:val="10"/>
        </w:numPr>
        <w:spacing w:after="120" w:line="240" w:lineRule="auto"/>
        <w:rPr>
          <w:rFonts w:ascii="Calibri" w:hAnsi="Calibri"/>
          <w:b/>
          <w:color w:val="595959" w:themeColor="text1" w:themeTint="A6"/>
          <w:sz w:val="21"/>
        </w:rPr>
      </w:pPr>
      <w:r w:rsidRPr="00E8754D">
        <w:rPr>
          <w:rFonts w:ascii="Calibri" w:hAnsi="Calibri"/>
          <w:b/>
          <w:color w:val="595959" w:themeColor="text1" w:themeTint="A6"/>
          <w:sz w:val="21"/>
        </w:rPr>
        <w:t>Proportion of reports that have undergone verification/assurance of complete report</w:t>
      </w:r>
    </w:p>
    <w:p w14:paraId="43753181" w14:textId="77777777" w:rsidR="001037EF" w:rsidRPr="00E8754D" w:rsidRDefault="001037EF" w:rsidP="001037EF">
      <w:pPr>
        <w:pStyle w:val="GHFeaturedlist"/>
        <w:numPr>
          <w:ilvl w:val="0"/>
          <w:numId w:val="0"/>
        </w:numPr>
        <w:spacing w:after="120" w:line="240" w:lineRule="auto"/>
        <w:rPr>
          <w:rFonts w:ascii="Calibri" w:hAnsi="Calibri"/>
          <w:color w:val="595959" w:themeColor="text1" w:themeTint="A6"/>
          <w:sz w:val="21"/>
        </w:rPr>
      </w:pPr>
    </w:p>
    <w:p w14:paraId="01F8E7A0" w14:textId="77777777" w:rsidR="001037EF" w:rsidRPr="00E8754D" w:rsidRDefault="001037EF" w:rsidP="001037EF">
      <w:pPr>
        <w:pStyle w:val="GHFeaturedlist"/>
        <w:numPr>
          <w:ilvl w:val="0"/>
          <w:numId w:val="0"/>
        </w:numPr>
        <w:spacing w:after="120" w:line="240" w:lineRule="auto"/>
        <w:rPr>
          <w:rFonts w:ascii="Calibri" w:hAnsi="Calibri"/>
          <w:color w:val="595959" w:themeColor="text1" w:themeTint="A6"/>
          <w:sz w:val="21"/>
        </w:rPr>
      </w:pPr>
      <w:r w:rsidRPr="00E8754D">
        <w:rPr>
          <w:rFonts w:ascii="Calibri" w:hAnsi="Calibri"/>
          <w:color w:val="595959" w:themeColor="text1" w:themeTint="A6"/>
          <w:sz w:val="21"/>
        </w:rPr>
        <w:t>Complete list of accepted assurance standards and tools to be defined.</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58CD9983" w14:textId="77777777" w:rsidR="00B20619" w:rsidRPr="00B20619" w:rsidRDefault="00D51E7C" w:rsidP="00B20619">
      <w:pPr>
        <w:pStyle w:val="MText"/>
      </w:pPr>
      <w:r w:rsidRPr="00B20619">
        <w:t>Sources of discrepancies:</w:t>
      </w:r>
    </w:p>
    <w:p w14:paraId="21259E2D" w14:textId="7ABA514B" w:rsidR="009657DD" w:rsidRPr="00B20619" w:rsidRDefault="009657DD" w:rsidP="00B20619">
      <w:pPr>
        <w:pStyle w:val="MText"/>
      </w:pPr>
      <w:r w:rsidRPr="00B20619">
        <w:t>N/A</w:t>
      </w:r>
    </w:p>
    <w:p w14:paraId="3595E072" w14:textId="3B31E144" w:rsidR="00D51E7C" w:rsidRDefault="00D51E7C"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18E913AE" w14:textId="2CCBB504" w:rsidR="00576CFA" w:rsidRPr="00A96255" w:rsidRDefault="008553EA" w:rsidP="00576CFA">
      <w:pPr>
        <w:pStyle w:val="MText"/>
      </w:pPr>
      <w:r w:rsidRPr="008553EA">
        <w:t>N/A</w:t>
      </w:r>
    </w:p>
    <w:p w14:paraId="384B0992" w14:textId="0077BB5F" w:rsidR="00186795" w:rsidRDefault="00186795"/>
    <w:p w14:paraId="0C5BEA28" w14:textId="43E6B2AF" w:rsidR="00C82BC4" w:rsidRDefault="00C82BC4">
      <w:r>
        <w:br w:type="page"/>
      </w:r>
    </w:p>
    <w:p w14:paraId="253E9228" w14:textId="77777777" w:rsidR="002419F0" w:rsidRDefault="002419F0" w:rsidP="00C82BC4">
      <w:pPr>
        <w:spacing w:after="0" w:line="240" w:lineRule="auto"/>
        <w:rPr>
          <w:rFonts w:ascii="Calibri" w:hAnsi="Calibri"/>
          <w:b/>
          <w:bCs/>
          <w:color w:val="0070C0"/>
          <w:sz w:val="28"/>
          <w:szCs w:val="28"/>
        </w:rPr>
        <w:sectPr w:rsidR="002419F0" w:rsidSect="00BD4B02">
          <w:headerReference w:type="default" r:id="rId11"/>
          <w:type w:val="continuous"/>
          <w:pgSz w:w="11900" w:h="16840"/>
          <w:pgMar w:top="1418" w:right="1418" w:bottom="1418" w:left="1418" w:header="630" w:footer="567" w:gutter="0"/>
          <w:cols w:space="708"/>
          <w:docGrid w:linePitch="360"/>
        </w:sectPr>
      </w:pPr>
    </w:p>
    <w:p w14:paraId="33CF0724" w14:textId="07C17F55" w:rsidR="00C82BC4" w:rsidRPr="00E8754D" w:rsidRDefault="00C82BC4" w:rsidP="00C82BC4">
      <w:pPr>
        <w:spacing w:after="0" w:line="240" w:lineRule="auto"/>
        <w:rPr>
          <w:rFonts w:ascii="Calibri" w:hAnsi="Calibri"/>
          <w:b/>
          <w:bCs/>
          <w:color w:val="0070C0"/>
          <w:sz w:val="28"/>
          <w:szCs w:val="28"/>
        </w:rPr>
      </w:pPr>
      <w:r w:rsidRPr="00E8754D">
        <w:rPr>
          <w:rFonts w:ascii="Calibri" w:hAnsi="Calibri"/>
          <w:b/>
          <w:bCs/>
          <w:color w:val="0070C0"/>
          <w:sz w:val="28"/>
          <w:szCs w:val="28"/>
        </w:rPr>
        <w:lastRenderedPageBreak/>
        <w:t>Annex 1: Comparison of related Reporting Frameworks used to define minimum requirement</w:t>
      </w:r>
    </w:p>
    <w:p w14:paraId="2851AD85" w14:textId="77777777" w:rsidR="00C82BC4" w:rsidRPr="00E8754D" w:rsidRDefault="00C82BC4" w:rsidP="00C82BC4">
      <w:pPr>
        <w:spacing w:after="0" w:line="240" w:lineRule="auto"/>
        <w:rPr>
          <w:rFonts w:ascii="Calibri" w:hAnsi="Calibri"/>
          <w:b/>
          <w:bCs/>
          <w:color w:val="0070C0"/>
          <w:sz w:val="28"/>
          <w:szCs w:val="28"/>
          <w:highlight w:val="lightGray"/>
        </w:rPr>
      </w:pPr>
    </w:p>
    <w:tbl>
      <w:tblPr>
        <w:tblStyle w:val="GHTableStyle11"/>
        <w:tblW w:w="11904" w:type="dxa"/>
        <w:tblLook w:val="04A0" w:firstRow="1" w:lastRow="0" w:firstColumn="1" w:lastColumn="0" w:noHBand="0" w:noVBand="1"/>
      </w:tblPr>
      <w:tblGrid>
        <w:gridCol w:w="1153"/>
        <w:gridCol w:w="100"/>
        <w:gridCol w:w="2089"/>
        <w:gridCol w:w="28"/>
        <w:gridCol w:w="2101"/>
        <w:gridCol w:w="27"/>
        <w:gridCol w:w="1545"/>
        <w:gridCol w:w="31"/>
        <w:gridCol w:w="1364"/>
        <w:gridCol w:w="8"/>
        <w:gridCol w:w="1798"/>
        <w:gridCol w:w="10"/>
        <w:gridCol w:w="1650"/>
      </w:tblGrid>
      <w:tr w:rsidR="00C82BC4" w:rsidRPr="00E8754D" w14:paraId="62099395" w14:textId="77777777" w:rsidTr="00276542">
        <w:trPr>
          <w:cnfStyle w:val="100000000000" w:firstRow="1" w:lastRow="0" w:firstColumn="0" w:lastColumn="0" w:oddVBand="0" w:evenVBand="0" w:oddHBand="0" w:evenHBand="0" w:firstRowFirstColumn="0" w:firstRowLastColumn="0" w:lastRowFirstColumn="0" w:lastRowLastColumn="0"/>
          <w:tblHeader/>
        </w:trPr>
        <w:tc>
          <w:tcPr>
            <w:tcW w:w="1237" w:type="dxa"/>
            <w:gridSpan w:val="2"/>
            <w:shd w:val="clear" w:color="auto" w:fill="0070C0"/>
          </w:tcPr>
          <w:p w14:paraId="607A9F0E" w14:textId="77777777" w:rsidR="00C82BC4" w:rsidRPr="00E8754D" w:rsidRDefault="00C82BC4" w:rsidP="00276542">
            <w:pPr>
              <w:keepNext/>
              <w:spacing w:after="60"/>
              <w:jc w:val="left"/>
              <w:rPr>
                <w:rFonts w:eastAsia="Calibri" w:cs="Calibri"/>
                <w:bCs/>
                <w:szCs w:val="18"/>
                <w:lang w:eastAsia="ja-JP"/>
              </w:rPr>
            </w:pPr>
            <w:bookmarkStart w:id="7" w:name="_Hlk531787208"/>
            <w:r w:rsidRPr="00E8754D">
              <w:rPr>
                <w:rFonts w:eastAsia="Calibri" w:cs="Calibri"/>
                <w:bCs/>
                <w:szCs w:val="18"/>
                <w:lang w:eastAsia="ja-JP"/>
              </w:rPr>
              <w:t>Level</w:t>
            </w:r>
          </w:p>
        </w:tc>
        <w:tc>
          <w:tcPr>
            <w:tcW w:w="1703" w:type="dxa"/>
            <w:shd w:val="clear" w:color="auto" w:fill="0070C0"/>
          </w:tcPr>
          <w:p w14:paraId="5B34D0D3" w14:textId="77777777" w:rsidR="00C82BC4" w:rsidRPr="00E8754D" w:rsidRDefault="00C82BC4" w:rsidP="00276542">
            <w:pPr>
              <w:keepNext/>
              <w:spacing w:after="60"/>
              <w:jc w:val="left"/>
              <w:rPr>
                <w:rFonts w:eastAsia="Calibri" w:cs="Calibri"/>
                <w:bCs/>
                <w:szCs w:val="18"/>
                <w:lang w:eastAsia="ja-JP"/>
              </w:rPr>
            </w:pPr>
            <w:r w:rsidRPr="00E8754D">
              <w:rPr>
                <w:rFonts w:eastAsia="Calibri" w:cs="Calibri"/>
                <w:bCs/>
                <w:szCs w:val="18"/>
                <w:lang w:eastAsia="ja-JP"/>
              </w:rPr>
              <w:t>Disclosure for indicator 12.6.1</w:t>
            </w:r>
          </w:p>
        </w:tc>
        <w:tc>
          <w:tcPr>
            <w:tcW w:w="1658" w:type="dxa"/>
            <w:gridSpan w:val="3"/>
            <w:shd w:val="clear" w:color="auto" w:fill="0070C0"/>
          </w:tcPr>
          <w:p w14:paraId="143C0858" w14:textId="77777777" w:rsidR="00C82BC4" w:rsidRPr="00E8754D" w:rsidRDefault="00C82BC4" w:rsidP="00276542">
            <w:pPr>
              <w:keepNext/>
              <w:spacing w:after="60"/>
              <w:jc w:val="left"/>
              <w:rPr>
                <w:rFonts w:eastAsia="Calibri" w:cs="Calibri"/>
                <w:bCs/>
                <w:szCs w:val="18"/>
                <w:lang w:eastAsia="ja-JP"/>
              </w:rPr>
            </w:pPr>
            <w:r w:rsidRPr="00E8754D">
              <w:rPr>
                <w:rFonts w:eastAsia="Calibri" w:cs="Calibri"/>
                <w:bCs/>
                <w:szCs w:val="18"/>
                <w:lang w:eastAsia="ja-JP"/>
              </w:rPr>
              <w:t>UNCTAD Core indicators towards reporting on the SDGs</w:t>
            </w:r>
          </w:p>
        </w:tc>
        <w:tc>
          <w:tcPr>
            <w:tcW w:w="1965" w:type="dxa"/>
            <w:gridSpan w:val="2"/>
            <w:shd w:val="clear" w:color="auto" w:fill="0070C0"/>
          </w:tcPr>
          <w:p w14:paraId="5E18DBB4" w14:textId="77777777" w:rsidR="00C82BC4" w:rsidRPr="00E8754D" w:rsidRDefault="00C82BC4" w:rsidP="00276542">
            <w:pPr>
              <w:keepNext/>
              <w:spacing w:after="60"/>
              <w:jc w:val="left"/>
              <w:rPr>
                <w:rFonts w:eastAsia="Calibri" w:cs="Calibri"/>
                <w:bCs/>
                <w:szCs w:val="18"/>
                <w:lang w:eastAsia="ja-JP"/>
              </w:rPr>
            </w:pPr>
            <w:r w:rsidRPr="00E8754D">
              <w:rPr>
                <w:rFonts w:eastAsia="Calibri" w:cs="Calibri"/>
                <w:bCs/>
                <w:szCs w:val="18"/>
                <w:lang w:eastAsia="ja-JP"/>
              </w:rPr>
              <w:t>UNGC Principles</w:t>
            </w:r>
          </w:p>
        </w:tc>
        <w:tc>
          <w:tcPr>
            <w:tcW w:w="1364" w:type="dxa"/>
            <w:shd w:val="clear" w:color="auto" w:fill="0070C0"/>
          </w:tcPr>
          <w:p w14:paraId="7AB16A05" w14:textId="77777777" w:rsidR="00C82BC4" w:rsidRPr="00E8754D" w:rsidRDefault="00C82BC4" w:rsidP="00276542">
            <w:pPr>
              <w:keepNext/>
              <w:spacing w:after="60"/>
              <w:jc w:val="left"/>
              <w:rPr>
                <w:rFonts w:eastAsia="Calibri" w:cs="Calibri"/>
                <w:bCs/>
                <w:szCs w:val="18"/>
                <w:lang w:eastAsia="ja-JP"/>
              </w:rPr>
            </w:pPr>
            <w:r w:rsidRPr="00E8754D">
              <w:rPr>
                <w:rFonts w:eastAsia="Calibri" w:cs="Calibri"/>
                <w:bCs/>
                <w:szCs w:val="18"/>
                <w:lang w:eastAsia="ja-JP"/>
              </w:rPr>
              <w:t>IIRC</w:t>
            </w:r>
          </w:p>
        </w:tc>
        <w:tc>
          <w:tcPr>
            <w:tcW w:w="1835" w:type="dxa"/>
            <w:gridSpan w:val="2"/>
            <w:shd w:val="clear" w:color="auto" w:fill="0070C0"/>
          </w:tcPr>
          <w:p w14:paraId="033D35A9" w14:textId="77777777" w:rsidR="00C82BC4" w:rsidRPr="00E8754D" w:rsidRDefault="00C82BC4" w:rsidP="00276542">
            <w:pPr>
              <w:keepNext/>
              <w:spacing w:after="60"/>
              <w:jc w:val="left"/>
              <w:rPr>
                <w:rFonts w:eastAsia="Calibri" w:cs="Calibri"/>
                <w:bCs/>
                <w:szCs w:val="18"/>
                <w:lang w:eastAsia="ja-JP"/>
              </w:rPr>
            </w:pPr>
            <w:r w:rsidRPr="00E8754D">
              <w:rPr>
                <w:rFonts w:eastAsia="Calibri" w:cs="Calibri"/>
                <w:bCs/>
                <w:szCs w:val="18"/>
                <w:lang w:eastAsia="ja-JP"/>
              </w:rPr>
              <w:t>GRI</w:t>
            </w:r>
          </w:p>
        </w:tc>
        <w:tc>
          <w:tcPr>
            <w:tcW w:w="2142" w:type="dxa"/>
            <w:gridSpan w:val="2"/>
            <w:shd w:val="clear" w:color="auto" w:fill="0070C0"/>
          </w:tcPr>
          <w:p w14:paraId="5E4040FA" w14:textId="77777777" w:rsidR="00C82BC4" w:rsidRPr="00E8754D" w:rsidRDefault="00C82BC4" w:rsidP="00276542">
            <w:pPr>
              <w:keepNext/>
              <w:spacing w:after="60"/>
              <w:jc w:val="left"/>
              <w:rPr>
                <w:rFonts w:eastAsia="Calibri" w:cs="Calibri"/>
                <w:bCs/>
                <w:szCs w:val="18"/>
                <w:lang w:eastAsia="ja-JP"/>
              </w:rPr>
            </w:pPr>
            <w:r w:rsidRPr="00E8754D">
              <w:rPr>
                <w:rFonts w:eastAsia="Calibri" w:cs="Calibri"/>
                <w:bCs/>
                <w:szCs w:val="18"/>
                <w:lang w:eastAsia="ja-JP"/>
              </w:rPr>
              <w:t xml:space="preserve">SASB Sector Specific Frameworks </w:t>
            </w:r>
          </w:p>
        </w:tc>
      </w:tr>
      <w:tr w:rsidR="00C82BC4" w:rsidRPr="00E8754D" w14:paraId="23D1B85F" w14:textId="77777777" w:rsidTr="00276542">
        <w:tc>
          <w:tcPr>
            <w:tcW w:w="1237" w:type="dxa"/>
            <w:gridSpan w:val="2"/>
            <w:vMerge w:val="restart"/>
            <w:shd w:val="clear" w:color="auto" w:fill="auto"/>
          </w:tcPr>
          <w:p w14:paraId="246FA707" w14:textId="77777777" w:rsidR="00C82BC4" w:rsidRPr="00E8754D" w:rsidRDefault="00C82BC4" w:rsidP="00276542">
            <w:pPr>
              <w:spacing w:after="60"/>
              <w:rPr>
                <w:b/>
                <w:szCs w:val="28"/>
              </w:rPr>
            </w:pPr>
            <w:r w:rsidRPr="00E8754D">
              <w:rPr>
                <w:b/>
                <w:szCs w:val="28"/>
              </w:rPr>
              <w:t>Minimum requirements</w:t>
            </w:r>
          </w:p>
        </w:tc>
        <w:tc>
          <w:tcPr>
            <w:tcW w:w="1703" w:type="dxa"/>
            <w:shd w:val="clear" w:color="auto" w:fill="D5D0B4" w:themeFill="background2" w:themeFillShade="D9"/>
          </w:tcPr>
          <w:p w14:paraId="6A678099" w14:textId="77777777" w:rsidR="00C82BC4" w:rsidRPr="00E8754D" w:rsidRDefault="00C82BC4" w:rsidP="00276542">
            <w:pPr>
              <w:spacing w:after="60"/>
              <w:rPr>
                <w:b/>
                <w:szCs w:val="28"/>
              </w:rPr>
            </w:pPr>
            <w:r w:rsidRPr="00E8754D">
              <w:rPr>
                <w:b/>
                <w:szCs w:val="28"/>
              </w:rPr>
              <w:t xml:space="preserve">Institutional and governance: </w:t>
            </w:r>
          </w:p>
        </w:tc>
        <w:tc>
          <w:tcPr>
            <w:tcW w:w="1658" w:type="dxa"/>
            <w:gridSpan w:val="3"/>
            <w:shd w:val="clear" w:color="auto" w:fill="D5D0B4" w:themeFill="background2" w:themeFillShade="D9"/>
          </w:tcPr>
          <w:p w14:paraId="1FBD4B3F" w14:textId="77777777" w:rsidR="00C82BC4" w:rsidRPr="00E8754D" w:rsidRDefault="00C82BC4" w:rsidP="00276542">
            <w:pPr>
              <w:spacing w:after="60"/>
              <w:ind w:left="34"/>
              <w:rPr>
                <w:b/>
                <w:szCs w:val="28"/>
              </w:rPr>
            </w:pPr>
          </w:p>
        </w:tc>
        <w:tc>
          <w:tcPr>
            <w:tcW w:w="1965" w:type="dxa"/>
            <w:gridSpan w:val="2"/>
            <w:shd w:val="clear" w:color="auto" w:fill="D5D0B4" w:themeFill="background2" w:themeFillShade="D9"/>
          </w:tcPr>
          <w:p w14:paraId="3BFC6550" w14:textId="77777777" w:rsidR="00C82BC4" w:rsidRPr="00E8754D" w:rsidRDefault="00C82BC4" w:rsidP="00276542">
            <w:pPr>
              <w:spacing w:after="60"/>
              <w:ind w:left="34"/>
              <w:rPr>
                <w:b/>
                <w:szCs w:val="28"/>
              </w:rPr>
            </w:pPr>
          </w:p>
        </w:tc>
        <w:tc>
          <w:tcPr>
            <w:tcW w:w="1364" w:type="dxa"/>
            <w:shd w:val="clear" w:color="auto" w:fill="D5D0B4" w:themeFill="background2" w:themeFillShade="D9"/>
          </w:tcPr>
          <w:p w14:paraId="5CC77518" w14:textId="77777777" w:rsidR="00C82BC4" w:rsidRPr="00E8754D" w:rsidRDefault="00C82BC4" w:rsidP="00276542">
            <w:pPr>
              <w:spacing w:after="60"/>
              <w:ind w:left="34"/>
              <w:rPr>
                <w:b/>
                <w:szCs w:val="28"/>
              </w:rPr>
            </w:pPr>
          </w:p>
        </w:tc>
        <w:tc>
          <w:tcPr>
            <w:tcW w:w="1835" w:type="dxa"/>
            <w:gridSpan w:val="2"/>
            <w:shd w:val="clear" w:color="auto" w:fill="D5D0B4" w:themeFill="background2" w:themeFillShade="D9"/>
          </w:tcPr>
          <w:p w14:paraId="6AE3FB0C" w14:textId="77777777" w:rsidR="00C82BC4" w:rsidRPr="00E8754D" w:rsidRDefault="00C82BC4" w:rsidP="00276542">
            <w:pPr>
              <w:spacing w:after="60"/>
              <w:ind w:left="34"/>
              <w:rPr>
                <w:b/>
                <w:szCs w:val="28"/>
              </w:rPr>
            </w:pPr>
          </w:p>
        </w:tc>
        <w:tc>
          <w:tcPr>
            <w:tcW w:w="2142" w:type="dxa"/>
            <w:gridSpan w:val="2"/>
            <w:shd w:val="clear" w:color="auto" w:fill="D5D0B4" w:themeFill="background2" w:themeFillShade="D9"/>
          </w:tcPr>
          <w:p w14:paraId="4722F9B0" w14:textId="77777777" w:rsidR="00C82BC4" w:rsidRPr="00E8754D" w:rsidRDefault="00C82BC4" w:rsidP="00276542">
            <w:pPr>
              <w:spacing w:after="60"/>
              <w:rPr>
                <w:b/>
                <w:szCs w:val="28"/>
              </w:rPr>
            </w:pPr>
          </w:p>
        </w:tc>
      </w:tr>
      <w:tr w:rsidR="00C82BC4" w:rsidRPr="00E8754D" w14:paraId="3A696206" w14:textId="77777777" w:rsidTr="00276542">
        <w:trPr>
          <w:cnfStyle w:val="000000010000" w:firstRow="0" w:lastRow="0" w:firstColumn="0" w:lastColumn="0" w:oddVBand="0" w:evenVBand="0" w:oddHBand="0" w:evenHBand="1" w:firstRowFirstColumn="0" w:firstRowLastColumn="0" w:lastRowFirstColumn="0" w:lastRowLastColumn="0"/>
        </w:trPr>
        <w:tc>
          <w:tcPr>
            <w:tcW w:w="1237" w:type="dxa"/>
            <w:gridSpan w:val="2"/>
            <w:vMerge/>
            <w:shd w:val="clear" w:color="auto" w:fill="auto"/>
          </w:tcPr>
          <w:p w14:paraId="3F9AC969" w14:textId="77777777" w:rsidR="00C82BC4" w:rsidRPr="00E8754D" w:rsidRDefault="00C82BC4" w:rsidP="00276542">
            <w:pPr>
              <w:spacing w:after="60"/>
              <w:ind w:left="54"/>
              <w:rPr>
                <w:color w:val="auto"/>
                <w:szCs w:val="28"/>
              </w:rPr>
            </w:pPr>
          </w:p>
        </w:tc>
        <w:tc>
          <w:tcPr>
            <w:tcW w:w="1703" w:type="dxa"/>
            <w:shd w:val="clear" w:color="auto" w:fill="auto"/>
          </w:tcPr>
          <w:p w14:paraId="302DA420" w14:textId="77777777" w:rsidR="00C82BC4" w:rsidRPr="00E8754D" w:rsidRDefault="00C82BC4" w:rsidP="00C82BC4">
            <w:pPr>
              <w:numPr>
                <w:ilvl w:val="0"/>
                <w:numId w:val="7"/>
              </w:numPr>
              <w:spacing w:after="60"/>
              <w:rPr>
                <w:szCs w:val="28"/>
              </w:rPr>
            </w:pPr>
            <w:r w:rsidRPr="00E8754D">
              <w:rPr>
                <w:szCs w:val="28"/>
              </w:rPr>
              <w:t xml:space="preserve">Materiality assessment </w:t>
            </w:r>
          </w:p>
          <w:p w14:paraId="61FE3770" w14:textId="77777777" w:rsidR="00C82BC4" w:rsidRPr="00E8754D" w:rsidRDefault="00C82BC4" w:rsidP="00C82BC4">
            <w:pPr>
              <w:numPr>
                <w:ilvl w:val="0"/>
                <w:numId w:val="7"/>
              </w:numPr>
              <w:spacing w:after="60"/>
              <w:rPr>
                <w:szCs w:val="28"/>
              </w:rPr>
            </w:pPr>
            <w:r w:rsidRPr="00E8754D">
              <w:rPr>
                <w:szCs w:val="28"/>
              </w:rPr>
              <w:t>Sustainability strategy and/or principles related to sustainability</w:t>
            </w:r>
          </w:p>
          <w:p w14:paraId="70A1BF64" w14:textId="77777777" w:rsidR="00C82BC4" w:rsidRPr="00E8754D" w:rsidRDefault="00C82BC4" w:rsidP="00C82BC4">
            <w:pPr>
              <w:numPr>
                <w:ilvl w:val="0"/>
                <w:numId w:val="7"/>
              </w:numPr>
              <w:spacing w:after="60"/>
              <w:rPr>
                <w:szCs w:val="28"/>
              </w:rPr>
            </w:pPr>
            <w:r w:rsidRPr="00E8754D">
              <w:rPr>
                <w:szCs w:val="28"/>
              </w:rPr>
              <w:t>Management approach to address material topics</w:t>
            </w:r>
          </w:p>
        </w:tc>
        <w:tc>
          <w:tcPr>
            <w:tcW w:w="1658" w:type="dxa"/>
            <w:gridSpan w:val="3"/>
          </w:tcPr>
          <w:p w14:paraId="08385B43" w14:textId="77777777" w:rsidR="00C82BC4" w:rsidRPr="00E8754D" w:rsidRDefault="00C82BC4" w:rsidP="00276542">
            <w:pPr>
              <w:spacing w:after="60"/>
              <w:rPr>
                <w:b/>
                <w:szCs w:val="28"/>
              </w:rPr>
            </w:pPr>
          </w:p>
        </w:tc>
        <w:tc>
          <w:tcPr>
            <w:tcW w:w="1965" w:type="dxa"/>
            <w:gridSpan w:val="2"/>
          </w:tcPr>
          <w:p w14:paraId="7511DD99" w14:textId="77777777" w:rsidR="00C82BC4" w:rsidRPr="00E8754D" w:rsidRDefault="00C82BC4" w:rsidP="00276542">
            <w:pPr>
              <w:spacing w:after="60"/>
              <w:ind w:left="54"/>
              <w:rPr>
                <w:color w:val="auto"/>
                <w:szCs w:val="28"/>
              </w:rPr>
            </w:pPr>
            <w:r w:rsidRPr="00E8754D">
              <w:rPr>
                <w:color w:val="auto"/>
                <w:szCs w:val="28"/>
              </w:rPr>
              <w:t>Principle 7: Businesses should support a precautionary approach to environmental challenges;</w:t>
            </w:r>
          </w:p>
          <w:p w14:paraId="496F22A1" w14:textId="77777777" w:rsidR="00C82BC4" w:rsidRPr="00E8754D" w:rsidRDefault="00C82BC4" w:rsidP="00276542">
            <w:pPr>
              <w:spacing w:after="60"/>
              <w:ind w:left="54"/>
              <w:rPr>
                <w:color w:val="auto"/>
                <w:szCs w:val="28"/>
              </w:rPr>
            </w:pPr>
          </w:p>
          <w:p w14:paraId="479051A1" w14:textId="77777777" w:rsidR="00C82BC4" w:rsidRPr="00E8754D" w:rsidRDefault="00C82BC4" w:rsidP="00276542">
            <w:pPr>
              <w:spacing w:after="60"/>
              <w:rPr>
                <w:b/>
                <w:szCs w:val="28"/>
              </w:rPr>
            </w:pPr>
            <w:r w:rsidRPr="00E8754D">
              <w:rPr>
                <w:color w:val="auto"/>
                <w:szCs w:val="28"/>
              </w:rPr>
              <w:t>Principle 8: undertake initiatives to promote greater environmental responsibility; and</w:t>
            </w:r>
          </w:p>
        </w:tc>
        <w:tc>
          <w:tcPr>
            <w:tcW w:w="1364" w:type="dxa"/>
          </w:tcPr>
          <w:p w14:paraId="069870D9" w14:textId="77777777" w:rsidR="00C82BC4" w:rsidRPr="00E8754D" w:rsidRDefault="00C82BC4" w:rsidP="00276542">
            <w:pPr>
              <w:spacing w:before="0" w:after="60"/>
              <w:contextualSpacing/>
              <w:rPr>
                <w:b/>
                <w:szCs w:val="28"/>
              </w:rPr>
            </w:pPr>
            <w:r w:rsidRPr="00E8754D">
              <w:rPr>
                <w:b/>
                <w:szCs w:val="28"/>
              </w:rPr>
              <w:t>Guiding Principles:</w:t>
            </w:r>
          </w:p>
          <w:p w14:paraId="212DE2C4" w14:textId="77777777" w:rsidR="00C82BC4" w:rsidRPr="00E8754D" w:rsidRDefault="00C82BC4" w:rsidP="00C82BC4">
            <w:pPr>
              <w:numPr>
                <w:ilvl w:val="0"/>
                <w:numId w:val="28"/>
              </w:numPr>
              <w:spacing w:before="0" w:after="60"/>
              <w:ind w:left="116" w:hanging="180"/>
              <w:contextualSpacing/>
              <w:rPr>
                <w:szCs w:val="28"/>
              </w:rPr>
            </w:pPr>
            <w:r w:rsidRPr="00E8754D">
              <w:rPr>
                <w:szCs w:val="28"/>
              </w:rPr>
              <w:t>Strategic focus and future orientation</w:t>
            </w:r>
          </w:p>
          <w:p w14:paraId="786139F0" w14:textId="77777777" w:rsidR="00C82BC4" w:rsidRPr="00E8754D" w:rsidRDefault="00C82BC4" w:rsidP="00C82BC4">
            <w:pPr>
              <w:numPr>
                <w:ilvl w:val="0"/>
                <w:numId w:val="28"/>
              </w:numPr>
              <w:spacing w:before="0" w:after="60"/>
              <w:ind w:left="116" w:hanging="180"/>
              <w:contextualSpacing/>
              <w:rPr>
                <w:szCs w:val="28"/>
              </w:rPr>
            </w:pPr>
            <w:r w:rsidRPr="00E8754D">
              <w:rPr>
                <w:szCs w:val="28"/>
              </w:rPr>
              <w:t>Connectivity of information</w:t>
            </w:r>
          </w:p>
          <w:p w14:paraId="44F8A9FE" w14:textId="77777777" w:rsidR="00C82BC4" w:rsidRPr="00E8754D" w:rsidRDefault="00C82BC4" w:rsidP="00C82BC4">
            <w:pPr>
              <w:numPr>
                <w:ilvl w:val="0"/>
                <w:numId w:val="28"/>
              </w:numPr>
              <w:spacing w:before="0" w:after="60"/>
              <w:ind w:left="116" w:hanging="180"/>
              <w:contextualSpacing/>
              <w:rPr>
                <w:szCs w:val="28"/>
              </w:rPr>
            </w:pPr>
            <w:r w:rsidRPr="00E8754D">
              <w:rPr>
                <w:szCs w:val="28"/>
              </w:rPr>
              <w:t>Stakeholder relationships</w:t>
            </w:r>
          </w:p>
          <w:p w14:paraId="129E4E37" w14:textId="77777777" w:rsidR="00C82BC4" w:rsidRPr="00E8754D" w:rsidRDefault="00C82BC4" w:rsidP="00C82BC4">
            <w:pPr>
              <w:numPr>
                <w:ilvl w:val="0"/>
                <w:numId w:val="28"/>
              </w:numPr>
              <w:spacing w:before="0" w:after="60"/>
              <w:ind w:left="116" w:hanging="180"/>
              <w:contextualSpacing/>
              <w:rPr>
                <w:szCs w:val="28"/>
              </w:rPr>
            </w:pPr>
            <w:r w:rsidRPr="00E8754D">
              <w:rPr>
                <w:szCs w:val="28"/>
              </w:rPr>
              <w:t>Materiality</w:t>
            </w:r>
          </w:p>
          <w:p w14:paraId="5E2B5EC2" w14:textId="77777777" w:rsidR="00C82BC4" w:rsidRPr="00E8754D" w:rsidRDefault="00C82BC4" w:rsidP="00C82BC4">
            <w:pPr>
              <w:numPr>
                <w:ilvl w:val="0"/>
                <w:numId w:val="28"/>
              </w:numPr>
              <w:spacing w:before="0" w:after="60"/>
              <w:ind w:left="116" w:hanging="180"/>
              <w:contextualSpacing/>
              <w:rPr>
                <w:szCs w:val="28"/>
              </w:rPr>
            </w:pPr>
            <w:r w:rsidRPr="00E8754D">
              <w:rPr>
                <w:szCs w:val="28"/>
              </w:rPr>
              <w:t>Conciseness</w:t>
            </w:r>
          </w:p>
          <w:p w14:paraId="40DF1CF5" w14:textId="77777777" w:rsidR="00C82BC4" w:rsidRPr="00E8754D" w:rsidRDefault="00C82BC4" w:rsidP="00C82BC4">
            <w:pPr>
              <w:numPr>
                <w:ilvl w:val="0"/>
                <w:numId w:val="28"/>
              </w:numPr>
              <w:spacing w:before="0" w:after="60"/>
              <w:ind w:left="116" w:hanging="180"/>
              <w:contextualSpacing/>
              <w:rPr>
                <w:szCs w:val="28"/>
              </w:rPr>
            </w:pPr>
            <w:r w:rsidRPr="00E8754D">
              <w:rPr>
                <w:szCs w:val="28"/>
              </w:rPr>
              <w:t>Reliability and completeness</w:t>
            </w:r>
          </w:p>
          <w:p w14:paraId="4A66ACBC" w14:textId="77777777" w:rsidR="00C82BC4" w:rsidRPr="00E8754D" w:rsidRDefault="00C82BC4" w:rsidP="00C82BC4">
            <w:pPr>
              <w:numPr>
                <w:ilvl w:val="0"/>
                <w:numId w:val="28"/>
              </w:numPr>
              <w:spacing w:before="0" w:after="60"/>
              <w:ind w:left="116" w:hanging="180"/>
              <w:contextualSpacing/>
              <w:rPr>
                <w:szCs w:val="28"/>
              </w:rPr>
            </w:pPr>
            <w:r w:rsidRPr="00E8754D">
              <w:rPr>
                <w:szCs w:val="28"/>
              </w:rPr>
              <w:t>Consistency and comparability</w:t>
            </w:r>
          </w:p>
          <w:p w14:paraId="5FFD77F2" w14:textId="77777777" w:rsidR="00C82BC4" w:rsidRPr="00E8754D" w:rsidRDefault="00C82BC4" w:rsidP="00276542">
            <w:pPr>
              <w:spacing w:after="60"/>
              <w:rPr>
                <w:b/>
                <w:szCs w:val="28"/>
              </w:rPr>
            </w:pPr>
          </w:p>
        </w:tc>
        <w:tc>
          <w:tcPr>
            <w:tcW w:w="1835" w:type="dxa"/>
            <w:gridSpan w:val="2"/>
            <w:shd w:val="clear" w:color="auto" w:fill="auto"/>
          </w:tcPr>
          <w:p w14:paraId="19EF5BFA" w14:textId="77777777" w:rsidR="00C82BC4" w:rsidRPr="00E8754D" w:rsidRDefault="00C82BC4" w:rsidP="00276542">
            <w:pPr>
              <w:spacing w:after="60"/>
              <w:rPr>
                <w:b/>
                <w:color w:val="auto"/>
                <w:szCs w:val="28"/>
              </w:rPr>
            </w:pPr>
            <w:r w:rsidRPr="00E8754D">
              <w:rPr>
                <w:b/>
                <w:color w:val="auto"/>
                <w:szCs w:val="28"/>
              </w:rPr>
              <w:t>Reporting Principles:</w:t>
            </w:r>
          </w:p>
          <w:p w14:paraId="0EA8503A" w14:textId="77777777" w:rsidR="00C82BC4" w:rsidRPr="00E8754D" w:rsidRDefault="00C82BC4" w:rsidP="00C82BC4">
            <w:pPr>
              <w:pStyle w:val="ListParagraph"/>
              <w:numPr>
                <w:ilvl w:val="0"/>
                <w:numId w:val="27"/>
              </w:numPr>
              <w:spacing w:after="60"/>
              <w:rPr>
                <w:szCs w:val="28"/>
              </w:rPr>
            </w:pPr>
            <w:r w:rsidRPr="00E8754D">
              <w:rPr>
                <w:szCs w:val="28"/>
              </w:rPr>
              <w:t>Stakeholder inclusiveness</w:t>
            </w:r>
          </w:p>
          <w:p w14:paraId="6A1A82B5" w14:textId="77777777" w:rsidR="00C82BC4" w:rsidRPr="00E8754D" w:rsidRDefault="00C82BC4" w:rsidP="00C82BC4">
            <w:pPr>
              <w:pStyle w:val="ListParagraph"/>
              <w:numPr>
                <w:ilvl w:val="0"/>
                <w:numId w:val="27"/>
              </w:numPr>
              <w:spacing w:after="60"/>
              <w:rPr>
                <w:szCs w:val="28"/>
              </w:rPr>
            </w:pPr>
            <w:r w:rsidRPr="00E8754D">
              <w:rPr>
                <w:szCs w:val="28"/>
              </w:rPr>
              <w:t>Sustainability context</w:t>
            </w:r>
          </w:p>
          <w:p w14:paraId="16153817" w14:textId="77777777" w:rsidR="00C82BC4" w:rsidRPr="00E8754D" w:rsidRDefault="00C82BC4" w:rsidP="00C82BC4">
            <w:pPr>
              <w:pStyle w:val="ListParagraph"/>
              <w:numPr>
                <w:ilvl w:val="0"/>
                <w:numId w:val="27"/>
              </w:numPr>
              <w:spacing w:after="60"/>
              <w:rPr>
                <w:szCs w:val="28"/>
              </w:rPr>
            </w:pPr>
            <w:r w:rsidRPr="00E8754D">
              <w:rPr>
                <w:szCs w:val="28"/>
              </w:rPr>
              <w:t>Materiality</w:t>
            </w:r>
          </w:p>
          <w:p w14:paraId="47159822" w14:textId="77777777" w:rsidR="00C82BC4" w:rsidRPr="00E8754D" w:rsidRDefault="00C82BC4" w:rsidP="00C82BC4">
            <w:pPr>
              <w:pStyle w:val="ListParagraph"/>
              <w:numPr>
                <w:ilvl w:val="0"/>
                <w:numId w:val="27"/>
              </w:numPr>
              <w:spacing w:after="60"/>
              <w:rPr>
                <w:szCs w:val="28"/>
              </w:rPr>
            </w:pPr>
            <w:r w:rsidRPr="00E8754D">
              <w:rPr>
                <w:szCs w:val="28"/>
              </w:rPr>
              <w:t>Completeness</w:t>
            </w:r>
          </w:p>
          <w:p w14:paraId="227A18A9" w14:textId="77777777" w:rsidR="00C82BC4" w:rsidRPr="00E8754D" w:rsidRDefault="00C82BC4" w:rsidP="00276542">
            <w:pPr>
              <w:spacing w:after="60"/>
              <w:rPr>
                <w:b/>
                <w:color w:val="auto"/>
                <w:szCs w:val="28"/>
              </w:rPr>
            </w:pPr>
          </w:p>
          <w:p w14:paraId="4110C9BC" w14:textId="77777777" w:rsidR="00C82BC4" w:rsidRPr="00E8754D" w:rsidRDefault="00C82BC4" w:rsidP="00276542">
            <w:pPr>
              <w:spacing w:after="60"/>
              <w:rPr>
                <w:b/>
                <w:color w:val="auto"/>
                <w:szCs w:val="28"/>
              </w:rPr>
            </w:pPr>
            <w:r w:rsidRPr="00E8754D">
              <w:rPr>
                <w:b/>
                <w:color w:val="auto"/>
                <w:szCs w:val="28"/>
              </w:rPr>
              <w:t>102: General disclosures:</w:t>
            </w:r>
          </w:p>
          <w:p w14:paraId="3C180FEF" w14:textId="77777777" w:rsidR="00C82BC4" w:rsidRPr="00E8754D" w:rsidRDefault="00C82BC4" w:rsidP="00276542">
            <w:pPr>
              <w:spacing w:after="60"/>
              <w:rPr>
                <w:color w:val="auto"/>
                <w:szCs w:val="28"/>
              </w:rPr>
            </w:pPr>
            <w:r w:rsidRPr="00E8754D">
              <w:rPr>
                <w:color w:val="auto"/>
                <w:szCs w:val="28"/>
              </w:rPr>
              <w:t xml:space="preserve">102-2: </w:t>
            </w:r>
          </w:p>
          <w:p w14:paraId="0228071D" w14:textId="77777777" w:rsidR="00C82BC4" w:rsidRPr="00E8754D" w:rsidRDefault="00C82BC4" w:rsidP="00276542">
            <w:pPr>
              <w:spacing w:after="60"/>
              <w:rPr>
                <w:color w:val="auto"/>
                <w:szCs w:val="28"/>
              </w:rPr>
            </w:pPr>
            <w:r w:rsidRPr="00E8754D">
              <w:rPr>
                <w:color w:val="auto"/>
                <w:szCs w:val="28"/>
              </w:rPr>
              <w:t>a. A description of the organisation’s activities</w:t>
            </w:r>
          </w:p>
          <w:p w14:paraId="54A59B5B" w14:textId="77777777" w:rsidR="00C82BC4" w:rsidRPr="00E8754D" w:rsidRDefault="00C82BC4" w:rsidP="00276542">
            <w:pPr>
              <w:spacing w:after="60"/>
              <w:rPr>
                <w:color w:val="auto"/>
                <w:szCs w:val="28"/>
              </w:rPr>
            </w:pPr>
            <w:r w:rsidRPr="00E8754D">
              <w:rPr>
                <w:color w:val="auto"/>
                <w:szCs w:val="28"/>
              </w:rPr>
              <w:t>b. primary brands, products and services, including an explanation of any products or services that are banned in certain markets</w:t>
            </w:r>
          </w:p>
          <w:p w14:paraId="7045D843" w14:textId="77777777" w:rsidR="00C82BC4" w:rsidRPr="00E8754D" w:rsidRDefault="00C82BC4" w:rsidP="00276542">
            <w:pPr>
              <w:spacing w:after="60"/>
              <w:rPr>
                <w:color w:val="auto"/>
                <w:szCs w:val="28"/>
              </w:rPr>
            </w:pPr>
            <w:r w:rsidRPr="00E8754D">
              <w:rPr>
                <w:color w:val="auto"/>
                <w:szCs w:val="28"/>
              </w:rPr>
              <w:t>102-11: Precautionary Principle or approach</w:t>
            </w:r>
          </w:p>
          <w:p w14:paraId="428669E4" w14:textId="77777777" w:rsidR="00C82BC4" w:rsidRPr="00E8754D" w:rsidRDefault="00C82BC4" w:rsidP="00276542">
            <w:pPr>
              <w:spacing w:after="60"/>
              <w:rPr>
                <w:color w:val="auto"/>
                <w:szCs w:val="28"/>
              </w:rPr>
            </w:pPr>
            <w:r w:rsidRPr="00E8754D">
              <w:rPr>
                <w:color w:val="auto"/>
                <w:szCs w:val="28"/>
              </w:rPr>
              <w:t>102-13: a. A list of the main membership of industry or other associations, and national or international advocacy organisations</w:t>
            </w:r>
          </w:p>
          <w:p w14:paraId="39992ADE" w14:textId="77777777" w:rsidR="00C82BC4" w:rsidRPr="00E8754D" w:rsidRDefault="00C82BC4" w:rsidP="00276542">
            <w:pPr>
              <w:spacing w:after="60"/>
              <w:ind w:left="34"/>
              <w:rPr>
                <w:color w:val="auto"/>
                <w:szCs w:val="28"/>
              </w:rPr>
            </w:pPr>
            <w:r w:rsidRPr="00E8754D">
              <w:rPr>
                <w:color w:val="auto"/>
                <w:szCs w:val="28"/>
              </w:rPr>
              <w:t xml:space="preserve">102-16: Values, principles, standards </w:t>
            </w:r>
            <w:r w:rsidRPr="00E8754D">
              <w:rPr>
                <w:color w:val="auto"/>
                <w:szCs w:val="28"/>
              </w:rPr>
              <w:lastRenderedPageBreak/>
              <w:t>and norms of behaviour</w:t>
            </w:r>
          </w:p>
          <w:p w14:paraId="440E54B9" w14:textId="77777777" w:rsidR="00C82BC4" w:rsidRPr="00E8754D" w:rsidRDefault="00C82BC4" w:rsidP="00276542">
            <w:pPr>
              <w:spacing w:after="60"/>
              <w:ind w:left="34"/>
              <w:rPr>
                <w:color w:val="auto"/>
                <w:szCs w:val="28"/>
              </w:rPr>
            </w:pPr>
            <w:r w:rsidRPr="00E8754D">
              <w:rPr>
                <w:color w:val="auto"/>
                <w:szCs w:val="28"/>
              </w:rPr>
              <w:t xml:space="preserve">102-47: a. A list of the material topics identified in the process for delivering report content </w:t>
            </w:r>
          </w:p>
          <w:p w14:paraId="74D52162" w14:textId="77777777" w:rsidR="00C82BC4" w:rsidRPr="00E8754D" w:rsidRDefault="00C82BC4" w:rsidP="00276542">
            <w:pPr>
              <w:spacing w:after="60"/>
              <w:ind w:left="34"/>
              <w:rPr>
                <w:color w:val="auto"/>
                <w:szCs w:val="28"/>
              </w:rPr>
            </w:pPr>
          </w:p>
          <w:p w14:paraId="2F6EA730" w14:textId="77777777" w:rsidR="00C82BC4" w:rsidRPr="00E8754D" w:rsidRDefault="00C82BC4" w:rsidP="00276542">
            <w:pPr>
              <w:spacing w:after="60"/>
              <w:rPr>
                <w:b/>
                <w:szCs w:val="28"/>
              </w:rPr>
            </w:pPr>
            <w:r w:rsidRPr="00E8754D">
              <w:rPr>
                <w:b/>
                <w:szCs w:val="28"/>
              </w:rPr>
              <w:t>103-1 Explanation of the material topic and its boundary</w:t>
            </w:r>
          </w:p>
          <w:p w14:paraId="43109635" w14:textId="77777777" w:rsidR="00C82BC4" w:rsidRPr="00E8754D" w:rsidRDefault="00C82BC4" w:rsidP="00276542">
            <w:pPr>
              <w:spacing w:after="60"/>
              <w:rPr>
                <w:szCs w:val="28"/>
              </w:rPr>
            </w:pPr>
            <w:r w:rsidRPr="00E8754D">
              <w:rPr>
                <w:szCs w:val="28"/>
              </w:rPr>
              <w:t>103-1 a: An explanation of why the topic is material</w:t>
            </w:r>
          </w:p>
          <w:p w14:paraId="6E5F4AD0" w14:textId="77777777" w:rsidR="00C82BC4" w:rsidRPr="00E8754D" w:rsidRDefault="00C82BC4" w:rsidP="00276542">
            <w:pPr>
              <w:spacing w:after="60"/>
              <w:rPr>
                <w:szCs w:val="28"/>
              </w:rPr>
            </w:pPr>
            <w:r w:rsidRPr="00E8754D">
              <w:rPr>
                <w:szCs w:val="28"/>
              </w:rPr>
              <w:t>103-1-b: The boundary of the material topic, which includes a description of:</w:t>
            </w:r>
          </w:p>
          <w:p w14:paraId="58C60C6A" w14:textId="77777777" w:rsidR="00C82BC4" w:rsidRPr="00E8754D" w:rsidRDefault="00C82BC4" w:rsidP="00276542">
            <w:pPr>
              <w:spacing w:after="60"/>
              <w:rPr>
                <w:szCs w:val="28"/>
              </w:rPr>
            </w:pPr>
            <w:r w:rsidRPr="00E8754D">
              <w:rPr>
                <w:szCs w:val="28"/>
              </w:rPr>
              <w:t>i. where the impacts occur</w:t>
            </w:r>
          </w:p>
          <w:p w14:paraId="40D72C47" w14:textId="77777777" w:rsidR="00C82BC4" w:rsidRPr="00E8754D" w:rsidRDefault="00C82BC4" w:rsidP="00276542">
            <w:pPr>
              <w:spacing w:after="60"/>
              <w:rPr>
                <w:szCs w:val="28"/>
              </w:rPr>
            </w:pPr>
            <w:r w:rsidRPr="00E8754D">
              <w:rPr>
                <w:szCs w:val="28"/>
              </w:rPr>
              <w:t>ii. the organisation’s involvement with the impacts. For example, whether the organisation has caused or contributed to the impacts, or is directly linked to the impacts through its business relationships.</w:t>
            </w:r>
          </w:p>
          <w:p w14:paraId="19CA7D9B" w14:textId="77777777" w:rsidR="00C82BC4" w:rsidRPr="00E8754D" w:rsidRDefault="00C82BC4" w:rsidP="00276542">
            <w:pPr>
              <w:spacing w:after="60"/>
              <w:rPr>
                <w:szCs w:val="28"/>
              </w:rPr>
            </w:pPr>
            <w:r w:rsidRPr="00E8754D">
              <w:rPr>
                <w:szCs w:val="28"/>
              </w:rPr>
              <w:t xml:space="preserve">c. Any specific limitation regarding the boundary topic. </w:t>
            </w:r>
          </w:p>
          <w:p w14:paraId="084166AC" w14:textId="77777777" w:rsidR="00C82BC4" w:rsidRPr="00E8754D" w:rsidRDefault="00C82BC4" w:rsidP="00276542">
            <w:pPr>
              <w:spacing w:after="60"/>
              <w:rPr>
                <w:b/>
                <w:szCs w:val="28"/>
              </w:rPr>
            </w:pPr>
            <w:r w:rsidRPr="00E8754D">
              <w:rPr>
                <w:b/>
                <w:szCs w:val="28"/>
              </w:rPr>
              <w:t>103-2 the Management approach and its components</w:t>
            </w:r>
          </w:p>
          <w:p w14:paraId="500C9346" w14:textId="77777777" w:rsidR="00C82BC4" w:rsidRPr="00E8754D" w:rsidRDefault="00C82BC4" w:rsidP="00276542">
            <w:pPr>
              <w:spacing w:after="60"/>
              <w:rPr>
                <w:b/>
                <w:szCs w:val="28"/>
              </w:rPr>
            </w:pPr>
            <w:r w:rsidRPr="00E8754D">
              <w:rPr>
                <w:b/>
                <w:szCs w:val="28"/>
              </w:rPr>
              <w:lastRenderedPageBreak/>
              <w:t>103-3 Evaluation of management approach</w:t>
            </w:r>
          </w:p>
          <w:p w14:paraId="0D7AC684" w14:textId="77777777" w:rsidR="00C82BC4" w:rsidRPr="00E8754D" w:rsidRDefault="00C82BC4" w:rsidP="00276542">
            <w:pPr>
              <w:spacing w:after="60"/>
              <w:ind w:left="34"/>
              <w:rPr>
                <w:color w:val="auto"/>
                <w:szCs w:val="28"/>
              </w:rPr>
            </w:pPr>
            <w:r w:rsidRPr="00E8754D">
              <w:rPr>
                <w:color w:val="auto"/>
                <w:szCs w:val="28"/>
              </w:rPr>
              <w:t xml:space="preserve"> </w:t>
            </w:r>
          </w:p>
        </w:tc>
        <w:tc>
          <w:tcPr>
            <w:tcW w:w="2142" w:type="dxa"/>
            <w:gridSpan w:val="2"/>
          </w:tcPr>
          <w:p w14:paraId="3A1E6083" w14:textId="77777777" w:rsidR="00C82BC4" w:rsidRPr="00E8754D" w:rsidRDefault="00C82BC4" w:rsidP="00C82BC4">
            <w:pPr>
              <w:pStyle w:val="ListParagraph"/>
              <w:numPr>
                <w:ilvl w:val="0"/>
                <w:numId w:val="29"/>
              </w:numPr>
              <w:spacing w:after="60"/>
              <w:ind w:left="170" w:hanging="180"/>
              <w:rPr>
                <w:szCs w:val="28"/>
              </w:rPr>
            </w:pPr>
            <w:r w:rsidRPr="00E8754D">
              <w:rPr>
                <w:szCs w:val="28"/>
              </w:rPr>
              <w:lastRenderedPageBreak/>
              <w:t>Business Ethics</w:t>
            </w:r>
          </w:p>
        </w:tc>
      </w:tr>
      <w:bookmarkEnd w:id="7"/>
      <w:tr w:rsidR="00C82BC4" w:rsidRPr="00E8754D" w14:paraId="433D66E6" w14:textId="77777777" w:rsidTr="00276542">
        <w:tc>
          <w:tcPr>
            <w:tcW w:w="1237" w:type="dxa"/>
            <w:gridSpan w:val="2"/>
            <w:vMerge/>
            <w:shd w:val="clear" w:color="auto" w:fill="auto"/>
          </w:tcPr>
          <w:p w14:paraId="77E25140" w14:textId="77777777" w:rsidR="00C82BC4" w:rsidRPr="00E8754D" w:rsidRDefault="00C82BC4" w:rsidP="00276542">
            <w:pPr>
              <w:spacing w:after="60"/>
              <w:ind w:left="54"/>
              <w:rPr>
                <w:szCs w:val="28"/>
              </w:rPr>
            </w:pPr>
          </w:p>
        </w:tc>
        <w:tc>
          <w:tcPr>
            <w:tcW w:w="1703" w:type="dxa"/>
            <w:shd w:val="clear" w:color="auto" w:fill="auto"/>
          </w:tcPr>
          <w:p w14:paraId="4053F29F" w14:textId="77777777" w:rsidR="00C82BC4" w:rsidRPr="00E8754D" w:rsidRDefault="00C82BC4" w:rsidP="00C82BC4">
            <w:pPr>
              <w:numPr>
                <w:ilvl w:val="0"/>
                <w:numId w:val="7"/>
              </w:numPr>
              <w:spacing w:after="60"/>
              <w:rPr>
                <w:szCs w:val="28"/>
              </w:rPr>
            </w:pPr>
            <w:r w:rsidRPr="00E8754D">
              <w:rPr>
                <w:szCs w:val="28"/>
              </w:rPr>
              <w:t>Governance structure, including for economic, environmental and social issues</w:t>
            </w:r>
          </w:p>
        </w:tc>
        <w:tc>
          <w:tcPr>
            <w:tcW w:w="1658" w:type="dxa"/>
            <w:gridSpan w:val="3"/>
          </w:tcPr>
          <w:p w14:paraId="6F8F86AA" w14:textId="77777777" w:rsidR="00C82BC4" w:rsidRPr="00E8754D" w:rsidRDefault="00C82BC4" w:rsidP="00276542">
            <w:pPr>
              <w:spacing w:after="60"/>
              <w:ind w:left="54"/>
              <w:rPr>
                <w:b/>
                <w:szCs w:val="28"/>
              </w:rPr>
            </w:pPr>
            <w:r w:rsidRPr="00E8754D">
              <w:rPr>
                <w:b/>
                <w:szCs w:val="28"/>
              </w:rPr>
              <w:t>D1: Corporate Governance Disclosures</w:t>
            </w:r>
          </w:p>
          <w:p w14:paraId="702E1DD8" w14:textId="77777777" w:rsidR="00C82BC4" w:rsidRPr="00E8754D" w:rsidRDefault="00C82BC4" w:rsidP="00276542">
            <w:pPr>
              <w:spacing w:after="60"/>
              <w:ind w:left="54"/>
              <w:rPr>
                <w:szCs w:val="28"/>
              </w:rPr>
            </w:pPr>
            <w:r w:rsidRPr="00E8754D">
              <w:rPr>
                <w:szCs w:val="28"/>
              </w:rPr>
              <w:t>D.1.1. Number of board meetings and attendance rate</w:t>
            </w:r>
          </w:p>
          <w:p w14:paraId="343BCB80" w14:textId="77777777" w:rsidR="00C82BC4" w:rsidRPr="00E8754D" w:rsidRDefault="00C82BC4" w:rsidP="00276542">
            <w:pPr>
              <w:spacing w:after="60"/>
              <w:ind w:left="54"/>
              <w:rPr>
                <w:szCs w:val="28"/>
              </w:rPr>
            </w:pPr>
            <w:r w:rsidRPr="00E8754D">
              <w:rPr>
                <w:szCs w:val="28"/>
              </w:rPr>
              <w:t xml:space="preserve">D.1.2. Number and percentage of female board members </w:t>
            </w:r>
          </w:p>
          <w:p w14:paraId="74FAB3DB" w14:textId="77777777" w:rsidR="00C82BC4" w:rsidRPr="00E8754D" w:rsidRDefault="00C82BC4" w:rsidP="00276542">
            <w:pPr>
              <w:spacing w:after="60"/>
              <w:ind w:left="54"/>
              <w:rPr>
                <w:szCs w:val="28"/>
              </w:rPr>
            </w:pPr>
            <w:r w:rsidRPr="00E8754D">
              <w:rPr>
                <w:szCs w:val="28"/>
              </w:rPr>
              <w:t>D.1.3. Board members by age range</w:t>
            </w:r>
          </w:p>
          <w:p w14:paraId="50D2C7E7" w14:textId="77777777" w:rsidR="00C82BC4" w:rsidRPr="00E8754D" w:rsidRDefault="00C82BC4" w:rsidP="00276542">
            <w:pPr>
              <w:spacing w:after="60"/>
              <w:ind w:left="54"/>
              <w:rPr>
                <w:szCs w:val="28"/>
              </w:rPr>
            </w:pPr>
            <w:r w:rsidRPr="00E8754D">
              <w:rPr>
                <w:szCs w:val="28"/>
              </w:rPr>
              <w:t>D.1.4. Number of meetings of audit committee and attendance rate</w:t>
            </w:r>
          </w:p>
          <w:p w14:paraId="414BBFC3" w14:textId="77777777" w:rsidR="00C82BC4" w:rsidRPr="00E8754D" w:rsidRDefault="00C82BC4" w:rsidP="00276542">
            <w:pPr>
              <w:spacing w:after="60"/>
              <w:ind w:left="71"/>
              <w:rPr>
                <w:szCs w:val="28"/>
              </w:rPr>
            </w:pPr>
            <w:r w:rsidRPr="00E8754D">
              <w:rPr>
                <w:szCs w:val="28"/>
              </w:rPr>
              <w:t>D.1.5. Compensation: total compensation per board member (both executive and non-executive directors)</w:t>
            </w:r>
          </w:p>
        </w:tc>
        <w:tc>
          <w:tcPr>
            <w:tcW w:w="1965" w:type="dxa"/>
            <w:gridSpan w:val="2"/>
          </w:tcPr>
          <w:p w14:paraId="12086353" w14:textId="77777777" w:rsidR="00C82BC4" w:rsidRPr="00E8754D" w:rsidRDefault="00C82BC4" w:rsidP="00276542">
            <w:pPr>
              <w:spacing w:after="60"/>
              <w:rPr>
                <w:b/>
                <w:szCs w:val="28"/>
              </w:rPr>
            </w:pPr>
          </w:p>
        </w:tc>
        <w:tc>
          <w:tcPr>
            <w:tcW w:w="1364" w:type="dxa"/>
          </w:tcPr>
          <w:p w14:paraId="66D72591" w14:textId="77777777" w:rsidR="00C82BC4" w:rsidRPr="00E8754D" w:rsidRDefault="00C82BC4" w:rsidP="00276542">
            <w:pPr>
              <w:spacing w:before="0" w:after="60"/>
              <w:contextualSpacing/>
              <w:rPr>
                <w:b/>
                <w:szCs w:val="28"/>
              </w:rPr>
            </w:pPr>
            <w:r w:rsidRPr="00E8754D">
              <w:rPr>
                <w:b/>
                <w:szCs w:val="28"/>
              </w:rPr>
              <w:t>Content elements:</w:t>
            </w:r>
          </w:p>
          <w:p w14:paraId="66C91147" w14:textId="77777777" w:rsidR="00C82BC4" w:rsidRPr="00E8754D" w:rsidRDefault="00C82BC4" w:rsidP="00C82BC4">
            <w:pPr>
              <w:numPr>
                <w:ilvl w:val="0"/>
                <w:numId w:val="28"/>
              </w:numPr>
              <w:spacing w:before="0" w:after="60"/>
              <w:ind w:left="116" w:hanging="180"/>
              <w:contextualSpacing/>
              <w:rPr>
                <w:szCs w:val="28"/>
              </w:rPr>
            </w:pPr>
            <w:r w:rsidRPr="00E8754D">
              <w:rPr>
                <w:szCs w:val="28"/>
              </w:rPr>
              <w:t>Organizational overview and external environment</w:t>
            </w:r>
          </w:p>
          <w:p w14:paraId="4AA8B652" w14:textId="77777777" w:rsidR="00C82BC4" w:rsidRPr="00E8754D" w:rsidRDefault="00C82BC4" w:rsidP="00C82BC4">
            <w:pPr>
              <w:numPr>
                <w:ilvl w:val="0"/>
                <w:numId w:val="28"/>
              </w:numPr>
              <w:spacing w:before="0" w:after="60"/>
              <w:ind w:left="116" w:hanging="180"/>
              <w:contextualSpacing/>
              <w:rPr>
                <w:szCs w:val="28"/>
              </w:rPr>
            </w:pPr>
            <w:r w:rsidRPr="00E8754D">
              <w:rPr>
                <w:szCs w:val="28"/>
              </w:rPr>
              <w:t>Governance</w:t>
            </w:r>
          </w:p>
          <w:p w14:paraId="45674659" w14:textId="77777777" w:rsidR="00C82BC4" w:rsidRPr="00E8754D" w:rsidRDefault="00C82BC4" w:rsidP="00C82BC4">
            <w:pPr>
              <w:numPr>
                <w:ilvl w:val="0"/>
                <w:numId w:val="28"/>
              </w:numPr>
              <w:spacing w:before="0" w:after="60"/>
              <w:ind w:left="116" w:hanging="180"/>
              <w:contextualSpacing/>
              <w:rPr>
                <w:szCs w:val="28"/>
              </w:rPr>
            </w:pPr>
            <w:r w:rsidRPr="00E8754D">
              <w:rPr>
                <w:szCs w:val="28"/>
              </w:rPr>
              <w:t>Business model</w:t>
            </w:r>
          </w:p>
          <w:p w14:paraId="2602A704" w14:textId="77777777" w:rsidR="00C82BC4" w:rsidRPr="00E8754D" w:rsidRDefault="00C82BC4" w:rsidP="00C82BC4">
            <w:pPr>
              <w:pStyle w:val="ListParagraph"/>
              <w:numPr>
                <w:ilvl w:val="0"/>
                <w:numId w:val="28"/>
              </w:numPr>
              <w:spacing w:before="0" w:after="60"/>
              <w:ind w:left="116" w:hanging="180"/>
              <w:rPr>
                <w:szCs w:val="28"/>
              </w:rPr>
            </w:pPr>
            <w:r w:rsidRPr="00E8754D">
              <w:rPr>
                <w:szCs w:val="28"/>
              </w:rPr>
              <w:t>Strategy and resource allocation</w:t>
            </w:r>
          </w:p>
          <w:p w14:paraId="4ECE0065" w14:textId="77777777" w:rsidR="00C82BC4" w:rsidRPr="00E8754D" w:rsidRDefault="00C82BC4" w:rsidP="00C82BC4">
            <w:pPr>
              <w:pStyle w:val="ListParagraph"/>
              <w:numPr>
                <w:ilvl w:val="0"/>
                <w:numId w:val="28"/>
              </w:numPr>
              <w:spacing w:before="0" w:after="60"/>
              <w:ind w:left="116" w:hanging="180"/>
              <w:rPr>
                <w:szCs w:val="28"/>
              </w:rPr>
            </w:pPr>
            <w:r w:rsidRPr="00E8754D">
              <w:rPr>
                <w:szCs w:val="28"/>
              </w:rPr>
              <w:t>Performance</w:t>
            </w:r>
          </w:p>
          <w:p w14:paraId="4FF20885" w14:textId="77777777" w:rsidR="00C82BC4" w:rsidRPr="00E8754D" w:rsidRDefault="00C82BC4" w:rsidP="00276542">
            <w:pPr>
              <w:spacing w:after="60"/>
              <w:rPr>
                <w:b/>
                <w:szCs w:val="28"/>
              </w:rPr>
            </w:pPr>
            <w:r w:rsidRPr="00E8754D">
              <w:rPr>
                <w:szCs w:val="28"/>
              </w:rPr>
              <w:t>Basis of presentation</w:t>
            </w:r>
          </w:p>
        </w:tc>
        <w:tc>
          <w:tcPr>
            <w:tcW w:w="1835" w:type="dxa"/>
            <w:gridSpan w:val="2"/>
            <w:shd w:val="clear" w:color="auto" w:fill="auto"/>
          </w:tcPr>
          <w:p w14:paraId="133DAA64" w14:textId="77777777" w:rsidR="00C82BC4" w:rsidRPr="00E8754D" w:rsidRDefault="00C82BC4" w:rsidP="00276542">
            <w:pPr>
              <w:spacing w:after="60"/>
              <w:rPr>
                <w:b/>
                <w:szCs w:val="28"/>
              </w:rPr>
            </w:pPr>
            <w:r w:rsidRPr="00E8754D">
              <w:rPr>
                <w:b/>
                <w:szCs w:val="28"/>
              </w:rPr>
              <w:t>102: General disclosures</w:t>
            </w:r>
          </w:p>
          <w:p w14:paraId="3FBE6A29" w14:textId="77777777" w:rsidR="00C82BC4" w:rsidRPr="00E8754D" w:rsidRDefault="00C82BC4" w:rsidP="00276542">
            <w:pPr>
              <w:spacing w:after="60"/>
              <w:rPr>
                <w:szCs w:val="28"/>
              </w:rPr>
            </w:pPr>
            <w:r w:rsidRPr="00E8754D">
              <w:rPr>
                <w:szCs w:val="28"/>
              </w:rPr>
              <w:t xml:space="preserve">102-14: Statement from the most senior decision-maker of the organisation (such as CEO, chair, or equivalent senior position) about the relevance of sustainability to the organisation and its strategy for addressing sustainability. </w:t>
            </w:r>
          </w:p>
          <w:p w14:paraId="06FB8AB4" w14:textId="77777777" w:rsidR="00C82BC4" w:rsidRPr="00E8754D" w:rsidRDefault="00C82BC4" w:rsidP="00276542">
            <w:pPr>
              <w:spacing w:after="60"/>
              <w:rPr>
                <w:szCs w:val="28"/>
              </w:rPr>
            </w:pPr>
            <w:r w:rsidRPr="00E8754D">
              <w:rPr>
                <w:szCs w:val="28"/>
              </w:rPr>
              <w:t>102-17: Mechanisms for advice and concerns about ethics</w:t>
            </w:r>
          </w:p>
          <w:p w14:paraId="7B04CCC4" w14:textId="77777777" w:rsidR="00C82BC4" w:rsidRPr="00E8754D" w:rsidRDefault="00C82BC4" w:rsidP="00276542">
            <w:pPr>
              <w:spacing w:after="60"/>
              <w:rPr>
                <w:szCs w:val="28"/>
              </w:rPr>
            </w:pPr>
            <w:r w:rsidRPr="00E8754D">
              <w:rPr>
                <w:szCs w:val="28"/>
              </w:rPr>
              <w:t xml:space="preserve">102-18: Governance structure </w:t>
            </w:r>
          </w:p>
          <w:p w14:paraId="02306FF2" w14:textId="77777777" w:rsidR="00C82BC4" w:rsidRPr="00E8754D" w:rsidRDefault="00C82BC4" w:rsidP="00276542">
            <w:pPr>
              <w:spacing w:after="60"/>
              <w:rPr>
                <w:szCs w:val="28"/>
              </w:rPr>
            </w:pPr>
            <w:r w:rsidRPr="00E8754D">
              <w:rPr>
                <w:szCs w:val="28"/>
              </w:rPr>
              <w:t xml:space="preserve">102-20: Executive-level responsibility for economic, environmental and social topics </w:t>
            </w:r>
          </w:p>
          <w:p w14:paraId="17434A65" w14:textId="77777777" w:rsidR="00C82BC4" w:rsidRPr="00E8754D" w:rsidRDefault="00C82BC4" w:rsidP="00276542">
            <w:pPr>
              <w:spacing w:after="60"/>
              <w:rPr>
                <w:szCs w:val="28"/>
              </w:rPr>
            </w:pPr>
            <w:r w:rsidRPr="00E8754D">
              <w:rPr>
                <w:szCs w:val="28"/>
              </w:rPr>
              <w:t>102-19: Delegating authority</w:t>
            </w:r>
          </w:p>
          <w:p w14:paraId="0B89B001" w14:textId="77777777" w:rsidR="00C82BC4" w:rsidRPr="00E8754D" w:rsidRDefault="00C82BC4" w:rsidP="00276542">
            <w:pPr>
              <w:spacing w:after="60"/>
              <w:rPr>
                <w:szCs w:val="28"/>
              </w:rPr>
            </w:pPr>
            <w:r w:rsidRPr="00E8754D">
              <w:rPr>
                <w:szCs w:val="28"/>
              </w:rPr>
              <w:t>102-22: Composition of the highest governance body and its committee</w:t>
            </w:r>
          </w:p>
          <w:p w14:paraId="3C31E065" w14:textId="77777777" w:rsidR="00C82BC4" w:rsidRPr="00E8754D" w:rsidRDefault="00C82BC4" w:rsidP="00276542">
            <w:pPr>
              <w:spacing w:after="60"/>
              <w:rPr>
                <w:szCs w:val="28"/>
              </w:rPr>
            </w:pPr>
            <w:r w:rsidRPr="00E8754D">
              <w:rPr>
                <w:szCs w:val="28"/>
              </w:rPr>
              <w:t>102-23: Chair of the highest governance body</w:t>
            </w:r>
          </w:p>
          <w:p w14:paraId="607A47D9" w14:textId="77777777" w:rsidR="00C82BC4" w:rsidRPr="00E8754D" w:rsidRDefault="00C82BC4" w:rsidP="00276542">
            <w:pPr>
              <w:spacing w:after="60"/>
              <w:rPr>
                <w:szCs w:val="28"/>
              </w:rPr>
            </w:pPr>
            <w:r w:rsidRPr="00E8754D">
              <w:rPr>
                <w:szCs w:val="28"/>
              </w:rPr>
              <w:t>102-24: Nominating and selecting the high governance body</w:t>
            </w:r>
          </w:p>
          <w:p w14:paraId="4E2342C6" w14:textId="77777777" w:rsidR="00C82BC4" w:rsidRPr="00E8754D" w:rsidRDefault="00C82BC4" w:rsidP="00276542">
            <w:pPr>
              <w:spacing w:after="60"/>
              <w:rPr>
                <w:szCs w:val="28"/>
              </w:rPr>
            </w:pPr>
            <w:r w:rsidRPr="00E8754D">
              <w:rPr>
                <w:szCs w:val="28"/>
              </w:rPr>
              <w:lastRenderedPageBreak/>
              <w:t>102-26: Role of highest governance body in setting purpose, values and strategy</w:t>
            </w:r>
          </w:p>
          <w:p w14:paraId="39C571D5" w14:textId="77777777" w:rsidR="00C82BC4" w:rsidRPr="00E8754D" w:rsidRDefault="00C82BC4" w:rsidP="00276542">
            <w:pPr>
              <w:spacing w:after="60"/>
              <w:rPr>
                <w:szCs w:val="28"/>
              </w:rPr>
            </w:pPr>
            <w:r w:rsidRPr="00E8754D">
              <w:rPr>
                <w:szCs w:val="28"/>
              </w:rPr>
              <w:t>102-27: Collective knowledge of highest governance body</w:t>
            </w:r>
          </w:p>
          <w:p w14:paraId="66ACD24A" w14:textId="77777777" w:rsidR="00C82BC4" w:rsidRPr="00E8754D" w:rsidRDefault="00C82BC4" w:rsidP="00276542">
            <w:pPr>
              <w:spacing w:after="60"/>
              <w:rPr>
                <w:szCs w:val="28"/>
              </w:rPr>
            </w:pPr>
            <w:r w:rsidRPr="00E8754D">
              <w:rPr>
                <w:szCs w:val="28"/>
              </w:rPr>
              <w:t>102-28: Evaluating the high governance body's performance</w:t>
            </w:r>
          </w:p>
          <w:p w14:paraId="0F0C5FE4" w14:textId="77777777" w:rsidR="00C82BC4" w:rsidRPr="00E8754D" w:rsidRDefault="00C82BC4" w:rsidP="00276542">
            <w:pPr>
              <w:spacing w:after="60"/>
              <w:ind w:left="34"/>
              <w:rPr>
                <w:szCs w:val="28"/>
              </w:rPr>
            </w:pPr>
            <w:r w:rsidRPr="00E8754D">
              <w:rPr>
                <w:szCs w:val="28"/>
              </w:rPr>
              <w:t>102-32: Highest governance body's role in sustainability report</w:t>
            </w:r>
          </w:p>
        </w:tc>
        <w:tc>
          <w:tcPr>
            <w:tcW w:w="2142" w:type="dxa"/>
            <w:gridSpan w:val="2"/>
          </w:tcPr>
          <w:p w14:paraId="68C75CBB" w14:textId="77777777" w:rsidR="00C82BC4" w:rsidRPr="00E8754D" w:rsidRDefault="00C82BC4" w:rsidP="00276542">
            <w:pPr>
              <w:spacing w:after="60"/>
              <w:ind w:left="54"/>
              <w:rPr>
                <w:szCs w:val="28"/>
              </w:rPr>
            </w:pPr>
          </w:p>
        </w:tc>
      </w:tr>
      <w:tr w:rsidR="00C82BC4" w:rsidRPr="00E8754D" w14:paraId="64EA6109" w14:textId="77777777" w:rsidTr="00276542">
        <w:trPr>
          <w:cnfStyle w:val="000000010000" w:firstRow="0" w:lastRow="0" w:firstColumn="0" w:lastColumn="0" w:oddVBand="0" w:evenVBand="0" w:oddHBand="0" w:evenHBand="1" w:firstRowFirstColumn="0" w:firstRowLastColumn="0" w:lastRowFirstColumn="0" w:lastRowLastColumn="0"/>
        </w:trPr>
        <w:tc>
          <w:tcPr>
            <w:tcW w:w="1237" w:type="dxa"/>
            <w:gridSpan w:val="2"/>
            <w:vMerge/>
            <w:shd w:val="clear" w:color="auto" w:fill="auto"/>
          </w:tcPr>
          <w:p w14:paraId="25A14DCA" w14:textId="77777777" w:rsidR="00C82BC4" w:rsidRPr="00E8754D" w:rsidRDefault="00C82BC4" w:rsidP="00276542">
            <w:pPr>
              <w:spacing w:after="60"/>
              <w:ind w:left="54"/>
              <w:rPr>
                <w:color w:val="auto"/>
                <w:szCs w:val="28"/>
              </w:rPr>
            </w:pPr>
          </w:p>
        </w:tc>
        <w:tc>
          <w:tcPr>
            <w:tcW w:w="1703" w:type="dxa"/>
            <w:shd w:val="clear" w:color="auto" w:fill="auto"/>
          </w:tcPr>
          <w:p w14:paraId="3831F5C1" w14:textId="77777777" w:rsidR="00C82BC4" w:rsidRPr="00E8754D" w:rsidRDefault="00C82BC4" w:rsidP="00C82BC4">
            <w:pPr>
              <w:numPr>
                <w:ilvl w:val="0"/>
                <w:numId w:val="7"/>
              </w:numPr>
              <w:spacing w:after="60"/>
              <w:rPr>
                <w:color w:val="auto"/>
                <w:szCs w:val="28"/>
              </w:rPr>
            </w:pPr>
            <w:r w:rsidRPr="00E8754D">
              <w:rPr>
                <w:color w:val="auto"/>
                <w:szCs w:val="28"/>
              </w:rPr>
              <w:t>Key impacts, risks, opportunities</w:t>
            </w:r>
          </w:p>
        </w:tc>
        <w:tc>
          <w:tcPr>
            <w:tcW w:w="1658" w:type="dxa"/>
            <w:gridSpan w:val="3"/>
          </w:tcPr>
          <w:p w14:paraId="6FADCFDE" w14:textId="77777777" w:rsidR="00C82BC4" w:rsidRPr="00E8754D" w:rsidRDefault="00C82BC4" w:rsidP="00276542">
            <w:pPr>
              <w:spacing w:after="60"/>
              <w:rPr>
                <w:b/>
                <w:szCs w:val="28"/>
              </w:rPr>
            </w:pPr>
          </w:p>
        </w:tc>
        <w:tc>
          <w:tcPr>
            <w:tcW w:w="1965" w:type="dxa"/>
            <w:gridSpan w:val="2"/>
          </w:tcPr>
          <w:p w14:paraId="7A0C60EB" w14:textId="77777777" w:rsidR="00C82BC4" w:rsidRPr="00E8754D" w:rsidRDefault="00C82BC4" w:rsidP="00276542">
            <w:pPr>
              <w:spacing w:after="60"/>
              <w:rPr>
                <w:b/>
                <w:szCs w:val="28"/>
              </w:rPr>
            </w:pPr>
          </w:p>
        </w:tc>
        <w:tc>
          <w:tcPr>
            <w:tcW w:w="1364" w:type="dxa"/>
          </w:tcPr>
          <w:p w14:paraId="47EF1F84" w14:textId="77777777" w:rsidR="00C82BC4" w:rsidRPr="00E8754D" w:rsidRDefault="00C82BC4" w:rsidP="00276542">
            <w:pPr>
              <w:spacing w:before="0" w:after="60"/>
              <w:contextualSpacing/>
              <w:rPr>
                <w:b/>
                <w:szCs w:val="28"/>
              </w:rPr>
            </w:pPr>
            <w:r w:rsidRPr="00E8754D">
              <w:rPr>
                <w:b/>
                <w:szCs w:val="28"/>
              </w:rPr>
              <w:t>Content elements:</w:t>
            </w:r>
          </w:p>
          <w:p w14:paraId="3B98E671" w14:textId="77777777" w:rsidR="00C82BC4" w:rsidRPr="00E8754D" w:rsidRDefault="00C82BC4" w:rsidP="00C82BC4">
            <w:pPr>
              <w:numPr>
                <w:ilvl w:val="0"/>
                <w:numId w:val="28"/>
              </w:numPr>
              <w:spacing w:before="0" w:after="60"/>
              <w:ind w:left="116" w:hanging="180"/>
              <w:contextualSpacing/>
              <w:rPr>
                <w:szCs w:val="28"/>
              </w:rPr>
            </w:pPr>
            <w:r w:rsidRPr="00E8754D">
              <w:rPr>
                <w:szCs w:val="28"/>
              </w:rPr>
              <w:t>Risks and opportunities</w:t>
            </w:r>
          </w:p>
          <w:p w14:paraId="73CD4E92" w14:textId="77777777" w:rsidR="00C82BC4" w:rsidRPr="00E8754D" w:rsidRDefault="00C82BC4" w:rsidP="00C82BC4">
            <w:pPr>
              <w:numPr>
                <w:ilvl w:val="0"/>
                <w:numId w:val="28"/>
              </w:numPr>
              <w:spacing w:before="0" w:after="60"/>
              <w:ind w:left="116" w:hanging="180"/>
              <w:contextualSpacing/>
              <w:rPr>
                <w:szCs w:val="28"/>
              </w:rPr>
            </w:pPr>
            <w:r w:rsidRPr="00E8754D">
              <w:rPr>
                <w:szCs w:val="28"/>
              </w:rPr>
              <w:t xml:space="preserve">Outlook (challenges and uncertainties) </w:t>
            </w:r>
          </w:p>
          <w:p w14:paraId="264C28DB" w14:textId="77777777" w:rsidR="00C82BC4" w:rsidRPr="00E8754D" w:rsidRDefault="00C82BC4" w:rsidP="00276542">
            <w:pPr>
              <w:spacing w:after="60"/>
              <w:rPr>
                <w:b/>
                <w:szCs w:val="28"/>
              </w:rPr>
            </w:pPr>
          </w:p>
        </w:tc>
        <w:tc>
          <w:tcPr>
            <w:tcW w:w="1835" w:type="dxa"/>
            <w:gridSpan w:val="2"/>
            <w:shd w:val="clear" w:color="auto" w:fill="auto"/>
          </w:tcPr>
          <w:p w14:paraId="52C8301A" w14:textId="77777777" w:rsidR="00C82BC4" w:rsidRPr="00E8754D" w:rsidRDefault="00C82BC4" w:rsidP="00276542">
            <w:pPr>
              <w:spacing w:after="60"/>
              <w:rPr>
                <w:b/>
                <w:color w:val="auto"/>
                <w:szCs w:val="28"/>
              </w:rPr>
            </w:pPr>
            <w:r w:rsidRPr="00E8754D">
              <w:rPr>
                <w:b/>
                <w:color w:val="auto"/>
                <w:szCs w:val="28"/>
              </w:rPr>
              <w:t>102: General disclosures</w:t>
            </w:r>
          </w:p>
          <w:p w14:paraId="64EA276A" w14:textId="77777777" w:rsidR="00C82BC4" w:rsidRPr="00E8754D" w:rsidRDefault="00C82BC4" w:rsidP="00276542">
            <w:pPr>
              <w:spacing w:after="60"/>
              <w:rPr>
                <w:color w:val="auto"/>
                <w:szCs w:val="28"/>
              </w:rPr>
            </w:pPr>
            <w:r w:rsidRPr="00E8754D">
              <w:rPr>
                <w:color w:val="auto"/>
                <w:szCs w:val="28"/>
              </w:rPr>
              <w:t>102-15: Key impacts, risks and opportunities</w:t>
            </w:r>
          </w:p>
          <w:p w14:paraId="05F702C6" w14:textId="77777777" w:rsidR="00C82BC4" w:rsidRPr="00E8754D" w:rsidRDefault="00C82BC4" w:rsidP="00276542">
            <w:pPr>
              <w:spacing w:after="60"/>
              <w:rPr>
                <w:b/>
                <w:color w:val="auto"/>
                <w:szCs w:val="28"/>
              </w:rPr>
            </w:pPr>
            <w:r w:rsidRPr="00E8754D">
              <w:rPr>
                <w:color w:val="auto"/>
                <w:szCs w:val="28"/>
              </w:rPr>
              <w:t>102-25: Conflicts of interest</w:t>
            </w:r>
          </w:p>
          <w:p w14:paraId="703223AB" w14:textId="77777777" w:rsidR="00C82BC4" w:rsidRPr="00E8754D" w:rsidRDefault="00C82BC4" w:rsidP="00276542">
            <w:pPr>
              <w:spacing w:after="60"/>
              <w:rPr>
                <w:color w:val="auto"/>
                <w:szCs w:val="28"/>
              </w:rPr>
            </w:pPr>
            <w:r w:rsidRPr="00E8754D">
              <w:rPr>
                <w:color w:val="auto"/>
                <w:szCs w:val="28"/>
              </w:rPr>
              <w:t>102-29: Identifying and managing economic, environmental and social impacts</w:t>
            </w:r>
          </w:p>
          <w:p w14:paraId="4E8F4ABC" w14:textId="77777777" w:rsidR="00C82BC4" w:rsidRPr="00E8754D" w:rsidRDefault="00C82BC4" w:rsidP="00276542">
            <w:pPr>
              <w:spacing w:after="60"/>
              <w:rPr>
                <w:color w:val="auto"/>
                <w:szCs w:val="28"/>
              </w:rPr>
            </w:pPr>
            <w:r w:rsidRPr="00E8754D">
              <w:rPr>
                <w:color w:val="auto"/>
                <w:szCs w:val="28"/>
              </w:rPr>
              <w:t>102-30: Effectiveness of risk management process</w:t>
            </w:r>
          </w:p>
          <w:p w14:paraId="6A32F2A0" w14:textId="77777777" w:rsidR="00C82BC4" w:rsidRPr="00E8754D" w:rsidRDefault="00C82BC4" w:rsidP="00276542">
            <w:pPr>
              <w:spacing w:after="60"/>
              <w:rPr>
                <w:color w:val="auto"/>
                <w:szCs w:val="28"/>
              </w:rPr>
            </w:pPr>
            <w:r w:rsidRPr="00E8754D">
              <w:rPr>
                <w:color w:val="auto"/>
                <w:szCs w:val="28"/>
              </w:rPr>
              <w:t>102-31: Review of economic, environmental and social topics</w:t>
            </w:r>
          </w:p>
          <w:p w14:paraId="3F92C648" w14:textId="77777777" w:rsidR="00C82BC4" w:rsidRPr="00E8754D" w:rsidRDefault="00C82BC4" w:rsidP="00276542">
            <w:pPr>
              <w:spacing w:after="60"/>
              <w:rPr>
                <w:color w:val="auto"/>
                <w:szCs w:val="28"/>
              </w:rPr>
            </w:pPr>
            <w:r w:rsidRPr="00E8754D">
              <w:rPr>
                <w:color w:val="auto"/>
                <w:szCs w:val="28"/>
              </w:rPr>
              <w:t>102-33: Communicating critical concerns</w:t>
            </w:r>
          </w:p>
          <w:p w14:paraId="7CCD900B" w14:textId="77777777" w:rsidR="00C82BC4" w:rsidRPr="00E8754D" w:rsidRDefault="00C82BC4" w:rsidP="00276542">
            <w:pPr>
              <w:spacing w:after="60"/>
              <w:rPr>
                <w:color w:val="auto"/>
                <w:szCs w:val="28"/>
              </w:rPr>
            </w:pPr>
            <w:r w:rsidRPr="00E8754D">
              <w:rPr>
                <w:color w:val="auto"/>
                <w:szCs w:val="28"/>
              </w:rPr>
              <w:t>102-34: Nature and total number of critical concerns</w:t>
            </w:r>
          </w:p>
          <w:p w14:paraId="751BF8AB" w14:textId="77777777" w:rsidR="00C82BC4" w:rsidRPr="00E8754D" w:rsidRDefault="00C82BC4" w:rsidP="00276542">
            <w:pPr>
              <w:spacing w:after="60"/>
              <w:rPr>
                <w:color w:val="auto"/>
                <w:szCs w:val="28"/>
              </w:rPr>
            </w:pPr>
            <w:r w:rsidRPr="00E8754D">
              <w:rPr>
                <w:color w:val="auto"/>
                <w:szCs w:val="28"/>
              </w:rPr>
              <w:lastRenderedPageBreak/>
              <w:t>102-46: Defining report content and topic boundaries</w:t>
            </w:r>
          </w:p>
          <w:p w14:paraId="4D1FAFEE" w14:textId="77777777" w:rsidR="00C82BC4" w:rsidRPr="00E8754D" w:rsidRDefault="00C82BC4" w:rsidP="00276542">
            <w:pPr>
              <w:spacing w:after="60"/>
              <w:rPr>
                <w:color w:val="auto"/>
                <w:szCs w:val="28"/>
              </w:rPr>
            </w:pPr>
            <w:r w:rsidRPr="00E8754D">
              <w:rPr>
                <w:color w:val="auto"/>
                <w:szCs w:val="28"/>
              </w:rPr>
              <w:t>102-47: List of material topics</w:t>
            </w:r>
          </w:p>
          <w:p w14:paraId="53AD2862" w14:textId="77777777" w:rsidR="00C82BC4" w:rsidRPr="00E8754D" w:rsidRDefault="00C82BC4" w:rsidP="00276542">
            <w:pPr>
              <w:spacing w:after="60"/>
              <w:ind w:left="34"/>
              <w:rPr>
                <w:color w:val="auto"/>
                <w:szCs w:val="28"/>
              </w:rPr>
            </w:pPr>
            <w:r w:rsidRPr="00E8754D">
              <w:rPr>
                <w:color w:val="auto"/>
                <w:szCs w:val="28"/>
              </w:rPr>
              <w:t>102-44: Key topics and concerns raised</w:t>
            </w:r>
          </w:p>
          <w:p w14:paraId="34F31929" w14:textId="77777777" w:rsidR="00C82BC4" w:rsidRPr="00E8754D" w:rsidRDefault="00C82BC4" w:rsidP="00276542">
            <w:pPr>
              <w:spacing w:after="60"/>
              <w:ind w:left="34"/>
              <w:rPr>
                <w:b/>
                <w:color w:val="auto"/>
                <w:szCs w:val="28"/>
              </w:rPr>
            </w:pPr>
            <w:r w:rsidRPr="00E8754D">
              <w:rPr>
                <w:b/>
                <w:color w:val="auto"/>
                <w:szCs w:val="28"/>
              </w:rPr>
              <w:t>307: Environmental Compliance</w:t>
            </w:r>
          </w:p>
          <w:p w14:paraId="6D190066" w14:textId="77777777" w:rsidR="00C82BC4" w:rsidRPr="00E8754D" w:rsidRDefault="00C82BC4" w:rsidP="00276542">
            <w:pPr>
              <w:spacing w:after="60"/>
              <w:ind w:left="34"/>
              <w:rPr>
                <w:color w:val="auto"/>
                <w:szCs w:val="28"/>
              </w:rPr>
            </w:pPr>
            <w:r w:rsidRPr="00E8754D">
              <w:rPr>
                <w:color w:val="auto"/>
                <w:szCs w:val="28"/>
              </w:rPr>
              <w:t>307-1: Non-compliance with environmental laws and regulations</w:t>
            </w:r>
          </w:p>
        </w:tc>
        <w:tc>
          <w:tcPr>
            <w:tcW w:w="2142" w:type="dxa"/>
            <w:gridSpan w:val="2"/>
            <w:shd w:val="clear" w:color="auto" w:fill="auto"/>
          </w:tcPr>
          <w:p w14:paraId="73314655" w14:textId="77777777" w:rsidR="00C82BC4" w:rsidRPr="00E8754D" w:rsidRDefault="00C82BC4" w:rsidP="00C82BC4">
            <w:pPr>
              <w:numPr>
                <w:ilvl w:val="0"/>
                <w:numId w:val="28"/>
              </w:numPr>
              <w:spacing w:before="0" w:after="60"/>
              <w:ind w:left="116" w:hanging="180"/>
              <w:contextualSpacing/>
              <w:rPr>
                <w:szCs w:val="28"/>
              </w:rPr>
            </w:pPr>
            <w:r w:rsidRPr="00E8754D">
              <w:rPr>
                <w:szCs w:val="28"/>
              </w:rPr>
              <w:lastRenderedPageBreak/>
              <w:t xml:space="preserve">Business model resilience </w:t>
            </w:r>
          </w:p>
          <w:p w14:paraId="44641FB1" w14:textId="77777777" w:rsidR="00C82BC4" w:rsidRPr="00E8754D" w:rsidRDefault="00C82BC4" w:rsidP="00C82BC4">
            <w:pPr>
              <w:numPr>
                <w:ilvl w:val="0"/>
                <w:numId w:val="28"/>
              </w:numPr>
              <w:spacing w:before="0" w:after="60"/>
              <w:ind w:left="116" w:hanging="180"/>
              <w:contextualSpacing/>
              <w:rPr>
                <w:szCs w:val="28"/>
              </w:rPr>
            </w:pPr>
            <w:r w:rsidRPr="00E8754D">
              <w:rPr>
                <w:szCs w:val="28"/>
              </w:rPr>
              <w:t xml:space="preserve">Climate Change Adaptation </w:t>
            </w:r>
          </w:p>
          <w:p w14:paraId="5020AA08" w14:textId="77777777" w:rsidR="00C82BC4" w:rsidRPr="00E8754D" w:rsidRDefault="00C82BC4" w:rsidP="00C82BC4">
            <w:pPr>
              <w:numPr>
                <w:ilvl w:val="0"/>
                <w:numId w:val="28"/>
              </w:numPr>
              <w:spacing w:before="0" w:after="60"/>
              <w:ind w:left="116" w:hanging="180"/>
              <w:contextualSpacing/>
              <w:rPr>
                <w:szCs w:val="28"/>
              </w:rPr>
            </w:pPr>
            <w:r w:rsidRPr="00E8754D">
              <w:rPr>
                <w:szCs w:val="28"/>
              </w:rPr>
              <w:t xml:space="preserve">Critical Incident Risk  Management </w:t>
            </w:r>
          </w:p>
          <w:p w14:paraId="1027E1DB" w14:textId="77777777" w:rsidR="00C82BC4" w:rsidRPr="00E8754D" w:rsidRDefault="00C82BC4" w:rsidP="00C82BC4">
            <w:pPr>
              <w:numPr>
                <w:ilvl w:val="0"/>
                <w:numId w:val="28"/>
              </w:numPr>
              <w:spacing w:before="0" w:after="0"/>
              <w:ind w:left="116" w:hanging="180"/>
              <w:contextualSpacing/>
              <w:rPr>
                <w:szCs w:val="28"/>
              </w:rPr>
            </w:pPr>
            <w:r w:rsidRPr="00E8754D">
              <w:rPr>
                <w:szCs w:val="28"/>
              </w:rPr>
              <w:t xml:space="preserve">Systemic Risk Management </w:t>
            </w:r>
          </w:p>
          <w:p w14:paraId="65104614" w14:textId="77777777" w:rsidR="00C82BC4" w:rsidRPr="00E8754D" w:rsidRDefault="00C82BC4" w:rsidP="00C82BC4">
            <w:pPr>
              <w:numPr>
                <w:ilvl w:val="0"/>
                <w:numId w:val="28"/>
              </w:numPr>
              <w:spacing w:before="0" w:after="0"/>
              <w:ind w:left="116" w:hanging="180"/>
              <w:contextualSpacing/>
              <w:rPr>
                <w:szCs w:val="28"/>
              </w:rPr>
            </w:pPr>
            <w:r w:rsidRPr="00E8754D">
              <w:rPr>
                <w:szCs w:val="28"/>
              </w:rPr>
              <w:t>Management of the  Legal &amp; Regulatory Environment  </w:t>
            </w:r>
          </w:p>
          <w:p w14:paraId="3C5D5DF5" w14:textId="77777777" w:rsidR="00C82BC4" w:rsidRPr="00E8754D" w:rsidRDefault="00C82BC4" w:rsidP="00C82BC4">
            <w:pPr>
              <w:numPr>
                <w:ilvl w:val="0"/>
                <w:numId w:val="28"/>
              </w:numPr>
              <w:spacing w:before="0" w:after="60"/>
              <w:ind w:left="116" w:hanging="180"/>
              <w:contextualSpacing/>
              <w:rPr>
                <w:szCs w:val="28"/>
              </w:rPr>
            </w:pPr>
            <w:r w:rsidRPr="00E8754D">
              <w:rPr>
                <w:szCs w:val="28"/>
              </w:rPr>
              <w:t>Investment, Credit, and Underwriting ESG Risks  (Financial sector only)</w:t>
            </w:r>
          </w:p>
        </w:tc>
      </w:tr>
      <w:tr w:rsidR="00C82BC4" w:rsidRPr="00E8754D" w14:paraId="14328E15" w14:textId="77777777" w:rsidTr="00276542">
        <w:tc>
          <w:tcPr>
            <w:tcW w:w="1237" w:type="dxa"/>
            <w:gridSpan w:val="2"/>
            <w:vMerge/>
            <w:shd w:val="clear" w:color="auto" w:fill="auto"/>
          </w:tcPr>
          <w:p w14:paraId="0E9978BB" w14:textId="77777777" w:rsidR="00C82BC4" w:rsidRPr="00E8754D" w:rsidRDefault="00C82BC4" w:rsidP="00276542">
            <w:pPr>
              <w:spacing w:after="60"/>
              <w:ind w:left="54"/>
              <w:rPr>
                <w:szCs w:val="28"/>
              </w:rPr>
            </w:pPr>
          </w:p>
        </w:tc>
        <w:tc>
          <w:tcPr>
            <w:tcW w:w="1703" w:type="dxa"/>
            <w:shd w:val="clear" w:color="auto" w:fill="auto"/>
          </w:tcPr>
          <w:p w14:paraId="30B944F9" w14:textId="77777777" w:rsidR="00C82BC4" w:rsidRPr="00E8754D" w:rsidRDefault="00C82BC4" w:rsidP="00C82BC4">
            <w:pPr>
              <w:numPr>
                <w:ilvl w:val="0"/>
                <w:numId w:val="7"/>
              </w:numPr>
              <w:spacing w:after="60"/>
              <w:rPr>
                <w:b/>
                <w:szCs w:val="28"/>
              </w:rPr>
            </w:pPr>
            <w:r w:rsidRPr="00E8754D">
              <w:rPr>
                <w:szCs w:val="28"/>
              </w:rPr>
              <w:t>Anti-fraud, anti-corruption and anti-competitive behaviour practices</w:t>
            </w:r>
          </w:p>
        </w:tc>
        <w:tc>
          <w:tcPr>
            <w:tcW w:w="1658" w:type="dxa"/>
            <w:gridSpan w:val="3"/>
          </w:tcPr>
          <w:p w14:paraId="4E97D049" w14:textId="77777777" w:rsidR="00C82BC4" w:rsidRPr="00E8754D" w:rsidRDefault="00C82BC4" w:rsidP="00276542">
            <w:pPr>
              <w:spacing w:after="60"/>
              <w:rPr>
                <w:b/>
                <w:szCs w:val="28"/>
              </w:rPr>
            </w:pPr>
            <w:r w:rsidRPr="00E8754D">
              <w:rPr>
                <w:b/>
                <w:szCs w:val="28"/>
              </w:rPr>
              <w:t>D.2 Anti-corruption practices</w:t>
            </w:r>
          </w:p>
          <w:p w14:paraId="311E5377" w14:textId="77777777" w:rsidR="00C82BC4" w:rsidRPr="00E8754D" w:rsidRDefault="00C82BC4" w:rsidP="00276542">
            <w:pPr>
              <w:spacing w:after="60"/>
              <w:ind w:left="34"/>
              <w:rPr>
                <w:szCs w:val="28"/>
              </w:rPr>
            </w:pPr>
            <w:r w:rsidRPr="00E8754D">
              <w:rPr>
                <w:szCs w:val="28"/>
              </w:rPr>
              <w:t xml:space="preserve">D.2.1. </w:t>
            </w:r>
            <w:proofErr w:type="gramStart"/>
            <w:r w:rsidRPr="00E8754D">
              <w:rPr>
                <w:szCs w:val="28"/>
              </w:rPr>
              <w:t>Amount</w:t>
            </w:r>
            <w:proofErr w:type="gramEnd"/>
            <w:r w:rsidRPr="00E8754D">
              <w:rPr>
                <w:szCs w:val="28"/>
              </w:rPr>
              <w:t xml:space="preserve"> of fines paid or payable due to settlements</w:t>
            </w:r>
          </w:p>
          <w:p w14:paraId="7374D8FD" w14:textId="77777777" w:rsidR="00C82BC4" w:rsidRPr="00E8754D" w:rsidRDefault="00C82BC4" w:rsidP="00276542">
            <w:pPr>
              <w:spacing w:after="60"/>
              <w:ind w:left="34"/>
              <w:rPr>
                <w:szCs w:val="28"/>
              </w:rPr>
            </w:pPr>
            <w:r w:rsidRPr="00E8754D">
              <w:rPr>
                <w:szCs w:val="28"/>
              </w:rPr>
              <w:t>D.2.2. Average number of hours of training on anti-corruption issues, per year per employee</w:t>
            </w:r>
          </w:p>
          <w:p w14:paraId="64B55D2A" w14:textId="77777777" w:rsidR="00C82BC4" w:rsidRPr="00E8754D" w:rsidRDefault="00C82BC4" w:rsidP="00276542">
            <w:pPr>
              <w:spacing w:after="60"/>
              <w:rPr>
                <w:b/>
                <w:szCs w:val="28"/>
              </w:rPr>
            </w:pPr>
          </w:p>
        </w:tc>
        <w:tc>
          <w:tcPr>
            <w:tcW w:w="1965" w:type="dxa"/>
            <w:gridSpan w:val="2"/>
          </w:tcPr>
          <w:p w14:paraId="1CC40CD2" w14:textId="77777777" w:rsidR="00C82BC4" w:rsidRPr="00E8754D" w:rsidRDefault="00C82BC4" w:rsidP="00276542">
            <w:pPr>
              <w:spacing w:after="60"/>
              <w:rPr>
                <w:b/>
                <w:szCs w:val="28"/>
              </w:rPr>
            </w:pPr>
            <w:r w:rsidRPr="00E8754D">
              <w:rPr>
                <w:b/>
                <w:szCs w:val="28"/>
              </w:rPr>
              <w:t xml:space="preserve">Principle 10: </w:t>
            </w:r>
            <w:r w:rsidRPr="00E8754D">
              <w:rPr>
                <w:szCs w:val="28"/>
              </w:rPr>
              <w:t>Businesses should work against corruption in all its forms, including extortion and bribery</w:t>
            </w:r>
          </w:p>
          <w:p w14:paraId="282C91BB" w14:textId="77777777" w:rsidR="00C82BC4" w:rsidRPr="00E8754D" w:rsidRDefault="00C82BC4" w:rsidP="00276542">
            <w:pPr>
              <w:spacing w:after="60"/>
              <w:rPr>
                <w:b/>
                <w:szCs w:val="28"/>
              </w:rPr>
            </w:pPr>
          </w:p>
        </w:tc>
        <w:tc>
          <w:tcPr>
            <w:tcW w:w="1364" w:type="dxa"/>
          </w:tcPr>
          <w:p w14:paraId="50DF8AAD" w14:textId="77777777" w:rsidR="00C82BC4" w:rsidRPr="00E8754D" w:rsidRDefault="00C82BC4" w:rsidP="00276542">
            <w:pPr>
              <w:spacing w:after="60"/>
              <w:rPr>
                <w:b/>
                <w:szCs w:val="28"/>
              </w:rPr>
            </w:pPr>
          </w:p>
        </w:tc>
        <w:tc>
          <w:tcPr>
            <w:tcW w:w="1835" w:type="dxa"/>
            <w:gridSpan w:val="2"/>
            <w:shd w:val="clear" w:color="auto" w:fill="auto"/>
          </w:tcPr>
          <w:p w14:paraId="2AD7DD39" w14:textId="77777777" w:rsidR="00C82BC4" w:rsidRPr="00E8754D" w:rsidRDefault="00C82BC4" w:rsidP="00276542">
            <w:pPr>
              <w:spacing w:after="60"/>
              <w:rPr>
                <w:b/>
                <w:szCs w:val="28"/>
              </w:rPr>
            </w:pPr>
            <w:r w:rsidRPr="00E8754D">
              <w:rPr>
                <w:b/>
                <w:szCs w:val="28"/>
              </w:rPr>
              <w:t>205: Anti-corruption</w:t>
            </w:r>
          </w:p>
          <w:p w14:paraId="364EAD66" w14:textId="77777777" w:rsidR="00C82BC4" w:rsidRPr="00E8754D" w:rsidRDefault="00C82BC4" w:rsidP="00276542">
            <w:pPr>
              <w:spacing w:after="60"/>
              <w:rPr>
                <w:szCs w:val="28"/>
              </w:rPr>
            </w:pPr>
            <w:r w:rsidRPr="00E8754D">
              <w:rPr>
                <w:szCs w:val="28"/>
              </w:rPr>
              <w:t>205-1: Operations assessed for risks related to corruption</w:t>
            </w:r>
          </w:p>
          <w:p w14:paraId="035EE5CB" w14:textId="77777777" w:rsidR="00C82BC4" w:rsidRPr="00E8754D" w:rsidRDefault="00C82BC4" w:rsidP="00276542">
            <w:pPr>
              <w:spacing w:after="60"/>
              <w:rPr>
                <w:szCs w:val="28"/>
              </w:rPr>
            </w:pPr>
            <w:r w:rsidRPr="00E8754D">
              <w:rPr>
                <w:szCs w:val="28"/>
              </w:rPr>
              <w:t>205-2: Communication and training about anti-corruption policies and procedures</w:t>
            </w:r>
          </w:p>
          <w:p w14:paraId="6AA25803" w14:textId="77777777" w:rsidR="00C82BC4" w:rsidRPr="00E8754D" w:rsidRDefault="00C82BC4" w:rsidP="00276542">
            <w:pPr>
              <w:spacing w:after="60"/>
              <w:rPr>
                <w:szCs w:val="28"/>
              </w:rPr>
            </w:pPr>
            <w:r w:rsidRPr="00E8754D">
              <w:rPr>
                <w:szCs w:val="28"/>
              </w:rPr>
              <w:t>205-3: Confirmed incidents of corruption and actions taken</w:t>
            </w:r>
          </w:p>
          <w:p w14:paraId="71175EED" w14:textId="77777777" w:rsidR="00C82BC4" w:rsidRPr="00E8754D" w:rsidRDefault="00C82BC4" w:rsidP="00276542">
            <w:pPr>
              <w:spacing w:after="60"/>
              <w:rPr>
                <w:b/>
                <w:szCs w:val="28"/>
              </w:rPr>
            </w:pPr>
            <w:r w:rsidRPr="00E8754D">
              <w:rPr>
                <w:b/>
                <w:szCs w:val="28"/>
              </w:rPr>
              <w:t>206: Anti-competitive behaviour</w:t>
            </w:r>
          </w:p>
          <w:p w14:paraId="28A1A342" w14:textId="77777777" w:rsidR="00C82BC4" w:rsidRPr="00E8754D" w:rsidRDefault="00C82BC4" w:rsidP="00276542">
            <w:pPr>
              <w:spacing w:after="60"/>
              <w:ind w:left="34"/>
              <w:rPr>
                <w:szCs w:val="28"/>
              </w:rPr>
            </w:pPr>
            <w:r w:rsidRPr="00E8754D">
              <w:rPr>
                <w:szCs w:val="28"/>
              </w:rPr>
              <w:t>206-1: Legal actions for anti-competitive behaviour, anti-trust and monopoly practices</w:t>
            </w:r>
          </w:p>
          <w:p w14:paraId="5C00E9E0" w14:textId="77777777" w:rsidR="00C82BC4" w:rsidRPr="00E8754D" w:rsidRDefault="00C82BC4" w:rsidP="00276542">
            <w:pPr>
              <w:spacing w:after="60"/>
              <w:ind w:left="34"/>
              <w:rPr>
                <w:b/>
                <w:szCs w:val="28"/>
              </w:rPr>
            </w:pPr>
          </w:p>
          <w:p w14:paraId="2A191A7B" w14:textId="77777777" w:rsidR="00C82BC4" w:rsidRPr="00E8754D" w:rsidRDefault="00C82BC4" w:rsidP="00276542">
            <w:pPr>
              <w:spacing w:after="60"/>
              <w:ind w:left="34"/>
              <w:rPr>
                <w:szCs w:val="28"/>
              </w:rPr>
            </w:pPr>
          </w:p>
        </w:tc>
        <w:tc>
          <w:tcPr>
            <w:tcW w:w="2142" w:type="dxa"/>
            <w:gridSpan w:val="2"/>
          </w:tcPr>
          <w:p w14:paraId="2019ADF0" w14:textId="77777777" w:rsidR="00C82BC4" w:rsidRPr="00E8754D" w:rsidRDefault="00C82BC4" w:rsidP="00276542">
            <w:pPr>
              <w:spacing w:after="60"/>
              <w:ind w:left="54"/>
              <w:rPr>
                <w:szCs w:val="28"/>
              </w:rPr>
            </w:pPr>
            <w:r w:rsidRPr="00E8754D">
              <w:rPr>
                <w:szCs w:val="28"/>
              </w:rPr>
              <w:t>Competitive Behaviour</w:t>
            </w:r>
          </w:p>
        </w:tc>
      </w:tr>
      <w:tr w:rsidR="00C82BC4" w:rsidRPr="00E8754D" w14:paraId="5E0A68A4" w14:textId="77777777" w:rsidTr="00276542">
        <w:trPr>
          <w:cnfStyle w:val="000000010000" w:firstRow="0" w:lastRow="0" w:firstColumn="0" w:lastColumn="0" w:oddVBand="0" w:evenVBand="0" w:oddHBand="0" w:evenHBand="1" w:firstRowFirstColumn="0" w:firstRowLastColumn="0" w:lastRowFirstColumn="0" w:lastRowLastColumn="0"/>
        </w:trPr>
        <w:tc>
          <w:tcPr>
            <w:tcW w:w="1237" w:type="dxa"/>
            <w:gridSpan w:val="2"/>
            <w:vMerge/>
            <w:shd w:val="clear" w:color="auto" w:fill="auto"/>
          </w:tcPr>
          <w:p w14:paraId="72817073" w14:textId="77777777" w:rsidR="00C82BC4" w:rsidRPr="00E8754D" w:rsidRDefault="00C82BC4" w:rsidP="00276542">
            <w:pPr>
              <w:spacing w:after="60"/>
              <w:ind w:left="54"/>
              <w:rPr>
                <w:szCs w:val="28"/>
              </w:rPr>
            </w:pPr>
          </w:p>
        </w:tc>
        <w:tc>
          <w:tcPr>
            <w:tcW w:w="1703" w:type="dxa"/>
            <w:shd w:val="clear" w:color="auto" w:fill="D5D0B4" w:themeFill="background2" w:themeFillShade="D9"/>
          </w:tcPr>
          <w:p w14:paraId="6AC3EE26" w14:textId="77777777" w:rsidR="00C82BC4" w:rsidRPr="00E8754D" w:rsidRDefault="00C82BC4" w:rsidP="00276542">
            <w:pPr>
              <w:spacing w:after="60"/>
              <w:rPr>
                <w:szCs w:val="28"/>
              </w:rPr>
            </w:pPr>
            <w:r w:rsidRPr="00E8754D">
              <w:rPr>
                <w:b/>
                <w:color w:val="auto"/>
                <w:szCs w:val="28"/>
              </w:rPr>
              <w:t>Economic</w:t>
            </w:r>
          </w:p>
        </w:tc>
        <w:tc>
          <w:tcPr>
            <w:tcW w:w="1658" w:type="dxa"/>
            <w:gridSpan w:val="3"/>
            <w:shd w:val="clear" w:color="auto" w:fill="D5D0B4" w:themeFill="background2" w:themeFillShade="D9"/>
          </w:tcPr>
          <w:p w14:paraId="79942A1A" w14:textId="77777777" w:rsidR="00C82BC4" w:rsidRPr="00E8754D" w:rsidRDefault="00C82BC4" w:rsidP="00276542">
            <w:pPr>
              <w:spacing w:after="60"/>
              <w:ind w:left="34"/>
              <w:rPr>
                <w:szCs w:val="28"/>
              </w:rPr>
            </w:pPr>
          </w:p>
        </w:tc>
        <w:tc>
          <w:tcPr>
            <w:tcW w:w="1965" w:type="dxa"/>
            <w:gridSpan w:val="2"/>
            <w:shd w:val="clear" w:color="auto" w:fill="D5D0B4" w:themeFill="background2" w:themeFillShade="D9"/>
          </w:tcPr>
          <w:p w14:paraId="442022C7" w14:textId="77777777" w:rsidR="00C82BC4" w:rsidRPr="00E8754D" w:rsidRDefault="00C82BC4" w:rsidP="00276542">
            <w:pPr>
              <w:spacing w:after="60"/>
              <w:ind w:left="34"/>
              <w:rPr>
                <w:szCs w:val="28"/>
              </w:rPr>
            </w:pPr>
          </w:p>
        </w:tc>
        <w:tc>
          <w:tcPr>
            <w:tcW w:w="1364" w:type="dxa"/>
            <w:shd w:val="clear" w:color="auto" w:fill="D5D0B4" w:themeFill="background2" w:themeFillShade="D9"/>
          </w:tcPr>
          <w:p w14:paraId="1FE30589" w14:textId="77777777" w:rsidR="00C82BC4" w:rsidRPr="00E8754D" w:rsidRDefault="00C82BC4" w:rsidP="00276542">
            <w:pPr>
              <w:spacing w:after="60"/>
              <w:ind w:left="34"/>
              <w:rPr>
                <w:szCs w:val="28"/>
              </w:rPr>
            </w:pPr>
          </w:p>
        </w:tc>
        <w:tc>
          <w:tcPr>
            <w:tcW w:w="1835" w:type="dxa"/>
            <w:gridSpan w:val="2"/>
            <w:shd w:val="clear" w:color="auto" w:fill="D5D0B4" w:themeFill="background2" w:themeFillShade="D9"/>
          </w:tcPr>
          <w:p w14:paraId="6358190E" w14:textId="77777777" w:rsidR="00C82BC4" w:rsidRPr="00E8754D" w:rsidRDefault="00C82BC4" w:rsidP="00276542">
            <w:pPr>
              <w:spacing w:after="60"/>
              <w:ind w:left="34"/>
              <w:rPr>
                <w:szCs w:val="28"/>
              </w:rPr>
            </w:pPr>
          </w:p>
        </w:tc>
        <w:tc>
          <w:tcPr>
            <w:tcW w:w="2142" w:type="dxa"/>
            <w:gridSpan w:val="2"/>
            <w:shd w:val="clear" w:color="auto" w:fill="D5D0B4" w:themeFill="background2" w:themeFillShade="D9"/>
          </w:tcPr>
          <w:p w14:paraId="45C62872" w14:textId="77777777" w:rsidR="00C82BC4" w:rsidRPr="00E8754D" w:rsidRDefault="00C82BC4" w:rsidP="00276542">
            <w:pPr>
              <w:spacing w:after="60"/>
              <w:ind w:left="54"/>
              <w:rPr>
                <w:szCs w:val="28"/>
              </w:rPr>
            </w:pPr>
          </w:p>
        </w:tc>
      </w:tr>
      <w:tr w:rsidR="00C82BC4" w:rsidRPr="00E8754D" w14:paraId="30DBDFEC" w14:textId="77777777" w:rsidTr="00276542">
        <w:tc>
          <w:tcPr>
            <w:tcW w:w="1237" w:type="dxa"/>
            <w:gridSpan w:val="2"/>
            <w:vMerge/>
            <w:shd w:val="clear" w:color="auto" w:fill="auto"/>
          </w:tcPr>
          <w:p w14:paraId="505D4381" w14:textId="77777777" w:rsidR="00C82BC4" w:rsidRPr="00E8754D" w:rsidRDefault="00C82BC4" w:rsidP="00276542">
            <w:pPr>
              <w:spacing w:after="60"/>
              <w:rPr>
                <w:b/>
                <w:szCs w:val="28"/>
              </w:rPr>
            </w:pPr>
          </w:p>
        </w:tc>
        <w:tc>
          <w:tcPr>
            <w:tcW w:w="1703" w:type="dxa"/>
            <w:shd w:val="clear" w:color="auto" w:fill="auto"/>
          </w:tcPr>
          <w:p w14:paraId="24F3833B" w14:textId="77777777" w:rsidR="00C82BC4" w:rsidRPr="00E8754D" w:rsidRDefault="00C82BC4" w:rsidP="00C82BC4">
            <w:pPr>
              <w:numPr>
                <w:ilvl w:val="0"/>
                <w:numId w:val="7"/>
              </w:numPr>
              <w:spacing w:after="60"/>
              <w:rPr>
                <w:szCs w:val="28"/>
              </w:rPr>
            </w:pPr>
            <w:r w:rsidRPr="00E8754D">
              <w:rPr>
                <w:szCs w:val="28"/>
              </w:rPr>
              <w:t xml:space="preserve">Direct measure of economic performance </w:t>
            </w:r>
            <w:r w:rsidRPr="00E8754D">
              <w:rPr>
                <w:szCs w:val="28"/>
              </w:rPr>
              <w:lastRenderedPageBreak/>
              <w:t xml:space="preserve">(revenue, net profit, value added, </w:t>
            </w:r>
            <w:proofErr w:type="spellStart"/>
            <w:r w:rsidRPr="00E8754D">
              <w:rPr>
                <w:szCs w:val="28"/>
              </w:rPr>
              <w:t>payouts</w:t>
            </w:r>
            <w:proofErr w:type="spellEnd"/>
            <w:r w:rsidRPr="00E8754D">
              <w:rPr>
                <w:szCs w:val="28"/>
              </w:rPr>
              <w:t xml:space="preserve"> to shareholders)</w:t>
            </w:r>
          </w:p>
          <w:p w14:paraId="2CFE4055" w14:textId="77777777" w:rsidR="00C82BC4" w:rsidRPr="00E8754D" w:rsidRDefault="00C82BC4" w:rsidP="00276542">
            <w:pPr>
              <w:spacing w:after="60"/>
              <w:rPr>
                <w:szCs w:val="28"/>
              </w:rPr>
            </w:pPr>
          </w:p>
        </w:tc>
        <w:tc>
          <w:tcPr>
            <w:tcW w:w="1658" w:type="dxa"/>
            <w:gridSpan w:val="3"/>
          </w:tcPr>
          <w:p w14:paraId="30F6C4D0" w14:textId="77777777" w:rsidR="00C82BC4" w:rsidRPr="00E8754D" w:rsidRDefault="00C82BC4" w:rsidP="00276542">
            <w:pPr>
              <w:spacing w:after="60"/>
              <w:rPr>
                <w:b/>
                <w:szCs w:val="28"/>
              </w:rPr>
            </w:pPr>
            <w:r w:rsidRPr="00E8754D">
              <w:rPr>
                <w:b/>
                <w:szCs w:val="28"/>
              </w:rPr>
              <w:lastRenderedPageBreak/>
              <w:t>A.1 Revenue and/or (net) value added</w:t>
            </w:r>
          </w:p>
          <w:p w14:paraId="05E9216E" w14:textId="77777777" w:rsidR="00C82BC4" w:rsidRPr="00E8754D" w:rsidRDefault="00C82BC4" w:rsidP="00276542">
            <w:pPr>
              <w:spacing w:after="60"/>
              <w:rPr>
                <w:szCs w:val="28"/>
              </w:rPr>
            </w:pPr>
            <w:r w:rsidRPr="00E8754D">
              <w:rPr>
                <w:szCs w:val="28"/>
              </w:rPr>
              <w:t xml:space="preserve">A.1.1. Revenue </w:t>
            </w:r>
          </w:p>
          <w:p w14:paraId="5BB41F79" w14:textId="77777777" w:rsidR="00C82BC4" w:rsidRPr="00E8754D" w:rsidRDefault="00C82BC4" w:rsidP="00276542">
            <w:pPr>
              <w:spacing w:after="60"/>
              <w:rPr>
                <w:szCs w:val="28"/>
              </w:rPr>
            </w:pPr>
            <w:r w:rsidRPr="00E8754D">
              <w:rPr>
                <w:szCs w:val="28"/>
              </w:rPr>
              <w:lastRenderedPageBreak/>
              <w:t>A.1.2. Value added</w:t>
            </w:r>
          </w:p>
          <w:p w14:paraId="28284CBC" w14:textId="77777777" w:rsidR="00C82BC4" w:rsidRPr="00E8754D" w:rsidRDefault="00C82BC4" w:rsidP="00276542">
            <w:pPr>
              <w:spacing w:after="60"/>
              <w:rPr>
                <w:szCs w:val="28"/>
              </w:rPr>
            </w:pPr>
            <w:r w:rsidRPr="00E8754D">
              <w:rPr>
                <w:szCs w:val="28"/>
              </w:rPr>
              <w:t>A.1.3. Net value added</w:t>
            </w:r>
          </w:p>
          <w:p w14:paraId="2D1491BA" w14:textId="77777777" w:rsidR="00C82BC4" w:rsidRPr="00E8754D" w:rsidRDefault="00C82BC4" w:rsidP="00276542">
            <w:pPr>
              <w:spacing w:after="60"/>
              <w:rPr>
                <w:b/>
                <w:szCs w:val="28"/>
              </w:rPr>
            </w:pPr>
          </w:p>
        </w:tc>
        <w:tc>
          <w:tcPr>
            <w:tcW w:w="1965" w:type="dxa"/>
            <w:gridSpan w:val="2"/>
          </w:tcPr>
          <w:p w14:paraId="092766B6" w14:textId="77777777" w:rsidR="00C82BC4" w:rsidRPr="00E8754D" w:rsidRDefault="00C82BC4" w:rsidP="00276542">
            <w:pPr>
              <w:spacing w:after="60"/>
              <w:rPr>
                <w:b/>
                <w:szCs w:val="28"/>
              </w:rPr>
            </w:pPr>
          </w:p>
        </w:tc>
        <w:tc>
          <w:tcPr>
            <w:tcW w:w="1364" w:type="dxa"/>
          </w:tcPr>
          <w:p w14:paraId="479C1B4D" w14:textId="77777777" w:rsidR="00C82BC4" w:rsidRPr="00E8754D" w:rsidRDefault="00C82BC4" w:rsidP="00276542">
            <w:pPr>
              <w:spacing w:after="60"/>
              <w:rPr>
                <w:b/>
                <w:szCs w:val="28"/>
              </w:rPr>
            </w:pPr>
          </w:p>
        </w:tc>
        <w:tc>
          <w:tcPr>
            <w:tcW w:w="1835" w:type="dxa"/>
            <w:gridSpan w:val="2"/>
            <w:shd w:val="clear" w:color="auto" w:fill="auto"/>
          </w:tcPr>
          <w:p w14:paraId="4AD021E1" w14:textId="77777777" w:rsidR="00C82BC4" w:rsidRPr="00E8754D" w:rsidRDefault="00C82BC4" w:rsidP="00276542">
            <w:pPr>
              <w:spacing w:after="60"/>
              <w:rPr>
                <w:b/>
                <w:szCs w:val="28"/>
              </w:rPr>
            </w:pPr>
            <w:r w:rsidRPr="00E8754D">
              <w:rPr>
                <w:b/>
                <w:szCs w:val="28"/>
              </w:rPr>
              <w:t>201: Economic performance</w:t>
            </w:r>
          </w:p>
          <w:p w14:paraId="2DB08477" w14:textId="77777777" w:rsidR="00C82BC4" w:rsidRPr="00E8754D" w:rsidRDefault="00C82BC4" w:rsidP="00276542">
            <w:pPr>
              <w:spacing w:after="60"/>
              <w:rPr>
                <w:szCs w:val="28"/>
              </w:rPr>
            </w:pPr>
            <w:r w:rsidRPr="00E8754D">
              <w:rPr>
                <w:szCs w:val="28"/>
              </w:rPr>
              <w:lastRenderedPageBreak/>
              <w:t>201-1: Direct economic value generated and distributed</w:t>
            </w:r>
          </w:p>
          <w:p w14:paraId="67D686E5" w14:textId="77777777" w:rsidR="00C82BC4" w:rsidRPr="00E8754D" w:rsidRDefault="00C82BC4" w:rsidP="00276542">
            <w:pPr>
              <w:spacing w:after="60"/>
              <w:rPr>
                <w:szCs w:val="28"/>
              </w:rPr>
            </w:pPr>
            <w:r w:rsidRPr="00E8754D">
              <w:rPr>
                <w:szCs w:val="28"/>
              </w:rPr>
              <w:t>201-2: Financial implications and other risks and opportunities due to climate change</w:t>
            </w:r>
          </w:p>
          <w:p w14:paraId="2C01EBD7" w14:textId="77777777" w:rsidR="00C82BC4" w:rsidRPr="00E8754D" w:rsidRDefault="00C82BC4" w:rsidP="00276542">
            <w:pPr>
              <w:spacing w:after="60"/>
              <w:rPr>
                <w:szCs w:val="28"/>
              </w:rPr>
            </w:pPr>
            <w:r w:rsidRPr="00E8754D">
              <w:rPr>
                <w:szCs w:val="28"/>
              </w:rPr>
              <w:t>201-3: Defined benefit plan obligations and other retirement plans</w:t>
            </w:r>
          </w:p>
          <w:p w14:paraId="60C1591E" w14:textId="77777777" w:rsidR="00C82BC4" w:rsidRPr="00E8754D" w:rsidRDefault="00C82BC4" w:rsidP="00276542">
            <w:pPr>
              <w:spacing w:after="60"/>
              <w:rPr>
                <w:szCs w:val="28"/>
              </w:rPr>
            </w:pPr>
            <w:r w:rsidRPr="00E8754D">
              <w:rPr>
                <w:szCs w:val="28"/>
              </w:rPr>
              <w:t>201-4: Financial assistance received from government</w:t>
            </w:r>
          </w:p>
          <w:p w14:paraId="7484AEB5" w14:textId="77777777" w:rsidR="00C82BC4" w:rsidRPr="00E8754D" w:rsidRDefault="00C82BC4" w:rsidP="00276542">
            <w:pPr>
              <w:spacing w:after="60"/>
              <w:ind w:left="34"/>
              <w:rPr>
                <w:b/>
                <w:szCs w:val="28"/>
              </w:rPr>
            </w:pPr>
          </w:p>
        </w:tc>
        <w:tc>
          <w:tcPr>
            <w:tcW w:w="2142" w:type="dxa"/>
            <w:gridSpan w:val="2"/>
          </w:tcPr>
          <w:p w14:paraId="212F5BA7" w14:textId="77777777" w:rsidR="00C82BC4" w:rsidRPr="00E8754D" w:rsidRDefault="00C82BC4" w:rsidP="00276542">
            <w:pPr>
              <w:spacing w:after="60"/>
              <w:rPr>
                <w:b/>
                <w:szCs w:val="28"/>
              </w:rPr>
            </w:pPr>
          </w:p>
        </w:tc>
      </w:tr>
      <w:tr w:rsidR="00C82BC4" w:rsidRPr="00E8754D" w14:paraId="0AB86657" w14:textId="77777777" w:rsidTr="00276542">
        <w:trPr>
          <w:cnfStyle w:val="000000010000" w:firstRow="0" w:lastRow="0" w:firstColumn="0" w:lastColumn="0" w:oddVBand="0" w:evenVBand="0" w:oddHBand="0" w:evenHBand="1" w:firstRowFirstColumn="0" w:firstRowLastColumn="0" w:lastRowFirstColumn="0" w:lastRowLastColumn="0"/>
        </w:trPr>
        <w:tc>
          <w:tcPr>
            <w:tcW w:w="1237" w:type="dxa"/>
            <w:gridSpan w:val="2"/>
            <w:vMerge/>
            <w:shd w:val="clear" w:color="auto" w:fill="auto"/>
          </w:tcPr>
          <w:p w14:paraId="7E2A3ACB" w14:textId="77777777" w:rsidR="00C82BC4" w:rsidRPr="00E8754D" w:rsidRDefault="00C82BC4" w:rsidP="00276542">
            <w:pPr>
              <w:spacing w:after="60"/>
              <w:ind w:left="54"/>
              <w:rPr>
                <w:szCs w:val="28"/>
              </w:rPr>
            </w:pPr>
          </w:p>
        </w:tc>
        <w:tc>
          <w:tcPr>
            <w:tcW w:w="1703" w:type="dxa"/>
            <w:shd w:val="clear" w:color="auto" w:fill="auto"/>
          </w:tcPr>
          <w:p w14:paraId="351E8AB0" w14:textId="77777777" w:rsidR="00C82BC4" w:rsidRPr="00E8754D" w:rsidRDefault="00C82BC4" w:rsidP="00C82BC4">
            <w:pPr>
              <w:numPr>
                <w:ilvl w:val="0"/>
                <w:numId w:val="7"/>
              </w:numPr>
              <w:spacing w:after="60"/>
              <w:rPr>
                <w:szCs w:val="28"/>
              </w:rPr>
            </w:pPr>
            <w:r w:rsidRPr="00E8754D">
              <w:rPr>
                <w:szCs w:val="28"/>
              </w:rPr>
              <w:t>Indirect measure of economic performance (community investment, investment in infrastructure or other significant local economic impact)</w:t>
            </w:r>
          </w:p>
        </w:tc>
        <w:tc>
          <w:tcPr>
            <w:tcW w:w="1658" w:type="dxa"/>
            <w:gridSpan w:val="3"/>
          </w:tcPr>
          <w:p w14:paraId="6FBB4F09" w14:textId="77777777" w:rsidR="00C82BC4" w:rsidRPr="00E8754D" w:rsidRDefault="00C82BC4" w:rsidP="00276542">
            <w:pPr>
              <w:spacing w:after="60"/>
              <w:rPr>
                <w:szCs w:val="28"/>
              </w:rPr>
            </w:pPr>
            <w:r w:rsidRPr="00E8754D">
              <w:rPr>
                <w:szCs w:val="28"/>
              </w:rPr>
              <w:t>A.2.1. Taxes and other payments to government</w:t>
            </w:r>
          </w:p>
          <w:p w14:paraId="7FD408F2" w14:textId="77777777" w:rsidR="00C82BC4" w:rsidRPr="00E8754D" w:rsidRDefault="00C82BC4" w:rsidP="00276542">
            <w:pPr>
              <w:spacing w:after="60"/>
              <w:rPr>
                <w:szCs w:val="28"/>
              </w:rPr>
            </w:pPr>
            <w:r w:rsidRPr="00E8754D">
              <w:rPr>
                <w:szCs w:val="28"/>
              </w:rPr>
              <w:t>A.3.1 Green investment</w:t>
            </w:r>
            <w:r w:rsidRPr="00E8754D">
              <w:rPr>
                <w:b/>
                <w:szCs w:val="28"/>
              </w:rPr>
              <w:t xml:space="preserve"> </w:t>
            </w:r>
            <w:r w:rsidRPr="00E8754D">
              <w:rPr>
                <w:szCs w:val="28"/>
              </w:rPr>
              <w:t>A.3.2. Community Investment</w:t>
            </w:r>
          </w:p>
          <w:p w14:paraId="046835B6" w14:textId="77777777" w:rsidR="00C82BC4" w:rsidRPr="00E8754D" w:rsidRDefault="00C82BC4" w:rsidP="00276542">
            <w:pPr>
              <w:spacing w:after="60"/>
              <w:rPr>
                <w:b/>
                <w:szCs w:val="28"/>
              </w:rPr>
            </w:pPr>
          </w:p>
        </w:tc>
        <w:tc>
          <w:tcPr>
            <w:tcW w:w="1965" w:type="dxa"/>
            <w:gridSpan w:val="2"/>
          </w:tcPr>
          <w:p w14:paraId="2CE13C18" w14:textId="77777777" w:rsidR="00C82BC4" w:rsidRPr="00E8754D" w:rsidRDefault="00C82BC4" w:rsidP="00276542">
            <w:pPr>
              <w:jc w:val="right"/>
              <w:rPr>
                <w:szCs w:val="28"/>
              </w:rPr>
            </w:pPr>
          </w:p>
        </w:tc>
        <w:tc>
          <w:tcPr>
            <w:tcW w:w="1364" w:type="dxa"/>
          </w:tcPr>
          <w:p w14:paraId="57CB284E" w14:textId="77777777" w:rsidR="00C82BC4" w:rsidRPr="00E8754D" w:rsidRDefault="00C82BC4" w:rsidP="00276542">
            <w:pPr>
              <w:spacing w:after="60"/>
              <w:rPr>
                <w:b/>
                <w:szCs w:val="28"/>
              </w:rPr>
            </w:pPr>
          </w:p>
        </w:tc>
        <w:tc>
          <w:tcPr>
            <w:tcW w:w="1835" w:type="dxa"/>
            <w:gridSpan w:val="2"/>
            <w:shd w:val="clear" w:color="auto" w:fill="auto"/>
          </w:tcPr>
          <w:p w14:paraId="27D60C08" w14:textId="77777777" w:rsidR="00C82BC4" w:rsidRPr="00E8754D" w:rsidRDefault="00C82BC4" w:rsidP="00276542">
            <w:pPr>
              <w:spacing w:after="60"/>
              <w:rPr>
                <w:b/>
                <w:color w:val="auto"/>
                <w:szCs w:val="28"/>
              </w:rPr>
            </w:pPr>
            <w:r w:rsidRPr="00E8754D">
              <w:rPr>
                <w:b/>
                <w:color w:val="auto"/>
                <w:szCs w:val="28"/>
              </w:rPr>
              <w:t xml:space="preserve">203: Indirect economic impacts </w:t>
            </w:r>
          </w:p>
          <w:p w14:paraId="5998649F" w14:textId="77777777" w:rsidR="00C82BC4" w:rsidRPr="00E8754D" w:rsidRDefault="00C82BC4" w:rsidP="00276542">
            <w:pPr>
              <w:spacing w:after="60"/>
              <w:rPr>
                <w:color w:val="auto"/>
                <w:szCs w:val="28"/>
              </w:rPr>
            </w:pPr>
            <w:r w:rsidRPr="00E8754D">
              <w:rPr>
                <w:color w:val="auto"/>
                <w:szCs w:val="28"/>
              </w:rPr>
              <w:t>203-1: Infrastructure investments and services supported</w:t>
            </w:r>
          </w:p>
          <w:p w14:paraId="4659202C" w14:textId="77777777" w:rsidR="00C82BC4" w:rsidRPr="00E8754D" w:rsidRDefault="00C82BC4" w:rsidP="00276542">
            <w:pPr>
              <w:spacing w:after="60"/>
              <w:rPr>
                <w:color w:val="auto"/>
                <w:szCs w:val="28"/>
              </w:rPr>
            </w:pPr>
            <w:r w:rsidRPr="00E8754D">
              <w:rPr>
                <w:color w:val="auto"/>
                <w:szCs w:val="28"/>
              </w:rPr>
              <w:t>203-2: Significant indirect economic impacts</w:t>
            </w:r>
          </w:p>
          <w:p w14:paraId="64340DDA" w14:textId="77777777" w:rsidR="00C82BC4" w:rsidRPr="00E8754D" w:rsidRDefault="00C82BC4" w:rsidP="00276542">
            <w:pPr>
              <w:spacing w:after="60"/>
              <w:rPr>
                <w:b/>
                <w:szCs w:val="28"/>
              </w:rPr>
            </w:pPr>
            <w:r w:rsidRPr="00E8754D">
              <w:rPr>
                <w:b/>
                <w:szCs w:val="28"/>
              </w:rPr>
              <w:t>415-1: Political contributions</w:t>
            </w:r>
          </w:p>
        </w:tc>
        <w:tc>
          <w:tcPr>
            <w:tcW w:w="2142" w:type="dxa"/>
            <w:gridSpan w:val="2"/>
            <w:shd w:val="clear" w:color="auto" w:fill="auto"/>
          </w:tcPr>
          <w:p w14:paraId="3C04442E" w14:textId="77777777" w:rsidR="00C82BC4" w:rsidRPr="00E8754D" w:rsidRDefault="00C82BC4" w:rsidP="00276542">
            <w:pPr>
              <w:spacing w:after="60"/>
              <w:ind w:left="54"/>
              <w:rPr>
                <w:szCs w:val="28"/>
              </w:rPr>
            </w:pPr>
          </w:p>
        </w:tc>
      </w:tr>
      <w:tr w:rsidR="00C82BC4" w:rsidRPr="00E8754D" w14:paraId="36314D6D" w14:textId="77777777" w:rsidTr="00276542">
        <w:tc>
          <w:tcPr>
            <w:tcW w:w="1237" w:type="dxa"/>
            <w:gridSpan w:val="2"/>
            <w:vMerge/>
            <w:shd w:val="clear" w:color="auto" w:fill="auto"/>
          </w:tcPr>
          <w:p w14:paraId="5F3AD1F9" w14:textId="77777777" w:rsidR="00C82BC4" w:rsidRPr="00E8754D" w:rsidRDefault="00C82BC4" w:rsidP="00276542">
            <w:pPr>
              <w:spacing w:after="60"/>
              <w:ind w:left="54"/>
              <w:rPr>
                <w:szCs w:val="28"/>
              </w:rPr>
            </w:pPr>
          </w:p>
        </w:tc>
        <w:tc>
          <w:tcPr>
            <w:tcW w:w="1703" w:type="dxa"/>
            <w:shd w:val="clear" w:color="auto" w:fill="D5D0B4" w:themeFill="background2" w:themeFillShade="D9"/>
          </w:tcPr>
          <w:p w14:paraId="6E962A66" w14:textId="77777777" w:rsidR="00C82BC4" w:rsidRPr="00E8754D" w:rsidRDefault="00C82BC4" w:rsidP="00276542">
            <w:pPr>
              <w:spacing w:after="60"/>
              <w:rPr>
                <w:szCs w:val="28"/>
              </w:rPr>
            </w:pPr>
            <w:r w:rsidRPr="00E8754D">
              <w:rPr>
                <w:b/>
                <w:szCs w:val="28"/>
              </w:rPr>
              <w:t>Environmental</w:t>
            </w:r>
          </w:p>
        </w:tc>
        <w:tc>
          <w:tcPr>
            <w:tcW w:w="1658" w:type="dxa"/>
            <w:gridSpan w:val="3"/>
            <w:shd w:val="clear" w:color="auto" w:fill="D5D0B4" w:themeFill="background2" w:themeFillShade="D9"/>
          </w:tcPr>
          <w:p w14:paraId="11E58F4E" w14:textId="77777777" w:rsidR="00C82BC4" w:rsidRPr="00E8754D" w:rsidRDefault="00C82BC4" w:rsidP="00276542">
            <w:pPr>
              <w:spacing w:after="60"/>
              <w:ind w:left="34"/>
              <w:rPr>
                <w:szCs w:val="28"/>
              </w:rPr>
            </w:pPr>
          </w:p>
        </w:tc>
        <w:tc>
          <w:tcPr>
            <w:tcW w:w="1965" w:type="dxa"/>
            <w:gridSpan w:val="2"/>
            <w:shd w:val="clear" w:color="auto" w:fill="D5D0B4" w:themeFill="background2" w:themeFillShade="D9"/>
          </w:tcPr>
          <w:p w14:paraId="2EB76DBE" w14:textId="77777777" w:rsidR="00C82BC4" w:rsidRPr="00E8754D" w:rsidRDefault="00C82BC4" w:rsidP="00276542">
            <w:pPr>
              <w:spacing w:after="60"/>
              <w:ind w:left="34"/>
              <w:rPr>
                <w:szCs w:val="28"/>
              </w:rPr>
            </w:pPr>
          </w:p>
        </w:tc>
        <w:tc>
          <w:tcPr>
            <w:tcW w:w="1364" w:type="dxa"/>
            <w:shd w:val="clear" w:color="auto" w:fill="D5D0B4" w:themeFill="background2" w:themeFillShade="D9"/>
          </w:tcPr>
          <w:p w14:paraId="4DF9D3A9" w14:textId="77777777" w:rsidR="00C82BC4" w:rsidRPr="00E8754D" w:rsidRDefault="00C82BC4" w:rsidP="00276542">
            <w:pPr>
              <w:spacing w:after="60"/>
              <w:ind w:left="34"/>
              <w:rPr>
                <w:szCs w:val="28"/>
              </w:rPr>
            </w:pPr>
          </w:p>
        </w:tc>
        <w:tc>
          <w:tcPr>
            <w:tcW w:w="1835" w:type="dxa"/>
            <w:gridSpan w:val="2"/>
            <w:shd w:val="clear" w:color="auto" w:fill="D5D0B4" w:themeFill="background2" w:themeFillShade="D9"/>
          </w:tcPr>
          <w:p w14:paraId="0439D8BC" w14:textId="77777777" w:rsidR="00C82BC4" w:rsidRPr="00E8754D" w:rsidRDefault="00C82BC4" w:rsidP="00276542">
            <w:pPr>
              <w:spacing w:after="60"/>
              <w:ind w:left="34"/>
              <w:rPr>
                <w:szCs w:val="28"/>
              </w:rPr>
            </w:pPr>
          </w:p>
        </w:tc>
        <w:tc>
          <w:tcPr>
            <w:tcW w:w="2142" w:type="dxa"/>
            <w:gridSpan w:val="2"/>
            <w:shd w:val="clear" w:color="auto" w:fill="D5D0B4" w:themeFill="background2" w:themeFillShade="D9"/>
          </w:tcPr>
          <w:p w14:paraId="3A3C4BB6" w14:textId="77777777" w:rsidR="00C82BC4" w:rsidRPr="00E8754D" w:rsidRDefault="00C82BC4" w:rsidP="00276542">
            <w:pPr>
              <w:spacing w:after="60"/>
              <w:rPr>
                <w:szCs w:val="28"/>
              </w:rPr>
            </w:pPr>
          </w:p>
        </w:tc>
      </w:tr>
      <w:tr w:rsidR="00C82BC4" w:rsidRPr="00E8754D" w14:paraId="7F0A0AC0" w14:textId="77777777" w:rsidTr="00276542">
        <w:trPr>
          <w:cnfStyle w:val="000000010000" w:firstRow="0" w:lastRow="0" w:firstColumn="0" w:lastColumn="0" w:oddVBand="0" w:evenVBand="0" w:oddHBand="0" w:evenHBand="1" w:firstRowFirstColumn="0" w:firstRowLastColumn="0" w:lastRowFirstColumn="0" w:lastRowLastColumn="0"/>
        </w:trPr>
        <w:tc>
          <w:tcPr>
            <w:tcW w:w="1237" w:type="dxa"/>
            <w:gridSpan w:val="2"/>
            <w:vMerge/>
            <w:shd w:val="clear" w:color="auto" w:fill="auto"/>
          </w:tcPr>
          <w:p w14:paraId="1C740CF1" w14:textId="77777777" w:rsidR="00C82BC4" w:rsidRPr="00E8754D" w:rsidRDefault="00C82BC4" w:rsidP="00276542">
            <w:pPr>
              <w:spacing w:after="60"/>
              <w:ind w:left="54"/>
              <w:rPr>
                <w:szCs w:val="28"/>
              </w:rPr>
            </w:pPr>
          </w:p>
        </w:tc>
        <w:tc>
          <w:tcPr>
            <w:tcW w:w="1703" w:type="dxa"/>
            <w:shd w:val="clear" w:color="auto" w:fill="auto"/>
          </w:tcPr>
          <w:p w14:paraId="2B2131D3" w14:textId="77777777" w:rsidR="00C82BC4" w:rsidRPr="00E8754D" w:rsidRDefault="00C82BC4" w:rsidP="00C82BC4">
            <w:pPr>
              <w:numPr>
                <w:ilvl w:val="0"/>
                <w:numId w:val="7"/>
              </w:numPr>
              <w:spacing w:after="60"/>
              <w:rPr>
                <w:szCs w:val="28"/>
              </w:rPr>
            </w:pPr>
            <w:r w:rsidRPr="00E8754D">
              <w:rPr>
                <w:szCs w:val="28"/>
              </w:rPr>
              <w:t>Energy consumption and energy efficiency</w:t>
            </w:r>
          </w:p>
          <w:p w14:paraId="33812EF0" w14:textId="77777777" w:rsidR="00C82BC4" w:rsidRPr="00E8754D" w:rsidRDefault="00C82BC4" w:rsidP="00276542">
            <w:pPr>
              <w:spacing w:after="60"/>
              <w:ind w:left="54"/>
              <w:rPr>
                <w:szCs w:val="28"/>
              </w:rPr>
            </w:pPr>
          </w:p>
        </w:tc>
        <w:tc>
          <w:tcPr>
            <w:tcW w:w="1658" w:type="dxa"/>
            <w:gridSpan w:val="3"/>
          </w:tcPr>
          <w:p w14:paraId="7DF28B5E" w14:textId="77777777" w:rsidR="00C82BC4" w:rsidRPr="00E8754D" w:rsidRDefault="00C82BC4" w:rsidP="00276542">
            <w:pPr>
              <w:spacing w:after="60"/>
              <w:rPr>
                <w:b/>
                <w:szCs w:val="28"/>
              </w:rPr>
            </w:pPr>
            <w:r w:rsidRPr="00E8754D">
              <w:rPr>
                <w:b/>
                <w:szCs w:val="28"/>
              </w:rPr>
              <w:t>B.5 Energy consumption</w:t>
            </w:r>
          </w:p>
          <w:p w14:paraId="5CD9A1B6" w14:textId="77777777" w:rsidR="00C82BC4" w:rsidRPr="00E8754D" w:rsidRDefault="00C82BC4" w:rsidP="00276542">
            <w:pPr>
              <w:spacing w:after="60"/>
              <w:rPr>
                <w:szCs w:val="28"/>
              </w:rPr>
            </w:pPr>
            <w:r w:rsidRPr="00E8754D">
              <w:rPr>
                <w:szCs w:val="28"/>
              </w:rPr>
              <w:t>B.5.1. Renewable energy</w:t>
            </w:r>
          </w:p>
          <w:p w14:paraId="241DBA08" w14:textId="77777777" w:rsidR="00C82BC4" w:rsidRPr="00E8754D" w:rsidRDefault="00C82BC4" w:rsidP="00276542">
            <w:pPr>
              <w:spacing w:after="60"/>
              <w:ind w:left="34"/>
              <w:rPr>
                <w:szCs w:val="28"/>
              </w:rPr>
            </w:pPr>
            <w:r w:rsidRPr="00E8754D">
              <w:rPr>
                <w:szCs w:val="28"/>
              </w:rPr>
              <w:t>B.5.2. Energy efficiency</w:t>
            </w:r>
          </w:p>
          <w:p w14:paraId="23768280" w14:textId="77777777" w:rsidR="00C82BC4" w:rsidRPr="00E8754D" w:rsidRDefault="00C82BC4" w:rsidP="00276542">
            <w:pPr>
              <w:spacing w:after="60"/>
              <w:rPr>
                <w:b/>
                <w:szCs w:val="28"/>
              </w:rPr>
            </w:pPr>
          </w:p>
        </w:tc>
        <w:tc>
          <w:tcPr>
            <w:tcW w:w="1965" w:type="dxa"/>
            <w:gridSpan w:val="2"/>
          </w:tcPr>
          <w:p w14:paraId="147927D1" w14:textId="77777777" w:rsidR="00C82BC4" w:rsidRPr="00E8754D" w:rsidRDefault="00C82BC4" w:rsidP="00276542">
            <w:pPr>
              <w:spacing w:after="60"/>
              <w:rPr>
                <w:b/>
                <w:szCs w:val="28"/>
              </w:rPr>
            </w:pPr>
            <w:r w:rsidRPr="00E8754D">
              <w:rPr>
                <w:szCs w:val="28"/>
              </w:rPr>
              <w:t>Principle 9: encourage the development and diffusion of environmentally friendly technologies.</w:t>
            </w:r>
          </w:p>
        </w:tc>
        <w:tc>
          <w:tcPr>
            <w:tcW w:w="1364" w:type="dxa"/>
          </w:tcPr>
          <w:p w14:paraId="06F94310" w14:textId="77777777" w:rsidR="00C82BC4" w:rsidRPr="00E8754D" w:rsidRDefault="00C82BC4" w:rsidP="00276542">
            <w:pPr>
              <w:spacing w:after="60"/>
              <w:rPr>
                <w:b/>
                <w:szCs w:val="28"/>
              </w:rPr>
            </w:pPr>
          </w:p>
        </w:tc>
        <w:tc>
          <w:tcPr>
            <w:tcW w:w="1835" w:type="dxa"/>
            <w:gridSpan w:val="2"/>
            <w:shd w:val="clear" w:color="auto" w:fill="auto"/>
          </w:tcPr>
          <w:p w14:paraId="238E70E4" w14:textId="77777777" w:rsidR="00C82BC4" w:rsidRPr="00E8754D" w:rsidRDefault="00C82BC4" w:rsidP="00276542">
            <w:pPr>
              <w:spacing w:after="60"/>
              <w:rPr>
                <w:b/>
                <w:szCs w:val="28"/>
              </w:rPr>
            </w:pPr>
            <w:r w:rsidRPr="00E8754D">
              <w:rPr>
                <w:b/>
                <w:szCs w:val="28"/>
              </w:rPr>
              <w:t>302: Energy</w:t>
            </w:r>
          </w:p>
          <w:p w14:paraId="2A8D9786" w14:textId="77777777" w:rsidR="00C82BC4" w:rsidRPr="00E8754D" w:rsidRDefault="00C82BC4" w:rsidP="00276542">
            <w:pPr>
              <w:spacing w:after="60"/>
              <w:rPr>
                <w:szCs w:val="28"/>
              </w:rPr>
            </w:pPr>
            <w:r w:rsidRPr="00E8754D">
              <w:rPr>
                <w:szCs w:val="28"/>
              </w:rPr>
              <w:t>302-1: Energy consumption within the organisation</w:t>
            </w:r>
          </w:p>
          <w:p w14:paraId="14FAA81B" w14:textId="77777777" w:rsidR="00C82BC4" w:rsidRPr="00E8754D" w:rsidRDefault="00C82BC4" w:rsidP="00276542">
            <w:pPr>
              <w:spacing w:after="60"/>
              <w:rPr>
                <w:szCs w:val="28"/>
              </w:rPr>
            </w:pPr>
            <w:r w:rsidRPr="00E8754D">
              <w:rPr>
                <w:szCs w:val="28"/>
              </w:rPr>
              <w:t>302-2: Energy consumption outside the organisation</w:t>
            </w:r>
          </w:p>
          <w:p w14:paraId="6F0FBEAA" w14:textId="77777777" w:rsidR="00C82BC4" w:rsidRPr="00E8754D" w:rsidRDefault="00C82BC4" w:rsidP="00276542">
            <w:pPr>
              <w:spacing w:after="60"/>
              <w:rPr>
                <w:szCs w:val="28"/>
              </w:rPr>
            </w:pPr>
            <w:r w:rsidRPr="00E8754D">
              <w:rPr>
                <w:szCs w:val="28"/>
              </w:rPr>
              <w:t>302-3: Energy intensity</w:t>
            </w:r>
          </w:p>
          <w:p w14:paraId="4A127C10" w14:textId="77777777" w:rsidR="00C82BC4" w:rsidRPr="00E8754D" w:rsidRDefault="00C82BC4" w:rsidP="00276542">
            <w:pPr>
              <w:spacing w:after="60"/>
              <w:rPr>
                <w:szCs w:val="28"/>
              </w:rPr>
            </w:pPr>
            <w:r w:rsidRPr="00E8754D">
              <w:rPr>
                <w:szCs w:val="28"/>
              </w:rPr>
              <w:t>302-4: Reduction of energy consumption</w:t>
            </w:r>
          </w:p>
          <w:p w14:paraId="422E58D7" w14:textId="77777777" w:rsidR="00C82BC4" w:rsidRPr="00E8754D" w:rsidRDefault="00C82BC4" w:rsidP="00276542">
            <w:pPr>
              <w:spacing w:after="60"/>
              <w:ind w:left="34"/>
              <w:rPr>
                <w:szCs w:val="28"/>
              </w:rPr>
            </w:pPr>
            <w:r w:rsidRPr="00E8754D">
              <w:rPr>
                <w:szCs w:val="28"/>
              </w:rPr>
              <w:lastRenderedPageBreak/>
              <w:t>302-5: Reductions in energy requirements of products and services</w:t>
            </w:r>
          </w:p>
        </w:tc>
        <w:tc>
          <w:tcPr>
            <w:tcW w:w="2142" w:type="dxa"/>
            <w:gridSpan w:val="2"/>
          </w:tcPr>
          <w:p w14:paraId="07130095" w14:textId="77777777" w:rsidR="00C82BC4" w:rsidRPr="00E8754D" w:rsidRDefault="00C82BC4" w:rsidP="00276542">
            <w:pPr>
              <w:spacing w:after="60"/>
              <w:ind w:left="54"/>
              <w:rPr>
                <w:szCs w:val="28"/>
              </w:rPr>
            </w:pPr>
            <w:r w:rsidRPr="00E8754D">
              <w:rPr>
                <w:szCs w:val="28"/>
              </w:rPr>
              <w:lastRenderedPageBreak/>
              <w:t>Energy management</w:t>
            </w:r>
          </w:p>
        </w:tc>
      </w:tr>
      <w:tr w:rsidR="00C82BC4" w:rsidRPr="00E8754D" w14:paraId="6601ECA2" w14:textId="77777777" w:rsidTr="00276542">
        <w:tc>
          <w:tcPr>
            <w:tcW w:w="1237" w:type="dxa"/>
            <w:gridSpan w:val="2"/>
            <w:vMerge/>
            <w:shd w:val="clear" w:color="auto" w:fill="auto"/>
          </w:tcPr>
          <w:p w14:paraId="3F4B518D" w14:textId="77777777" w:rsidR="00C82BC4" w:rsidRPr="00E8754D" w:rsidRDefault="00C82BC4" w:rsidP="00276542">
            <w:pPr>
              <w:spacing w:after="60"/>
              <w:rPr>
                <w:b/>
                <w:szCs w:val="28"/>
              </w:rPr>
            </w:pPr>
          </w:p>
        </w:tc>
        <w:tc>
          <w:tcPr>
            <w:tcW w:w="1703" w:type="dxa"/>
            <w:shd w:val="clear" w:color="auto" w:fill="auto"/>
          </w:tcPr>
          <w:p w14:paraId="478453FB" w14:textId="77777777" w:rsidR="00C82BC4" w:rsidRPr="00E8754D" w:rsidRDefault="00C82BC4" w:rsidP="00C82BC4">
            <w:pPr>
              <w:numPr>
                <w:ilvl w:val="0"/>
                <w:numId w:val="7"/>
              </w:numPr>
              <w:spacing w:after="60"/>
              <w:rPr>
                <w:color w:val="000000"/>
                <w:szCs w:val="28"/>
              </w:rPr>
            </w:pPr>
            <w:r w:rsidRPr="00E8754D">
              <w:rPr>
                <w:color w:val="000000"/>
                <w:szCs w:val="28"/>
              </w:rPr>
              <w:t>Water consumption and water efficiency</w:t>
            </w:r>
          </w:p>
        </w:tc>
        <w:tc>
          <w:tcPr>
            <w:tcW w:w="1658" w:type="dxa"/>
            <w:gridSpan w:val="3"/>
          </w:tcPr>
          <w:p w14:paraId="3A96A225" w14:textId="77777777" w:rsidR="00C82BC4" w:rsidRPr="00E8754D" w:rsidRDefault="00C82BC4" w:rsidP="00276542">
            <w:pPr>
              <w:spacing w:after="60"/>
              <w:rPr>
                <w:b/>
                <w:szCs w:val="28"/>
              </w:rPr>
            </w:pPr>
            <w:r w:rsidRPr="00E8754D">
              <w:rPr>
                <w:b/>
                <w:szCs w:val="28"/>
              </w:rPr>
              <w:t>B.1 Sustainable use of water</w:t>
            </w:r>
          </w:p>
          <w:p w14:paraId="3FD736BD" w14:textId="77777777" w:rsidR="00C82BC4" w:rsidRPr="00E8754D" w:rsidRDefault="00C82BC4" w:rsidP="00276542">
            <w:pPr>
              <w:spacing w:after="60"/>
              <w:rPr>
                <w:szCs w:val="28"/>
              </w:rPr>
            </w:pPr>
            <w:r w:rsidRPr="00E8754D">
              <w:rPr>
                <w:szCs w:val="28"/>
              </w:rPr>
              <w:t xml:space="preserve">B.1.2. Water use efficiency </w:t>
            </w:r>
          </w:p>
          <w:p w14:paraId="3E5BCD92" w14:textId="77777777" w:rsidR="00C82BC4" w:rsidRPr="00E8754D" w:rsidRDefault="00C82BC4" w:rsidP="00276542">
            <w:pPr>
              <w:spacing w:after="60"/>
              <w:rPr>
                <w:b/>
                <w:szCs w:val="28"/>
              </w:rPr>
            </w:pPr>
          </w:p>
        </w:tc>
        <w:tc>
          <w:tcPr>
            <w:tcW w:w="1965" w:type="dxa"/>
            <w:gridSpan w:val="2"/>
          </w:tcPr>
          <w:p w14:paraId="62EA3CDE" w14:textId="77777777" w:rsidR="00C82BC4" w:rsidRPr="00E8754D" w:rsidRDefault="00C82BC4" w:rsidP="00276542">
            <w:pPr>
              <w:spacing w:after="60"/>
              <w:rPr>
                <w:b/>
                <w:szCs w:val="28"/>
              </w:rPr>
            </w:pPr>
          </w:p>
        </w:tc>
        <w:tc>
          <w:tcPr>
            <w:tcW w:w="1364" w:type="dxa"/>
          </w:tcPr>
          <w:p w14:paraId="4F2E00E4" w14:textId="77777777" w:rsidR="00C82BC4" w:rsidRPr="00E8754D" w:rsidRDefault="00C82BC4" w:rsidP="00276542">
            <w:pPr>
              <w:spacing w:after="60"/>
              <w:rPr>
                <w:b/>
                <w:szCs w:val="28"/>
              </w:rPr>
            </w:pPr>
          </w:p>
        </w:tc>
        <w:tc>
          <w:tcPr>
            <w:tcW w:w="1835" w:type="dxa"/>
            <w:gridSpan w:val="2"/>
            <w:shd w:val="clear" w:color="auto" w:fill="auto"/>
          </w:tcPr>
          <w:p w14:paraId="32E5086A" w14:textId="77777777" w:rsidR="00C82BC4" w:rsidRPr="00E8754D" w:rsidRDefault="00C82BC4" w:rsidP="00276542">
            <w:pPr>
              <w:spacing w:after="60"/>
              <w:rPr>
                <w:b/>
                <w:szCs w:val="28"/>
              </w:rPr>
            </w:pPr>
            <w:r w:rsidRPr="00E8754D">
              <w:rPr>
                <w:b/>
                <w:szCs w:val="28"/>
              </w:rPr>
              <w:t>303: Water</w:t>
            </w:r>
          </w:p>
          <w:p w14:paraId="17809F54" w14:textId="77777777" w:rsidR="00C82BC4" w:rsidRPr="00E8754D" w:rsidRDefault="00C82BC4" w:rsidP="00276542">
            <w:pPr>
              <w:spacing w:after="60"/>
              <w:rPr>
                <w:szCs w:val="28"/>
              </w:rPr>
            </w:pPr>
            <w:r w:rsidRPr="00E8754D">
              <w:rPr>
                <w:szCs w:val="28"/>
              </w:rPr>
              <w:t>303-1: Water withdrawal by source</w:t>
            </w:r>
          </w:p>
          <w:p w14:paraId="3C6D24AB" w14:textId="77777777" w:rsidR="00C82BC4" w:rsidRPr="00E8754D" w:rsidRDefault="00C82BC4" w:rsidP="00276542">
            <w:pPr>
              <w:spacing w:after="60"/>
              <w:ind w:left="34"/>
              <w:rPr>
                <w:b/>
                <w:szCs w:val="28"/>
              </w:rPr>
            </w:pPr>
          </w:p>
        </w:tc>
        <w:tc>
          <w:tcPr>
            <w:tcW w:w="2142" w:type="dxa"/>
            <w:gridSpan w:val="2"/>
          </w:tcPr>
          <w:p w14:paraId="42249514" w14:textId="77777777" w:rsidR="00C82BC4" w:rsidRPr="00E8754D" w:rsidRDefault="00C82BC4" w:rsidP="00276542">
            <w:pPr>
              <w:spacing w:after="0"/>
              <w:rPr>
                <w:szCs w:val="28"/>
              </w:rPr>
            </w:pPr>
            <w:r w:rsidRPr="00E8754D">
              <w:rPr>
                <w:szCs w:val="28"/>
              </w:rPr>
              <w:t xml:space="preserve">Water and Wastewater </w:t>
            </w:r>
            <w:r w:rsidRPr="00E8754D">
              <w:rPr>
                <w:rFonts w:ascii="MS Gothic" w:eastAsia="MS Gothic" w:hAnsi="MS Gothic" w:cs="MS Gothic"/>
                <w:szCs w:val="28"/>
              </w:rPr>
              <w:t> </w:t>
            </w:r>
            <w:r w:rsidRPr="00E8754D">
              <w:rPr>
                <w:szCs w:val="28"/>
              </w:rPr>
              <w:t xml:space="preserve">Management </w:t>
            </w:r>
            <w:r w:rsidRPr="00E8754D">
              <w:rPr>
                <w:rFonts w:ascii="MS Gothic" w:eastAsia="MS Gothic" w:hAnsi="MS Gothic" w:cs="MS Gothic"/>
                <w:szCs w:val="28"/>
              </w:rPr>
              <w:t> </w:t>
            </w:r>
          </w:p>
          <w:p w14:paraId="1077FBC2" w14:textId="77777777" w:rsidR="00C82BC4" w:rsidRPr="00E8754D" w:rsidRDefault="00C82BC4" w:rsidP="00276542">
            <w:pPr>
              <w:spacing w:after="60"/>
              <w:rPr>
                <w:b/>
                <w:szCs w:val="28"/>
              </w:rPr>
            </w:pPr>
          </w:p>
        </w:tc>
      </w:tr>
      <w:tr w:rsidR="00C82BC4" w:rsidRPr="00E8754D" w14:paraId="7D71744D" w14:textId="77777777" w:rsidTr="00276542">
        <w:trPr>
          <w:cnfStyle w:val="000000010000" w:firstRow="0" w:lastRow="0" w:firstColumn="0" w:lastColumn="0" w:oddVBand="0" w:evenVBand="0" w:oddHBand="0" w:evenHBand="1" w:firstRowFirstColumn="0" w:firstRowLastColumn="0" w:lastRowFirstColumn="0" w:lastRowLastColumn="0"/>
        </w:trPr>
        <w:tc>
          <w:tcPr>
            <w:tcW w:w="1237" w:type="dxa"/>
            <w:gridSpan w:val="2"/>
            <w:vMerge/>
            <w:shd w:val="clear" w:color="auto" w:fill="auto"/>
          </w:tcPr>
          <w:p w14:paraId="72DFF4AA" w14:textId="77777777" w:rsidR="00C82BC4" w:rsidRPr="00E8754D" w:rsidRDefault="00C82BC4" w:rsidP="00276542">
            <w:pPr>
              <w:spacing w:after="60"/>
              <w:ind w:left="54"/>
              <w:rPr>
                <w:szCs w:val="28"/>
              </w:rPr>
            </w:pPr>
          </w:p>
        </w:tc>
        <w:tc>
          <w:tcPr>
            <w:tcW w:w="1703" w:type="dxa"/>
            <w:shd w:val="clear" w:color="auto" w:fill="auto"/>
          </w:tcPr>
          <w:p w14:paraId="14BA1A97" w14:textId="77777777" w:rsidR="00C82BC4" w:rsidRPr="00E8754D" w:rsidRDefault="00C82BC4" w:rsidP="00C82BC4">
            <w:pPr>
              <w:numPr>
                <w:ilvl w:val="0"/>
                <w:numId w:val="7"/>
              </w:numPr>
              <w:spacing w:after="60"/>
              <w:rPr>
                <w:szCs w:val="28"/>
              </w:rPr>
            </w:pPr>
            <w:r w:rsidRPr="00E8754D">
              <w:rPr>
                <w:szCs w:val="28"/>
              </w:rPr>
              <w:t>Wastewater generation</w:t>
            </w:r>
          </w:p>
        </w:tc>
        <w:tc>
          <w:tcPr>
            <w:tcW w:w="1658" w:type="dxa"/>
            <w:gridSpan w:val="3"/>
          </w:tcPr>
          <w:p w14:paraId="429ADE02" w14:textId="77777777" w:rsidR="00C82BC4" w:rsidRPr="00E8754D" w:rsidRDefault="00C82BC4" w:rsidP="00276542">
            <w:pPr>
              <w:spacing w:after="60"/>
              <w:rPr>
                <w:b/>
                <w:szCs w:val="28"/>
              </w:rPr>
            </w:pPr>
          </w:p>
        </w:tc>
        <w:tc>
          <w:tcPr>
            <w:tcW w:w="1965" w:type="dxa"/>
            <w:gridSpan w:val="2"/>
          </w:tcPr>
          <w:p w14:paraId="4A43D3AF" w14:textId="77777777" w:rsidR="00C82BC4" w:rsidRPr="00E8754D" w:rsidRDefault="00C82BC4" w:rsidP="00276542">
            <w:pPr>
              <w:spacing w:after="60"/>
              <w:rPr>
                <w:b/>
                <w:szCs w:val="28"/>
              </w:rPr>
            </w:pPr>
          </w:p>
        </w:tc>
        <w:tc>
          <w:tcPr>
            <w:tcW w:w="1364" w:type="dxa"/>
          </w:tcPr>
          <w:p w14:paraId="271CBC10" w14:textId="77777777" w:rsidR="00C82BC4" w:rsidRPr="00E8754D" w:rsidRDefault="00C82BC4" w:rsidP="00276542">
            <w:pPr>
              <w:spacing w:after="60"/>
              <w:rPr>
                <w:b/>
                <w:szCs w:val="28"/>
              </w:rPr>
            </w:pPr>
          </w:p>
        </w:tc>
        <w:tc>
          <w:tcPr>
            <w:tcW w:w="1835" w:type="dxa"/>
            <w:gridSpan w:val="2"/>
            <w:shd w:val="clear" w:color="auto" w:fill="auto"/>
          </w:tcPr>
          <w:p w14:paraId="14678356" w14:textId="77777777" w:rsidR="00C82BC4" w:rsidRPr="00E8754D" w:rsidRDefault="00C82BC4" w:rsidP="00276542">
            <w:pPr>
              <w:spacing w:after="60"/>
              <w:rPr>
                <w:b/>
                <w:szCs w:val="28"/>
              </w:rPr>
            </w:pPr>
            <w:r w:rsidRPr="00E8754D">
              <w:rPr>
                <w:b/>
                <w:szCs w:val="28"/>
              </w:rPr>
              <w:t>306: Effluents and waste</w:t>
            </w:r>
          </w:p>
          <w:p w14:paraId="622645B1" w14:textId="77777777" w:rsidR="00C82BC4" w:rsidRPr="00E8754D" w:rsidRDefault="00C82BC4" w:rsidP="00276542">
            <w:pPr>
              <w:spacing w:after="60"/>
              <w:rPr>
                <w:szCs w:val="28"/>
              </w:rPr>
            </w:pPr>
            <w:r w:rsidRPr="00E8754D">
              <w:rPr>
                <w:szCs w:val="28"/>
              </w:rPr>
              <w:t>306-1: Water discharge by quality and destination</w:t>
            </w:r>
          </w:p>
          <w:p w14:paraId="714C9421" w14:textId="77777777" w:rsidR="00C82BC4" w:rsidRPr="00E8754D" w:rsidRDefault="00C82BC4" w:rsidP="00276542">
            <w:pPr>
              <w:spacing w:after="60"/>
              <w:rPr>
                <w:szCs w:val="28"/>
              </w:rPr>
            </w:pPr>
            <w:r w:rsidRPr="00E8754D">
              <w:rPr>
                <w:szCs w:val="28"/>
              </w:rPr>
              <w:t>306-3: Significant spills</w:t>
            </w:r>
          </w:p>
          <w:p w14:paraId="21DBA75B" w14:textId="77777777" w:rsidR="00C82BC4" w:rsidRPr="00E8754D" w:rsidRDefault="00C82BC4" w:rsidP="00276542">
            <w:pPr>
              <w:spacing w:after="60"/>
              <w:ind w:left="34"/>
              <w:rPr>
                <w:b/>
                <w:szCs w:val="28"/>
              </w:rPr>
            </w:pPr>
            <w:r w:rsidRPr="00E8754D">
              <w:rPr>
                <w:szCs w:val="28"/>
              </w:rPr>
              <w:t>306-5: Water bodies affected by water discharges and/or runoff</w:t>
            </w:r>
          </w:p>
        </w:tc>
        <w:tc>
          <w:tcPr>
            <w:tcW w:w="2142" w:type="dxa"/>
            <w:gridSpan w:val="2"/>
          </w:tcPr>
          <w:p w14:paraId="02B02128" w14:textId="77777777" w:rsidR="00C82BC4" w:rsidRPr="00E8754D" w:rsidRDefault="00C82BC4" w:rsidP="00276542">
            <w:pPr>
              <w:spacing w:after="60"/>
              <w:rPr>
                <w:szCs w:val="28"/>
              </w:rPr>
            </w:pPr>
            <w:r w:rsidRPr="00E8754D">
              <w:rPr>
                <w:szCs w:val="28"/>
              </w:rPr>
              <w:t xml:space="preserve">Water and Wastewater Management </w:t>
            </w:r>
            <w:r w:rsidRPr="00E8754D">
              <w:rPr>
                <w:rFonts w:ascii="MS Gothic" w:eastAsia="MS Gothic" w:hAnsi="MS Gothic" w:cs="MS Gothic"/>
                <w:szCs w:val="28"/>
              </w:rPr>
              <w:t> </w:t>
            </w:r>
          </w:p>
          <w:p w14:paraId="39F4BFDE" w14:textId="77777777" w:rsidR="00C82BC4" w:rsidRPr="00E8754D" w:rsidRDefault="00C82BC4" w:rsidP="00276542">
            <w:pPr>
              <w:spacing w:after="60"/>
              <w:ind w:left="54"/>
              <w:rPr>
                <w:szCs w:val="28"/>
              </w:rPr>
            </w:pPr>
          </w:p>
        </w:tc>
      </w:tr>
      <w:tr w:rsidR="00C82BC4" w:rsidRPr="00E8754D" w14:paraId="477B2ACD" w14:textId="77777777" w:rsidTr="00276542">
        <w:tc>
          <w:tcPr>
            <w:tcW w:w="1237" w:type="dxa"/>
            <w:gridSpan w:val="2"/>
            <w:vMerge/>
            <w:shd w:val="clear" w:color="auto" w:fill="auto"/>
          </w:tcPr>
          <w:p w14:paraId="048797DA" w14:textId="77777777" w:rsidR="00C82BC4" w:rsidRPr="00E8754D" w:rsidRDefault="00C82BC4" w:rsidP="00276542">
            <w:pPr>
              <w:spacing w:after="60"/>
              <w:ind w:left="54"/>
              <w:rPr>
                <w:szCs w:val="28"/>
              </w:rPr>
            </w:pPr>
          </w:p>
        </w:tc>
        <w:tc>
          <w:tcPr>
            <w:tcW w:w="1703" w:type="dxa"/>
            <w:shd w:val="clear" w:color="auto" w:fill="auto"/>
          </w:tcPr>
          <w:p w14:paraId="60D92CA2" w14:textId="77777777" w:rsidR="00C82BC4" w:rsidRPr="00E8754D" w:rsidRDefault="00C82BC4" w:rsidP="00C82BC4">
            <w:pPr>
              <w:numPr>
                <w:ilvl w:val="0"/>
                <w:numId w:val="7"/>
              </w:numPr>
              <w:spacing w:after="60"/>
              <w:rPr>
                <w:szCs w:val="28"/>
              </w:rPr>
            </w:pPr>
            <w:r w:rsidRPr="00E8754D">
              <w:rPr>
                <w:szCs w:val="28"/>
              </w:rPr>
              <w:t>Greenhouse gas emissions</w:t>
            </w:r>
          </w:p>
        </w:tc>
        <w:tc>
          <w:tcPr>
            <w:tcW w:w="1658" w:type="dxa"/>
            <w:gridSpan w:val="3"/>
          </w:tcPr>
          <w:p w14:paraId="069223AA" w14:textId="77777777" w:rsidR="00C82BC4" w:rsidRPr="00E8754D" w:rsidRDefault="00C82BC4" w:rsidP="00276542">
            <w:pPr>
              <w:spacing w:after="60"/>
              <w:rPr>
                <w:b/>
                <w:szCs w:val="28"/>
              </w:rPr>
            </w:pPr>
            <w:r w:rsidRPr="00E8754D">
              <w:rPr>
                <w:b/>
                <w:szCs w:val="28"/>
              </w:rPr>
              <w:t xml:space="preserve">B.3 Greenhouse gas emissions </w:t>
            </w:r>
          </w:p>
          <w:p w14:paraId="2F6ED7F2" w14:textId="77777777" w:rsidR="00C82BC4" w:rsidRPr="00E8754D" w:rsidRDefault="00C82BC4" w:rsidP="00276542">
            <w:pPr>
              <w:spacing w:after="60"/>
              <w:rPr>
                <w:szCs w:val="28"/>
              </w:rPr>
            </w:pPr>
            <w:r w:rsidRPr="00E8754D">
              <w:rPr>
                <w:szCs w:val="28"/>
              </w:rPr>
              <w:t>B.3.1. Greenhouse gas emissions (scope 1)</w:t>
            </w:r>
          </w:p>
          <w:p w14:paraId="4A5F38AE" w14:textId="77777777" w:rsidR="00C82BC4" w:rsidRPr="00E8754D" w:rsidRDefault="00C82BC4" w:rsidP="00276542">
            <w:pPr>
              <w:spacing w:after="60"/>
              <w:rPr>
                <w:szCs w:val="28"/>
              </w:rPr>
            </w:pPr>
            <w:r w:rsidRPr="00E8754D">
              <w:rPr>
                <w:szCs w:val="28"/>
              </w:rPr>
              <w:t>B.3.2. Greenhouse gas emissions (scopes 1 and 2)</w:t>
            </w:r>
          </w:p>
          <w:p w14:paraId="420E35EA" w14:textId="77777777" w:rsidR="00C82BC4" w:rsidRPr="00E8754D" w:rsidRDefault="00C82BC4" w:rsidP="00276542">
            <w:pPr>
              <w:spacing w:after="60"/>
              <w:rPr>
                <w:b/>
                <w:szCs w:val="28"/>
              </w:rPr>
            </w:pPr>
          </w:p>
        </w:tc>
        <w:tc>
          <w:tcPr>
            <w:tcW w:w="1965" w:type="dxa"/>
            <w:gridSpan w:val="2"/>
          </w:tcPr>
          <w:p w14:paraId="36372F85" w14:textId="77777777" w:rsidR="00C82BC4" w:rsidRPr="00E8754D" w:rsidRDefault="00C82BC4" w:rsidP="00276542">
            <w:pPr>
              <w:spacing w:after="60"/>
              <w:rPr>
                <w:b/>
                <w:szCs w:val="28"/>
              </w:rPr>
            </w:pPr>
          </w:p>
        </w:tc>
        <w:tc>
          <w:tcPr>
            <w:tcW w:w="1364" w:type="dxa"/>
          </w:tcPr>
          <w:p w14:paraId="7E26CF2A" w14:textId="77777777" w:rsidR="00C82BC4" w:rsidRPr="00E8754D" w:rsidRDefault="00C82BC4" w:rsidP="00276542">
            <w:pPr>
              <w:spacing w:after="60"/>
              <w:rPr>
                <w:b/>
                <w:szCs w:val="28"/>
              </w:rPr>
            </w:pPr>
          </w:p>
        </w:tc>
        <w:tc>
          <w:tcPr>
            <w:tcW w:w="1835" w:type="dxa"/>
            <w:gridSpan w:val="2"/>
            <w:shd w:val="clear" w:color="auto" w:fill="auto"/>
          </w:tcPr>
          <w:p w14:paraId="31E673E5" w14:textId="77777777" w:rsidR="00C82BC4" w:rsidRPr="00E8754D" w:rsidRDefault="00C82BC4" w:rsidP="00276542">
            <w:pPr>
              <w:spacing w:after="60"/>
              <w:rPr>
                <w:b/>
                <w:szCs w:val="28"/>
              </w:rPr>
            </w:pPr>
            <w:r w:rsidRPr="00E8754D">
              <w:rPr>
                <w:b/>
                <w:szCs w:val="28"/>
              </w:rPr>
              <w:t>305: Emissions</w:t>
            </w:r>
          </w:p>
          <w:p w14:paraId="70F8F8EC" w14:textId="77777777" w:rsidR="00C82BC4" w:rsidRPr="00E8754D" w:rsidRDefault="00C82BC4" w:rsidP="00276542">
            <w:pPr>
              <w:spacing w:after="60"/>
              <w:rPr>
                <w:szCs w:val="28"/>
              </w:rPr>
            </w:pPr>
            <w:r w:rsidRPr="00E8754D">
              <w:rPr>
                <w:szCs w:val="28"/>
              </w:rPr>
              <w:t>305-1: Direct (Scope 1) GHG emissions</w:t>
            </w:r>
          </w:p>
          <w:p w14:paraId="1A7262AF" w14:textId="77777777" w:rsidR="00C82BC4" w:rsidRPr="00E8754D" w:rsidRDefault="00C82BC4" w:rsidP="00276542">
            <w:pPr>
              <w:spacing w:after="60"/>
              <w:rPr>
                <w:szCs w:val="28"/>
              </w:rPr>
            </w:pPr>
            <w:r w:rsidRPr="00E8754D">
              <w:rPr>
                <w:szCs w:val="28"/>
              </w:rPr>
              <w:t>305-2: Energy indirect (Scope 2) GHG emissions</w:t>
            </w:r>
          </w:p>
          <w:p w14:paraId="31408B3F" w14:textId="77777777" w:rsidR="00C82BC4" w:rsidRPr="00E8754D" w:rsidRDefault="00C82BC4" w:rsidP="00276542">
            <w:pPr>
              <w:spacing w:after="60"/>
              <w:rPr>
                <w:szCs w:val="28"/>
              </w:rPr>
            </w:pPr>
            <w:r w:rsidRPr="00E8754D">
              <w:rPr>
                <w:szCs w:val="28"/>
              </w:rPr>
              <w:t>305-3: Other indirect (Scope 3) GHG emissions</w:t>
            </w:r>
          </w:p>
          <w:p w14:paraId="142AC828" w14:textId="77777777" w:rsidR="00C82BC4" w:rsidRPr="00E8754D" w:rsidRDefault="00C82BC4" w:rsidP="00276542">
            <w:pPr>
              <w:spacing w:after="60"/>
              <w:rPr>
                <w:szCs w:val="28"/>
              </w:rPr>
            </w:pPr>
            <w:r w:rsidRPr="00E8754D">
              <w:rPr>
                <w:szCs w:val="28"/>
              </w:rPr>
              <w:t>305-4: GHG emissions intensity</w:t>
            </w:r>
          </w:p>
          <w:p w14:paraId="484D58F5" w14:textId="77777777" w:rsidR="00C82BC4" w:rsidRPr="00E8754D" w:rsidRDefault="00C82BC4" w:rsidP="00276542">
            <w:pPr>
              <w:spacing w:after="60"/>
              <w:ind w:left="34"/>
              <w:rPr>
                <w:szCs w:val="28"/>
              </w:rPr>
            </w:pPr>
            <w:r w:rsidRPr="00E8754D">
              <w:rPr>
                <w:szCs w:val="28"/>
              </w:rPr>
              <w:t>305-5: Reduction of GHG emissions</w:t>
            </w:r>
          </w:p>
        </w:tc>
        <w:tc>
          <w:tcPr>
            <w:tcW w:w="2142" w:type="dxa"/>
            <w:gridSpan w:val="2"/>
          </w:tcPr>
          <w:p w14:paraId="5A5A9235" w14:textId="77777777" w:rsidR="00C82BC4" w:rsidRPr="00E8754D" w:rsidRDefault="00C82BC4" w:rsidP="00276542">
            <w:pPr>
              <w:spacing w:after="60"/>
              <w:rPr>
                <w:szCs w:val="28"/>
              </w:rPr>
            </w:pPr>
            <w:r w:rsidRPr="00E8754D">
              <w:rPr>
                <w:szCs w:val="28"/>
              </w:rPr>
              <w:t>Climate impacts/GHG emissions</w:t>
            </w:r>
          </w:p>
          <w:p w14:paraId="5FA7E7F9" w14:textId="77777777" w:rsidR="00C82BC4" w:rsidRPr="00E8754D" w:rsidRDefault="00C82BC4" w:rsidP="00276542">
            <w:pPr>
              <w:spacing w:after="60"/>
              <w:ind w:left="54"/>
              <w:rPr>
                <w:szCs w:val="28"/>
              </w:rPr>
            </w:pPr>
          </w:p>
        </w:tc>
      </w:tr>
      <w:tr w:rsidR="00C82BC4" w:rsidRPr="00E8754D" w14:paraId="3221969C" w14:textId="77777777" w:rsidTr="00276542">
        <w:trPr>
          <w:cnfStyle w:val="000000010000" w:firstRow="0" w:lastRow="0" w:firstColumn="0" w:lastColumn="0" w:oddVBand="0" w:evenVBand="0" w:oddHBand="0" w:evenHBand="1" w:firstRowFirstColumn="0" w:firstRowLastColumn="0" w:lastRowFirstColumn="0" w:lastRowLastColumn="0"/>
        </w:trPr>
        <w:tc>
          <w:tcPr>
            <w:tcW w:w="1237" w:type="dxa"/>
            <w:gridSpan w:val="2"/>
            <w:vMerge/>
            <w:shd w:val="clear" w:color="auto" w:fill="auto"/>
          </w:tcPr>
          <w:p w14:paraId="5B25D12A" w14:textId="77777777" w:rsidR="00C82BC4" w:rsidRPr="00E8754D" w:rsidRDefault="00C82BC4" w:rsidP="00276542">
            <w:pPr>
              <w:spacing w:after="60"/>
              <w:ind w:left="54"/>
              <w:rPr>
                <w:szCs w:val="28"/>
              </w:rPr>
            </w:pPr>
          </w:p>
        </w:tc>
        <w:tc>
          <w:tcPr>
            <w:tcW w:w="1703" w:type="dxa"/>
            <w:shd w:val="clear" w:color="auto" w:fill="auto"/>
          </w:tcPr>
          <w:p w14:paraId="54D6182A" w14:textId="77777777" w:rsidR="00C82BC4" w:rsidRPr="00E8754D" w:rsidRDefault="00C82BC4" w:rsidP="00C82BC4">
            <w:pPr>
              <w:numPr>
                <w:ilvl w:val="0"/>
                <w:numId w:val="7"/>
              </w:numPr>
              <w:spacing w:after="60"/>
              <w:rPr>
                <w:color w:val="auto"/>
                <w:szCs w:val="28"/>
              </w:rPr>
            </w:pPr>
            <w:r w:rsidRPr="00E8754D">
              <w:rPr>
                <w:color w:val="auto"/>
                <w:szCs w:val="28"/>
              </w:rPr>
              <w:t xml:space="preserve">Other emissions and effluents, including Ozone-depleting substances, Nitrogen Oxides (NOX), Sulphur </w:t>
            </w:r>
            <w:r w:rsidRPr="00E8754D">
              <w:rPr>
                <w:color w:val="auto"/>
                <w:szCs w:val="28"/>
              </w:rPr>
              <w:lastRenderedPageBreak/>
              <w:t>Oxides (SOX), and chemicals</w:t>
            </w:r>
          </w:p>
          <w:p w14:paraId="3469F048" w14:textId="77777777" w:rsidR="00C82BC4" w:rsidRPr="00E8754D" w:rsidRDefault="00C82BC4" w:rsidP="00276542">
            <w:pPr>
              <w:spacing w:after="60"/>
              <w:ind w:left="54"/>
              <w:rPr>
                <w:szCs w:val="28"/>
              </w:rPr>
            </w:pPr>
          </w:p>
        </w:tc>
        <w:tc>
          <w:tcPr>
            <w:tcW w:w="1658" w:type="dxa"/>
            <w:gridSpan w:val="3"/>
          </w:tcPr>
          <w:p w14:paraId="5F33B8A5" w14:textId="77777777" w:rsidR="00C82BC4" w:rsidRPr="00E8754D" w:rsidRDefault="00C82BC4" w:rsidP="00276542">
            <w:pPr>
              <w:spacing w:after="60"/>
              <w:rPr>
                <w:b/>
                <w:szCs w:val="28"/>
              </w:rPr>
            </w:pPr>
            <w:r w:rsidRPr="00E8754D">
              <w:rPr>
                <w:szCs w:val="28"/>
              </w:rPr>
              <w:lastRenderedPageBreak/>
              <w:t>B.4.1. Ozone-depleting substances and chemicals</w:t>
            </w:r>
          </w:p>
        </w:tc>
        <w:tc>
          <w:tcPr>
            <w:tcW w:w="1965" w:type="dxa"/>
            <w:gridSpan w:val="2"/>
          </w:tcPr>
          <w:p w14:paraId="5E3F7E83" w14:textId="77777777" w:rsidR="00C82BC4" w:rsidRPr="00E8754D" w:rsidRDefault="00C82BC4" w:rsidP="00276542">
            <w:pPr>
              <w:spacing w:after="60"/>
              <w:rPr>
                <w:b/>
                <w:szCs w:val="28"/>
              </w:rPr>
            </w:pPr>
          </w:p>
        </w:tc>
        <w:tc>
          <w:tcPr>
            <w:tcW w:w="1364" w:type="dxa"/>
          </w:tcPr>
          <w:p w14:paraId="44E548FF" w14:textId="77777777" w:rsidR="00C82BC4" w:rsidRPr="00E8754D" w:rsidRDefault="00C82BC4" w:rsidP="00276542">
            <w:pPr>
              <w:spacing w:after="60"/>
              <w:rPr>
                <w:b/>
                <w:szCs w:val="28"/>
              </w:rPr>
            </w:pPr>
          </w:p>
        </w:tc>
        <w:tc>
          <w:tcPr>
            <w:tcW w:w="1835" w:type="dxa"/>
            <w:gridSpan w:val="2"/>
            <w:shd w:val="clear" w:color="auto" w:fill="auto"/>
          </w:tcPr>
          <w:p w14:paraId="2B2E3D93" w14:textId="77777777" w:rsidR="00C82BC4" w:rsidRPr="00E8754D" w:rsidRDefault="00C82BC4" w:rsidP="00276542">
            <w:pPr>
              <w:spacing w:after="60"/>
              <w:rPr>
                <w:b/>
                <w:szCs w:val="28"/>
              </w:rPr>
            </w:pPr>
            <w:r w:rsidRPr="00E8754D">
              <w:rPr>
                <w:b/>
                <w:szCs w:val="28"/>
              </w:rPr>
              <w:t>305: Emissions</w:t>
            </w:r>
          </w:p>
          <w:p w14:paraId="27FCE933" w14:textId="77777777" w:rsidR="00C82BC4" w:rsidRPr="00E8754D" w:rsidRDefault="00C82BC4" w:rsidP="00276542">
            <w:pPr>
              <w:spacing w:after="60"/>
              <w:rPr>
                <w:szCs w:val="28"/>
              </w:rPr>
            </w:pPr>
            <w:r w:rsidRPr="00E8754D">
              <w:rPr>
                <w:szCs w:val="28"/>
              </w:rPr>
              <w:t>305-6: Emissions from ozone depleting substances (ODS)</w:t>
            </w:r>
          </w:p>
          <w:p w14:paraId="2C8B173B" w14:textId="77777777" w:rsidR="00C82BC4" w:rsidRPr="00E8754D" w:rsidRDefault="00C82BC4" w:rsidP="00276542">
            <w:pPr>
              <w:spacing w:after="60"/>
              <w:rPr>
                <w:szCs w:val="28"/>
              </w:rPr>
            </w:pPr>
            <w:r w:rsidRPr="00E8754D">
              <w:rPr>
                <w:szCs w:val="28"/>
              </w:rPr>
              <w:t xml:space="preserve">305-7: Nitrogen oxides (NOX), sulphur oxides (SOX), and </w:t>
            </w:r>
            <w:r w:rsidRPr="00E8754D">
              <w:rPr>
                <w:szCs w:val="28"/>
              </w:rPr>
              <w:lastRenderedPageBreak/>
              <w:t>other significant air emissions</w:t>
            </w:r>
          </w:p>
          <w:p w14:paraId="6F06F3C5" w14:textId="77777777" w:rsidR="00C82BC4" w:rsidRPr="00E8754D" w:rsidRDefault="00C82BC4" w:rsidP="00276542">
            <w:pPr>
              <w:spacing w:after="60"/>
              <w:ind w:left="34"/>
              <w:rPr>
                <w:szCs w:val="28"/>
              </w:rPr>
            </w:pPr>
          </w:p>
        </w:tc>
        <w:tc>
          <w:tcPr>
            <w:tcW w:w="2142" w:type="dxa"/>
            <w:gridSpan w:val="2"/>
          </w:tcPr>
          <w:p w14:paraId="78C2B563" w14:textId="77777777" w:rsidR="00C82BC4" w:rsidRPr="00E8754D" w:rsidRDefault="00C82BC4" w:rsidP="00276542">
            <w:pPr>
              <w:spacing w:after="60"/>
              <w:rPr>
                <w:szCs w:val="28"/>
              </w:rPr>
            </w:pPr>
            <w:r w:rsidRPr="00E8754D">
              <w:rPr>
                <w:szCs w:val="28"/>
              </w:rPr>
              <w:lastRenderedPageBreak/>
              <w:t>Air quality</w:t>
            </w:r>
          </w:p>
          <w:p w14:paraId="60B59BA9" w14:textId="77777777" w:rsidR="00C82BC4" w:rsidRPr="00E8754D" w:rsidRDefault="00C82BC4" w:rsidP="00276542">
            <w:pPr>
              <w:spacing w:after="60"/>
              <w:ind w:left="54"/>
              <w:rPr>
                <w:szCs w:val="28"/>
              </w:rPr>
            </w:pPr>
          </w:p>
        </w:tc>
      </w:tr>
      <w:tr w:rsidR="00C82BC4" w:rsidRPr="00E8754D" w14:paraId="5EC536DD" w14:textId="77777777" w:rsidTr="00276542">
        <w:tc>
          <w:tcPr>
            <w:tcW w:w="1237" w:type="dxa"/>
            <w:gridSpan w:val="2"/>
            <w:vMerge/>
            <w:shd w:val="clear" w:color="auto" w:fill="auto"/>
          </w:tcPr>
          <w:p w14:paraId="4D9BADF2" w14:textId="77777777" w:rsidR="00C82BC4" w:rsidRPr="00E8754D" w:rsidRDefault="00C82BC4" w:rsidP="00276542">
            <w:pPr>
              <w:spacing w:after="60"/>
              <w:ind w:left="54"/>
              <w:rPr>
                <w:szCs w:val="28"/>
              </w:rPr>
            </w:pPr>
          </w:p>
        </w:tc>
        <w:tc>
          <w:tcPr>
            <w:tcW w:w="1703" w:type="dxa"/>
            <w:shd w:val="clear" w:color="auto" w:fill="auto"/>
          </w:tcPr>
          <w:p w14:paraId="686CFD7F" w14:textId="77777777" w:rsidR="00C82BC4" w:rsidRPr="00E8754D" w:rsidRDefault="00C82BC4" w:rsidP="00C82BC4">
            <w:pPr>
              <w:numPr>
                <w:ilvl w:val="0"/>
                <w:numId w:val="7"/>
              </w:numPr>
              <w:spacing w:after="60"/>
              <w:rPr>
                <w:szCs w:val="28"/>
              </w:rPr>
            </w:pPr>
            <w:r w:rsidRPr="00E8754D">
              <w:rPr>
                <w:szCs w:val="28"/>
              </w:rPr>
              <w:t>Waste generation, including hazardous wastes</w:t>
            </w:r>
          </w:p>
        </w:tc>
        <w:tc>
          <w:tcPr>
            <w:tcW w:w="1658" w:type="dxa"/>
            <w:gridSpan w:val="3"/>
          </w:tcPr>
          <w:p w14:paraId="3845D026" w14:textId="77777777" w:rsidR="00C82BC4" w:rsidRPr="00E8754D" w:rsidRDefault="00C82BC4" w:rsidP="00276542">
            <w:pPr>
              <w:spacing w:after="60"/>
              <w:rPr>
                <w:b/>
                <w:szCs w:val="28"/>
              </w:rPr>
            </w:pPr>
            <w:r w:rsidRPr="00E8754D">
              <w:rPr>
                <w:szCs w:val="28"/>
              </w:rPr>
              <w:t>B.2.3. Hazardous waste</w:t>
            </w:r>
          </w:p>
        </w:tc>
        <w:tc>
          <w:tcPr>
            <w:tcW w:w="1965" w:type="dxa"/>
            <w:gridSpan w:val="2"/>
          </w:tcPr>
          <w:p w14:paraId="694F0191" w14:textId="77777777" w:rsidR="00C82BC4" w:rsidRPr="00E8754D" w:rsidRDefault="00C82BC4" w:rsidP="00276542">
            <w:pPr>
              <w:spacing w:after="60"/>
              <w:rPr>
                <w:b/>
                <w:szCs w:val="28"/>
              </w:rPr>
            </w:pPr>
          </w:p>
        </w:tc>
        <w:tc>
          <w:tcPr>
            <w:tcW w:w="1364" w:type="dxa"/>
          </w:tcPr>
          <w:p w14:paraId="16FC079F" w14:textId="77777777" w:rsidR="00C82BC4" w:rsidRPr="00E8754D" w:rsidRDefault="00C82BC4" w:rsidP="00276542">
            <w:pPr>
              <w:spacing w:after="60"/>
              <w:rPr>
                <w:b/>
                <w:szCs w:val="28"/>
              </w:rPr>
            </w:pPr>
          </w:p>
        </w:tc>
        <w:tc>
          <w:tcPr>
            <w:tcW w:w="1835" w:type="dxa"/>
            <w:gridSpan w:val="2"/>
            <w:shd w:val="clear" w:color="auto" w:fill="auto"/>
          </w:tcPr>
          <w:p w14:paraId="5DBD2079" w14:textId="77777777" w:rsidR="00C82BC4" w:rsidRPr="00E8754D" w:rsidRDefault="00C82BC4" w:rsidP="00276542">
            <w:pPr>
              <w:spacing w:after="60"/>
              <w:rPr>
                <w:b/>
                <w:szCs w:val="28"/>
              </w:rPr>
            </w:pPr>
            <w:r w:rsidRPr="00E8754D">
              <w:rPr>
                <w:b/>
                <w:szCs w:val="28"/>
              </w:rPr>
              <w:t>306: Effluents and waste</w:t>
            </w:r>
          </w:p>
          <w:p w14:paraId="3B93A743" w14:textId="77777777" w:rsidR="00C82BC4" w:rsidRPr="00E8754D" w:rsidRDefault="00C82BC4" w:rsidP="00276542">
            <w:pPr>
              <w:spacing w:after="60"/>
              <w:rPr>
                <w:szCs w:val="28"/>
              </w:rPr>
            </w:pPr>
            <w:r w:rsidRPr="00E8754D">
              <w:rPr>
                <w:szCs w:val="28"/>
              </w:rPr>
              <w:t>306-1: Water discharge by quality and destination</w:t>
            </w:r>
          </w:p>
          <w:p w14:paraId="2A847EFF" w14:textId="77777777" w:rsidR="00C82BC4" w:rsidRPr="00E8754D" w:rsidRDefault="00C82BC4" w:rsidP="00276542">
            <w:pPr>
              <w:spacing w:after="60"/>
              <w:rPr>
                <w:szCs w:val="28"/>
              </w:rPr>
            </w:pPr>
            <w:r w:rsidRPr="00E8754D">
              <w:rPr>
                <w:szCs w:val="28"/>
              </w:rPr>
              <w:t>306-2: Waste by type and disposal method</w:t>
            </w:r>
          </w:p>
          <w:p w14:paraId="3808C551" w14:textId="77777777" w:rsidR="00C82BC4" w:rsidRPr="00E8754D" w:rsidRDefault="00C82BC4" w:rsidP="00276542">
            <w:pPr>
              <w:spacing w:after="60"/>
              <w:rPr>
                <w:szCs w:val="28"/>
              </w:rPr>
            </w:pPr>
            <w:r w:rsidRPr="00E8754D">
              <w:rPr>
                <w:szCs w:val="28"/>
              </w:rPr>
              <w:t>306-3: Significant spills</w:t>
            </w:r>
          </w:p>
          <w:p w14:paraId="4386959C" w14:textId="77777777" w:rsidR="00C82BC4" w:rsidRPr="00E8754D" w:rsidRDefault="00C82BC4" w:rsidP="00276542">
            <w:pPr>
              <w:spacing w:after="60"/>
              <w:rPr>
                <w:szCs w:val="28"/>
              </w:rPr>
            </w:pPr>
            <w:r w:rsidRPr="00E8754D">
              <w:rPr>
                <w:szCs w:val="28"/>
              </w:rPr>
              <w:t>306-4: Transport of hazardous waste</w:t>
            </w:r>
          </w:p>
          <w:p w14:paraId="1D264BB4" w14:textId="77777777" w:rsidR="00C82BC4" w:rsidRPr="00E8754D" w:rsidRDefault="00C82BC4" w:rsidP="00276542">
            <w:pPr>
              <w:spacing w:after="60"/>
              <w:rPr>
                <w:szCs w:val="28"/>
              </w:rPr>
            </w:pPr>
            <w:r w:rsidRPr="00E8754D">
              <w:rPr>
                <w:szCs w:val="28"/>
              </w:rPr>
              <w:t>306-5: Water bodies affected by water discharges and/or runoff</w:t>
            </w:r>
          </w:p>
          <w:p w14:paraId="6132FD8C" w14:textId="77777777" w:rsidR="00C82BC4" w:rsidRPr="00E8754D" w:rsidRDefault="00C82BC4" w:rsidP="00276542">
            <w:pPr>
              <w:spacing w:after="60"/>
              <w:rPr>
                <w:szCs w:val="28"/>
              </w:rPr>
            </w:pPr>
          </w:p>
        </w:tc>
        <w:tc>
          <w:tcPr>
            <w:tcW w:w="2142" w:type="dxa"/>
            <w:gridSpan w:val="2"/>
          </w:tcPr>
          <w:p w14:paraId="7C35D6CC" w14:textId="77777777" w:rsidR="00C82BC4" w:rsidRPr="00E8754D" w:rsidRDefault="00C82BC4" w:rsidP="00276542">
            <w:pPr>
              <w:spacing w:after="60"/>
              <w:rPr>
                <w:szCs w:val="28"/>
              </w:rPr>
            </w:pPr>
            <w:r w:rsidRPr="00E8754D">
              <w:rPr>
                <w:szCs w:val="28"/>
              </w:rPr>
              <w:t xml:space="preserve">Waste and Hazardous </w:t>
            </w:r>
            <w:r w:rsidRPr="00E8754D">
              <w:rPr>
                <w:rFonts w:ascii="MS Gothic" w:eastAsia="MS Gothic" w:hAnsi="MS Gothic" w:cs="MS Gothic"/>
                <w:szCs w:val="28"/>
              </w:rPr>
              <w:t> </w:t>
            </w:r>
            <w:r w:rsidRPr="00E8754D">
              <w:rPr>
                <w:szCs w:val="28"/>
              </w:rPr>
              <w:t>Materials Management</w:t>
            </w:r>
            <w:r w:rsidRPr="00E8754D">
              <w:rPr>
                <w:rFonts w:ascii="MS Gothic" w:eastAsia="MS Gothic" w:hAnsi="MS Gothic" w:cs="MS Gothic"/>
                <w:szCs w:val="28"/>
              </w:rPr>
              <w:t> </w:t>
            </w:r>
          </w:p>
          <w:p w14:paraId="387E4260" w14:textId="77777777" w:rsidR="00C82BC4" w:rsidRPr="00E8754D" w:rsidRDefault="00C82BC4" w:rsidP="00276542">
            <w:pPr>
              <w:spacing w:after="60"/>
              <w:ind w:left="54"/>
              <w:rPr>
                <w:szCs w:val="28"/>
              </w:rPr>
            </w:pPr>
          </w:p>
        </w:tc>
      </w:tr>
      <w:tr w:rsidR="00C82BC4" w:rsidRPr="00E8754D" w14:paraId="44354854" w14:textId="77777777" w:rsidTr="00276542">
        <w:trPr>
          <w:cnfStyle w:val="000000010000" w:firstRow="0" w:lastRow="0" w:firstColumn="0" w:lastColumn="0" w:oddVBand="0" w:evenVBand="0" w:oddHBand="0" w:evenHBand="1" w:firstRowFirstColumn="0" w:firstRowLastColumn="0" w:lastRowFirstColumn="0" w:lastRowLastColumn="0"/>
        </w:trPr>
        <w:tc>
          <w:tcPr>
            <w:tcW w:w="1237" w:type="dxa"/>
            <w:gridSpan w:val="2"/>
            <w:vMerge/>
            <w:shd w:val="clear" w:color="auto" w:fill="auto"/>
          </w:tcPr>
          <w:p w14:paraId="4ED69BE5" w14:textId="77777777" w:rsidR="00C82BC4" w:rsidRPr="00E8754D" w:rsidRDefault="00C82BC4" w:rsidP="00276542">
            <w:pPr>
              <w:spacing w:after="60"/>
              <w:ind w:left="54"/>
              <w:rPr>
                <w:szCs w:val="28"/>
              </w:rPr>
            </w:pPr>
          </w:p>
        </w:tc>
        <w:tc>
          <w:tcPr>
            <w:tcW w:w="1703" w:type="dxa"/>
            <w:shd w:val="clear" w:color="auto" w:fill="auto"/>
          </w:tcPr>
          <w:p w14:paraId="1A277157" w14:textId="77777777" w:rsidR="00C82BC4" w:rsidRPr="00E8754D" w:rsidRDefault="00C82BC4" w:rsidP="00C82BC4">
            <w:pPr>
              <w:numPr>
                <w:ilvl w:val="0"/>
                <w:numId w:val="7"/>
              </w:numPr>
              <w:spacing w:after="60"/>
              <w:rPr>
                <w:szCs w:val="28"/>
              </w:rPr>
            </w:pPr>
            <w:r w:rsidRPr="00E8754D">
              <w:rPr>
                <w:szCs w:val="28"/>
              </w:rPr>
              <w:t>Waste minimisation and recycling practices</w:t>
            </w:r>
          </w:p>
        </w:tc>
        <w:tc>
          <w:tcPr>
            <w:tcW w:w="1658" w:type="dxa"/>
            <w:gridSpan w:val="3"/>
          </w:tcPr>
          <w:p w14:paraId="7633E594" w14:textId="77777777" w:rsidR="00C82BC4" w:rsidRPr="00E8754D" w:rsidRDefault="00C82BC4" w:rsidP="00276542">
            <w:pPr>
              <w:spacing w:after="60"/>
              <w:rPr>
                <w:b/>
                <w:szCs w:val="28"/>
              </w:rPr>
            </w:pPr>
            <w:r w:rsidRPr="00E8754D">
              <w:rPr>
                <w:b/>
                <w:szCs w:val="28"/>
              </w:rPr>
              <w:t xml:space="preserve">B.2 Waste management </w:t>
            </w:r>
          </w:p>
          <w:p w14:paraId="3FFB49D7" w14:textId="77777777" w:rsidR="00C82BC4" w:rsidRPr="00E8754D" w:rsidRDefault="00C82BC4" w:rsidP="00276542">
            <w:pPr>
              <w:spacing w:after="60"/>
              <w:rPr>
                <w:szCs w:val="28"/>
              </w:rPr>
            </w:pPr>
            <w:r w:rsidRPr="00E8754D">
              <w:rPr>
                <w:szCs w:val="28"/>
              </w:rPr>
              <w:t>B.2.1. Reduction of waste generation</w:t>
            </w:r>
          </w:p>
          <w:p w14:paraId="264C8650" w14:textId="77777777" w:rsidR="00C82BC4" w:rsidRPr="00E8754D" w:rsidRDefault="00C82BC4" w:rsidP="00276542">
            <w:pPr>
              <w:spacing w:after="60"/>
              <w:rPr>
                <w:szCs w:val="28"/>
              </w:rPr>
            </w:pPr>
            <w:r w:rsidRPr="00E8754D">
              <w:rPr>
                <w:szCs w:val="28"/>
              </w:rPr>
              <w:t xml:space="preserve">B.2.2. Waste reused, remanufactured </w:t>
            </w:r>
            <w:proofErr w:type="gramStart"/>
            <w:r w:rsidRPr="00E8754D">
              <w:rPr>
                <w:szCs w:val="28"/>
              </w:rPr>
              <w:t>and  recycled</w:t>
            </w:r>
            <w:proofErr w:type="gramEnd"/>
            <w:r w:rsidRPr="00E8754D">
              <w:rPr>
                <w:szCs w:val="28"/>
              </w:rPr>
              <w:t xml:space="preserve"> </w:t>
            </w:r>
          </w:p>
        </w:tc>
        <w:tc>
          <w:tcPr>
            <w:tcW w:w="1965" w:type="dxa"/>
            <w:gridSpan w:val="2"/>
          </w:tcPr>
          <w:p w14:paraId="60C9704B" w14:textId="77777777" w:rsidR="00C82BC4" w:rsidRPr="00E8754D" w:rsidRDefault="00C82BC4" w:rsidP="00276542">
            <w:pPr>
              <w:spacing w:after="60"/>
              <w:rPr>
                <w:szCs w:val="28"/>
              </w:rPr>
            </w:pPr>
          </w:p>
        </w:tc>
        <w:tc>
          <w:tcPr>
            <w:tcW w:w="1364" w:type="dxa"/>
          </w:tcPr>
          <w:p w14:paraId="2AE5E728" w14:textId="77777777" w:rsidR="00C82BC4" w:rsidRPr="00E8754D" w:rsidRDefault="00C82BC4" w:rsidP="00276542">
            <w:pPr>
              <w:spacing w:after="60"/>
              <w:rPr>
                <w:szCs w:val="28"/>
              </w:rPr>
            </w:pPr>
          </w:p>
        </w:tc>
        <w:tc>
          <w:tcPr>
            <w:tcW w:w="1835" w:type="dxa"/>
            <w:gridSpan w:val="2"/>
            <w:shd w:val="clear" w:color="auto" w:fill="auto"/>
          </w:tcPr>
          <w:p w14:paraId="50E1B150" w14:textId="77777777" w:rsidR="00C82BC4" w:rsidRPr="00E8754D" w:rsidRDefault="00C82BC4" w:rsidP="00276542">
            <w:pPr>
              <w:spacing w:after="60"/>
              <w:rPr>
                <w:szCs w:val="28"/>
              </w:rPr>
            </w:pPr>
            <w:r w:rsidRPr="00E8754D">
              <w:rPr>
                <w:color w:val="auto"/>
                <w:szCs w:val="28"/>
              </w:rPr>
              <w:t>306-2: Waste by type and disposal method</w:t>
            </w:r>
          </w:p>
          <w:p w14:paraId="7D5C2459" w14:textId="77777777" w:rsidR="00C82BC4" w:rsidRPr="00E8754D" w:rsidRDefault="00C82BC4" w:rsidP="00276542">
            <w:pPr>
              <w:spacing w:after="60"/>
              <w:rPr>
                <w:szCs w:val="28"/>
              </w:rPr>
            </w:pPr>
          </w:p>
        </w:tc>
        <w:tc>
          <w:tcPr>
            <w:tcW w:w="2142" w:type="dxa"/>
            <w:gridSpan w:val="2"/>
          </w:tcPr>
          <w:p w14:paraId="52EB65D0" w14:textId="77777777" w:rsidR="00C82BC4" w:rsidRPr="00E8754D" w:rsidRDefault="00C82BC4" w:rsidP="00276542">
            <w:pPr>
              <w:spacing w:after="60"/>
              <w:rPr>
                <w:szCs w:val="28"/>
              </w:rPr>
            </w:pPr>
            <w:r w:rsidRPr="00E8754D">
              <w:rPr>
                <w:szCs w:val="28"/>
              </w:rPr>
              <w:t>Waste and Hazardous Materials Management</w:t>
            </w:r>
            <w:r w:rsidRPr="00E8754D">
              <w:rPr>
                <w:rFonts w:ascii="MS Gothic" w:eastAsia="MS Gothic" w:hAnsi="MS Gothic" w:cs="MS Gothic"/>
                <w:szCs w:val="28"/>
              </w:rPr>
              <w:t> </w:t>
            </w:r>
          </w:p>
          <w:p w14:paraId="2BADC397" w14:textId="77777777" w:rsidR="00C82BC4" w:rsidRPr="00E8754D" w:rsidRDefault="00C82BC4" w:rsidP="00276542">
            <w:pPr>
              <w:spacing w:after="60"/>
              <w:ind w:left="54"/>
              <w:rPr>
                <w:szCs w:val="28"/>
              </w:rPr>
            </w:pPr>
          </w:p>
        </w:tc>
      </w:tr>
      <w:tr w:rsidR="00C82BC4" w:rsidRPr="00E8754D" w14:paraId="0EAB4D14" w14:textId="77777777" w:rsidTr="00276542">
        <w:tc>
          <w:tcPr>
            <w:tcW w:w="1237" w:type="dxa"/>
            <w:gridSpan w:val="2"/>
            <w:vMerge/>
            <w:shd w:val="clear" w:color="auto" w:fill="auto"/>
          </w:tcPr>
          <w:p w14:paraId="4B249B80" w14:textId="77777777" w:rsidR="00C82BC4" w:rsidRPr="00E8754D" w:rsidRDefault="00C82BC4" w:rsidP="00276542">
            <w:pPr>
              <w:spacing w:after="60"/>
              <w:ind w:left="54"/>
              <w:rPr>
                <w:szCs w:val="28"/>
              </w:rPr>
            </w:pPr>
          </w:p>
        </w:tc>
        <w:tc>
          <w:tcPr>
            <w:tcW w:w="1703" w:type="dxa"/>
            <w:shd w:val="clear" w:color="auto" w:fill="auto"/>
          </w:tcPr>
          <w:p w14:paraId="566E674C" w14:textId="77777777" w:rsidR="00C82BC4" w:rsidRPr="00E8754D" w:rsidRDefault="00C82BC4" w:rsidP="00C82BC4">
            <w:pPr>
              <w:numPr>
                <w:ilvl w:val="0"/>
                <w:numId w:val="7"/>
              </w:numPr>
              <w:spacing w:after="60"/>
              <w:rPr>
                <w:szCs w:val="28"/>
              </w:rPr>
            </w:pPr>
            <w:r w:rsidRPr="00E8754D">
              <w:rPr>
                <w:szCs w:val="28"/>
              </w:rPr>
              <w:t>Use and/or production of hazardous chemicals and substances</w:t>
            </w:r>
          </w:p>
        </w:tc>
        <w:tc>
          <w:tcPr>
            <w:tcW w:w="1658" w:type="dxa"/>
            <w:gridSpan w:val="3"/>
          </w:tcPr>
          <w:p w14:paraId="647DBABB" w14:textId="77777777" w:rsidR="00C82BC4" w:rsidRPr="00E8754D" w:rsidRDefault="00C82BC4" w:rsidP="00276542">
            <w:pPr>
              <w:spacing w:after="60"/>
              <w:rPr>
                <w:b/>
                <w:szCs w:val="28"/>
              </w:rPr>
            </w:pPr>
            <w:r w:rsidRPr="00E8754D">
              <w:rPr>
                <w:b/>
                <w:szCs w:val="28"/>
              </w:rPr>
              <w:t>B.4 Chemicals, including pesticides and ozone-depleting substances</w:t>
            </w:r>
          </w:p>
          <w:p w14:paraId="467175E5" w14:textId="77777777" w:rsidR="00C82BC4" w:rsidRPr="00E8754D" w:rsidRDefault="00C82BC4" w:rsidP="00276542">
            <w:pPr>
              <w:spacing w:after="60"/>
              <w:rPr>
                <w:color w:val="000000"/>
                <w:szCs w:val="28"/>
              </w:rPr>
            </w:pPr>
            <w:r w:rsidRPr="00E8754D">
              <w:rPr>
                <w:color w:val="000000"/>
                <w:szCs w:val="28"/>
              </w:rPr>
              <w:t>B.</w:t>
            </w:r>
            <w:proofErr w:type="gramStart"/>
            <w:r w:rsidRPr="00E8754D">
              <w:rPr>
                <w:color w:val="000000"/>
                <w:szCs w:val="28"/>
              </w:rPr>
              <w:t>4.1..</w:t>
            </w:r>
            <w:proofErr w:type="gramEnd"/>
            <w:r w:rsidRPr="00E8754D">
              <w:rPr>
                <w:color w:val="000000"/>
                <w:szCs w:val="28"/>
              </w:rPr>
              <w:t>Ozone-depleting substances and chemicals</w:t>
            </w:r>
          </w:p>
          <w:p w14:paraId="09C4A37E" w14:textId="77777777" w:rsidR="00C82BC4" w:rsidRPr="00E8754D" w:rsidRDefault="00C82BC4" w:rsidP="00276542">
            <w:pPr>
              <w:spacing w:after="60"/>
              <w:ind w:left="34"/>
              <w:rPr>
                <w:szCs w:val="28"/>
              </w:rPr>
            </w:pPr>
          </w:p>
        </w:tc>
        <w:tc>
          <w:tcPr>
            <w:tcW w:w="1965" w:type="dxa"/>
            <w:gridSpan w:val="2"/>
          </w:tcPr>
          <w:p w14:paraId="57C0CF52" w14:textId="77777777" w:rsidR="00C82BC4" w:rsidRPr="00E8754D" w:rsidRDefault="00C82BC4" w:rsidP="00276542">
            <w:pPr>
              <w:spacing w:after="60"/>
              <w:ind w:left="34"/>
              <w:rPr>
                <w:szCs w:val="28"/>
              </w:rPr>
            </w:pPr>
          </w:p>
        </w:tc>
        <w:tc>
          <w:tcPr>
            <w:tcW w:w="1364" w:type="dxa"/>
          </w:tcPr>
          <w:p w14:paraId="1ADE5F9F" w14:textId="77777777" w:rsidR="00C82BC4" w:rsidRPr="00E8754D" w:rsidRDefault="00C82BC4" w:rsidP="00276542">
            <w:pPr>
              <w:spacing w:after="60"/>
              <w:ind w:left="34"/>
              <w:rPr>
                <w:szCs w:val="28"/>
              </w:rPr>
            </w:pPr>
          </w:p>
        </w:tc>
        <w:tc>
          <w:tcPr>
            <w:tcW w:w="1835" w:type="dxa"/>
            <w:gridSpan w:val="2"/>
            <w:shd w:val="clear" w:color="auto" w:fill="auto"/>
          </w:tcPr>
          <w:p w14:paraId="600720A4" w14:textId="77777777" w:rsidR="00C82BC4" w:rsidRPr="00E8754D" w:rsidRDefault="00C82BC4" w:rsidP="00276542">
            <w:pPr>
              <w:spacing w:after="60"/>
              <w:ind w:left="34"/>
              <w:rPr>
                <w:szCs w:val="28"/>
              </w:rPr>
            </w:pPr>
          </w:p>
        </w:tc>
        <w:tc>
          <w:tcPr>
            <w:tcW w:w="2142" w:type="dxa"/>
            <w:gridSpan w:val="2"/>
          </w:tcPr>
          <w:p w14:paraId="0C7C112B" w14:textId="77777777" w:rsidR="00C82BC4" w:rsidRPr="00E8754D" w:rsidRDefault="00C82BC4" w:rsidP="00276542">
            <w:pPr>
              <w:spacing w:after="60"/>
              <w:ind w:left="54"/>
              <w:rPr>
                <w:szCs w:val="28"/>
              </w:rPr>
            </w:pPr>
            <w:r w:rsidRPr="00E8754D">
              <w:rPr>
                <w:szCs w:val="28"/>
              </w:rPr>
              <w:t xml:space="preserve">Materials Sourcing </w:t>
            </w:r>
          </w:p>
        </w:tc>
      </w:tr>
      <w:tr w:rsidR="00C82BC4" w:rsidRPr="00E8754D" w14:paraId="54B8A374" w14:textId="77777777" w:rsidTr="00276542">
        <w:trPr>
          <w:cnfStyle w:val="000000010000" w:firstRow="0" w:lastRow="0" w:firstColumn="0" w:lastColumn="0" w:oddVBand="0" w:evenVBand="0" w:oddHBand="0" w:evenHBand="1" w:firstRowFirstColumn="0" w:firstRowLastColumn="0" w:lastRowFirstColumn="0" w:lastRowLastColumn="0"/>
        </w:trPr>
        <w:tc>
          <w:tcPr>
            <w:tcW w:w="1237" w:type="dxa"/>
            <w:gridSpan w:val="2"/>
            <w:vMerge/>
            <w:shd w:val="clear" w:color="auto" w:fill="auto"/>
          </w:tcPr>
          <w:p w14:paraId="5CB8C36B" w14:textId="77777777" w:rsidR="00C82BC4" w:rsidRPr="00E8754D" w:rsidRDefault="00C82BC4" w:rsidP="00276542">
            <w:pPr>
              <w:spacing w:after="60"/>
              <w:ind w:left="54"/>
              <w:rPr>
                <w:szCs w:val="28"/>
              </w:rPr>
            </w:pPr>
          </w:p>
        </w:tc>
        <w:tc>
          <w:tcPr>
            <w:tcW w:w="1703" w:type="dxa"/>
            <w:shd w:val="clear" w:color="auto" w:fill="D5D0B4" w:themeFill="background2" w:themeFillShade="D9"/>
          </w:tcPr>
          <w:p w14:paraId="372DC0D4" w14:textId="77777777" w:rsidR="00C82BC4" w:rsidRPr="00E8754D" w:rsidRDefault="00C82BC4" w:rsidP="00276542">
            <w:pPr>
              <w:spacing w:after="60"/>
              <w:rPr>
                <w:szCs w:val="28"/>
              </w:rPr>
            </w:pPr>
            <w:r w:rsidRPr="00E8754D">
              <w:rPr>
                <w:b/>
                <w:szCs w:val="28"/>
              </w:rPr>
              <w:t>Social</w:t>
            </w:r>
          </w:p>
        </w:tc>
        <w:tc>
          <w:tcPr>
            <w:tcW w:w="1658" w:type="dxa"/>
            <w:gridSpan w:val="3"/>
            <w:shd w:val="clear" w:color="auto" w:fill="D5D0B4" w:themeFill="background2" w:themeFillShade="D9"/>
          </w:tcPr>
          <w:p w14:paraId="714B6080" w14:textId="77777777" w:rsidR="00C82BC4" w:rsidRPr="00E8754D" w:rsidRDefault="00C82BC4" w:rsidP="00276542">
            <w:pPr>
              <w:spacing w:after="60"/>
              <w:ind w:left="34"/>
              <w:rPr>
                <w:szCs w:val="28"/>
              </w:rPr>
            </w:pPr>
          </w:p>
        </w:tc>
        <w:tc>
          <w:tcPr>
            <w:tcW w:w="1965" w:type="dxa"/>
            <w:gridSpan w:val="2"/>
            <w:shd w:val="clear" w:color="auto" w:fill="D5D0B4" w:themeFill="background2" w:themeFillShade="D9"/>
          </w:tcPr>
          <w:p w14:paraId="73C20662" w14:textId="77777777" w:rsidR="00C82BC4" w:rsidRPr="00E8754D" w:rsidRDefault="00C82BC4" w:rsidP="00276542">
            <w:pPr>
              <w:spacing w:after="60"/>
              <w:ind w:left="34"/>
              <w:rPr>
                <w:szCs w:val="28"/>
              </w:rPr>
            </w:pPr>
          </w:p>
        </w:tc>
        <w:tc>
          <w:tcPr>
            <w:tcW w:w="1364" w:type="dxa"/>
            <w:shd w:val="clear" w:color="auto" w:fill="D5D0B4" w:themeFill="background2" w:themeFillShade="D9"/>
          </w:tcPr>
          <w:p w14:paraId="757BCF6A" w14:textId="77777777" w:rsidR="00C82BC4" w:rsidRPr="00E8754D" w:rsidRDefault="00C82BC4" w:rsidP="00276542">
            <w:pPr>
              <w:spacing w:after="60"/>
              <w:ind w:left="34"/>
              <w:rPr>
                <w:szCs w:val="28"/>
              </w:rPr>
            </w:pPr>
          </w:p>
        </w:tc>
        <w:tc>
          <w:tcPr>
            <w:tcW w:w="1835" w:type="dxa"/>
            <w:gridSpan w:val="2"/>
            <w:shd w:val="clear" w:color="auto" w:fill="D5D0B4" w:themeFill="background2" w:themeFillShade="D9"/>
          </w:tcPr>
          <w:p w14:paraId="29D1126A" w14:textId="77777777" w:rsidR="00C82BC4" w:rsidRPr="00E8754D" w:rsidRDefault="00C82BC4" w:rsidP="00276542">
            <w:pPr>
              <w:spacing w:after="60"/>
              <w:ind w:left="34"/>
              <w:rPr>
                <w:szCs w:val="28"/>
              </w:rPr>
            </w:pPr>
          </w:p>
        </w:tc>
        <w:tc>
          <w:tcPr>
            <w:tcW w:w="2142" w:type="dxa"/>
            <w:gridSpan w:val="2"/>
            <w:shd w:val="clear" w:color="auto" w:fill="D5D0B4" w:themeFill="background2" w:themeFillShade="D9"/>
          </w:tcPr>
          <w:p w14:paraId="54BC3E8E" w14:textId="77777777" w:rsidR="00C82BC4" w:rsidRPr="00E8754D" w:rsidRDefault="00C82BC4" w:rsidP="00276542">
            <w:pPr>
              <w:spacing w:after="60"/>
              <w:ind w:left="54"/>
              <w:rPr>
                <w:szCs w:val="28"/>
              </w:rPr>
            </w:pPr>
          </w:p>
        </w:tc>
      </w:tr>
      <w:tr w:rsidR="00C82BC4" w:rsidRPr="00E8754D" w14:paraId="4A4C1DE3" w14:textId="77777777" w:rsidTr="00276542">
        <w:tc>
          <w:tcPr>
            <w:tcW w:w="1237" w:type="dxa"/>
            <w:gridSpan w:val="2"/>
            <w:vMerge/>
            <w:shd w:val="clear" w:color="auto" w:fill="auto"/>
          </w:tcPr>
          <w:p w14:paraId="4A637920" w14:textId="77777777" w:rsidR="00C82BC4" w:rsidRPr="00E8754D" w:rsidRDefault="00C82BC4" w:rsidP="00276542">
            <w:pPr>
              <w:spacing w:after="60"/>
              <w:ind w:left="54"/>
              <w:rPr>
                <w:szCs w:val="28"/>
              </w:rPr>
            </w:pPr>
          </w:p>
        </w:tc>
        <w:tc>
          <w:tcPr>
            <w:tcW w:w="1703" w:type="dxa"/>
            <w:shd w:val="clear" w:color="auto" w:fill="auto"/>
          </w:tcPr>
          <w:p w14:paraId="652A8E40" w14:textId="77777777" w:rsidR="00C82BC4" w:rsidRPr="00E8754D" w:rsidRDefault="00C82BC4" w:rsidP="00C82BC4">
            <w:pPr>
              <w:numPr>
                <w:ilvl w:val="0"/>
                <w:numId w:val="7"/>
              </w:numPr>
              <w:spacing w:after="60"/>
              <w:rPr>
                <w:szCs w:val="28"/>
              </w:rPr>
            </w:pPr>
            <w:r w:rsidRPr="00E8754D">
              <w:rPr>
                <w:szCs w:val="28"/>
              </w:rPr>
              <w:t>Occupational health and safety, reporting as injuries, fatalities and/or training and interventions</w:t>
            </w:r>
          </w:p>
        </w:tc>
        <w:tc>
          <w:tcPr>
            <w:tcW w:w="1658" w:type="dxa"/>
            <w:gridSpan w:val="3"/>
          </w:tcPr>
          <w:p w14:paraId="2CA00DFC" w14:textId="77777777" w:rsidR="00C82BC4" w:rsidRPr="00E8754D" w:rsidRDefault="00C82BC4" w:rsidP="00276542">
            <w:pPr>
              <w:spacing w:after="60"/>
              <w:rPr>
                <w:b/>
                <w:szCs w:val="28"/>
              </w:rPr>
            </w:pPr>
            <w:r w:rsidRPr="00E8754D">
              <w:rPr>
                <w:b/>
                <w:szCs w:val="28"/>
              </w:rPr>
              <w:t>C.3 Employee health and safety</w:t>
            </w:r>
          </w:p>
          <w:p w14:paraId="13454322" w14:textId="77777777" w:rsidR="00C82BC4" w:rsidRPr="00E8754D" w:rsidRDefault="00C82BC4" w:rsidP="00276542">
            <w:pPr>
              <w:spacing w:after="60"/>
              <w:rPr>
                <w:szCs w:val="28"/>
              </w:rPr>
            </w:pPr>
            <w:r w:rsidRPr="00E8754D">
              <w:rPr>
                <w:szCs w:val="28"/>
              </w:rPr>
              <w:t>C.3.1. Expenditures on employee health and safety as a proportion of revenue</w:t>
            </w:r>
          </w:p>
          <w:p w14:paraId="632D26DF" w14:textId="77777777" w:rsidR="00C82BC4" w:rsidRPr="00E8754D" w:rsidRDefault="00C82BC4" w:rsidP="00276542">
            <w:pPr>
              <w:spacing w:after="60"/>
              <w:rPr>
                <w:b/>
                <w:szCs w:val="28"/>
              </w:rPr>
            </w:pPr>
            <w:r w:rsidRPr="00E8754D">
              <w:rPr>
                <w:szCs w:val="28"/>
              </w:rPr>
              <w:lastRenderedPageBreak/>
              <w:t>C.3.2. Frequency /incident rates of occupational injuries</w:t>
            </w:r>
          </w:p>
        </w:tc>
        <w:tc>
          <w:tcPr>
            <w:tcW w:w="1965" w:type="dxa"/>
            <w:gridSpan w:val="2"/>
          </w:tcPr>
          <w:p w14:paraId="563929B4" w14:textId="77777777" w:rsidR="00C82BC4" w:rsidRPr="00E8754D" w:rsidRDefault="00C82BC4" w:rsidP="00276542">
            <w:pPr>
              <w:spacing w:after="60"/>
              <w:ind w:left="54"/>
              <w:rPr>
                <w:szCs w:val="28"/>
              </w:rPr>
            </w:pPr>
            <w:r w:rsidRPr="00E8754D">
              <w:rPr>
                <w:szCs w:val="28"/>
              </w:rPr>
              <w:lastRenderedPageBreak/>
              <w:t xml:space="preserve">Principle 1: Businesses should support and respect the protection of internationally </w:t>
            </w:r>
            <w:r w:rsidRPr="00E8754D">
              <w:rPr>
                <w:szCs w:val="28"/>
              </w:rPr>
              <w:lastRenderedPageBreak/>
              <w:t>proclaimed human rights;</w:t>
            </w:r>
          </w:p>
          <w:p w14:paraId="6A01BF6C" w14:textId="77777777" w:rsidR="00C82BC4" w:rsidRPr="00E8754D" w:rsidRDefault="00C82BC4" w:rsidP="00276542">
            <w:pPr>
              <w:spacing w:after="60"/>
              <w:ind w:left="54"/>
              <w:rPr>
                <w:szCs w:val="28"/>
              </w:rPr>
            </w:pPr>
          </w:p>
          <w:p w14:paraId="601974B0" w14:textId="77777777" w:rsidR="00C82BC4" w:rsidRPr="00E8754D" w:rsidRDefault="00C82BC4" w:rsidP="00276542">
            <w:pPr>
              <w:spacing w:after="60"/>
              <w:ind w:left="54"/>
              <w:rPr>
                <w:szCs w:val="28"/>
              </w:rPr>
            </w:pPr>
            <w:r w:rsidRPr="00E8754D">
              <w:rPr>
                <w:szCs w:val="28"/>
              </w:rPr>
              <w:t>Principle 2: make sure that they are not complicit in human rights abuses;</w:t>
            </w:r>
          </w:p>
          <w:p w14:paraId="4B9E77B4" w14:textId="77777777" w:rsidR="00C82BC4" w:rsidRPr="00E8754D" w:rsidRDefault="00C82BC4" w:rsidP="00276542">
            <w:pPr>
              <w:spacing w:after="60"/>
              <w:ind w:left="54"/>
              <w:rPr>
                <w:szCs w:val="28"/>
              </w:rPr>
            </w:pPr>
          </w:p>
          <w:p w14:paraId="19630039" w14:textId="77777777" w:rsidR="00C82BC4" w:rsidRPr="00E8754D" w:rsidRDefault="00C82BC4" w:rsidP="00276542">
            <w:pPr>
              <w:spacing w:after="60"/>
              <w:ind w:left="54"/>
              <w:rPr>
                <w:szCs w:val="28"/>
              </w:rPr>
            </w:pPr>
            <w:r w:rsidRPr="00E8754D">
              <w:rPr>
                <w:szCs w:val="28"/>
              </w:rPr>
              <w:t>Principle 4: the elimination of all forms of forced and compulsory labour;</w:t>
            </w:r>
          </w:p>
          <w:p w14:paraId="060C374B" w14:textId="77777777" w:rsidR="00C82BC4" w:rsidRPr="00E8754D" w:rsidRDefault="00C82BC4" w:rsidP="00276542">
            <w:pPr>
              <w:spacing w:after="60"/>
              <w:ind w:left="54"/>
              <w:rPr>
                <w:szCs w:val="28"/>
              </w:rPr>
            </w:pPr>
          </w:p>
          <w:p w14:paraId="1DB1EEA5" w14:textId="77777777" w:rsidR="00C82BC4" w:rsidRPr="00E8754D" w:rsidRDefault="00C82BC4" w:rsidP="00276542">
            <w:pPr>
              <w:spacing w:after="60"/>
              <w:rPr>
                <w:b/>
                <w:szCs w:val="28"/>
              </w:rPr>
            </w:pPr>
            <w:r w:rsidRPr="00E8754D">
              <w:rPr>
                <w:szCs w:val="28"/>
              </w:rPr>
              <w:t>Principle 5: the effective abolition of child labour;</w:t>
            </w:r>
          </w:p>
        </w:tc>
        <w:tc>
          <w:tcPr>
            <w:tcW w:w="1364" w:type="dxa"/>
          </w:tcPr>
          <w:p w14:paraId="4E1D04D6" w14:textId="77777777" w:rsidR="00C82BC4" w:rsidRPr="00E8754D" w:rsidRDefault="00C82BC4" w:rsidP="00276542">
            <w:pPr>
              <w:spacing w:after="60"/>
              <w:rPr>
                <w:b/>
                <w:szCs w:val="28"/>
              </w:rPr>
            </w:pPr>
          </w:p>
        </w:tc>
        <w:tc>
          <w:tcPr>
            <w:tcW w:w="1835" w:type="dxa"/>
            <w:gridSpan w:val="2"/>
            <w:shd w:val="clear" w:color="auto" w:fill="auto"/>
          </w:tcPr>
          <w:p w14:paraId="4A4F57DD" w14:textId="77777777" w:rsidR="00C82BC4" w:rsidRPr="00E8754D" w:rsidRDefault="00C82BC4" w:rsidP="00276542">
            <w:pPr>
              <w:spacing w:after="60"/>
              <w:rPr>
                <w:b/>
                <w:szCs w:val="28"/>
              </w:rPr>
            </w:pPr>
            <w:r w:rsidRPr="00E8754D">
              <w:rPr>
                <w:b/>
                <w:szCs w:val="28"/>
              </w:rPr>
              <w:t>403: Occupational health and safety</w:t>
            </w:r>
          </w:p>
          <w:p w14:paraId="60EA961F" w14:textId="77777777" w:rsidR="00C82BC4" w:rsidRPr="00E8754D" w:rsidRDefault="00C82BC4" w:rsidP="00276542">
            <w:pPr>
              <w:spacing w:after="60"/>
              <w:rPr>
                <w:szCs w:val="28"/>
              </w:rPr>
            </w:pPr>
            <w:r w:rsidRPr="00E8754D">
              <w:rPr>
                <w:szCs w:val="28"/>
              </w:rPr>
              <w:t xml:space="preserve">403-1: Workers representation in formal joint management-worker </w:t>
            </w:r>
            <w:r w:rsidRPr="00E8754D">
              <w:rPr>
                <w:szCs w:val="28"/>
              </w:rPr>
              <w:lastRenderedPageBreak/>
              <w:t>health and safety committees</w:t>
            </w:r>
          </w:p>
          <w:p w14:paraId="228DFF20" w14:textId="77777777" w:rsidR="00C82BC4" w:rsidRPr="00E8754D" w:rsidRDefault="00C82BC4" w:rsidP="00276542">
            <w:pPr>
              <w:spacing w:after="60"/>
              <w:rPr>
                <w:szCs w:val="28"/>
              </w:rPr>
            </w:pPr>
            <w:r w:rsidRPr="00E8754D">
              <w:rPr>
                <w:szCs w:val="28"/>
              </w:rPr>
              <w:t>403-2: Types of injury and rates of injury, occupational diseases, lost days, and absenteeism, and number of work-related fatalities</w:t>
            </w:r>
          </w:p>
          <w:p w14:paraId="3C813CA0" w14:textId="77777777" w:rsidR="00C82BC4" w:rsidRPr="00E8754D" w:rsidRDefault="00C82BC4" w:rsidP="00276542">
            <w:pPr>
              <w:spacing w:after="60"/>
              <w:rPr>
                <w:szCs w:val="28"/>
              </w:rPr>
            </w:pPr>
            <w:r w:rsidRPr="00E8754D">
              <w:rPr>
                <w:szCs w:val="28"/>
              </w:rPr>
              <w:t>403-3: Workers with high incidence or high risk of disease fatalities</w:t>
            </w:r>
          </w:p>
          <w:p w14:paraId="44FFA356" w14:textId="77777777" w:rsidR="00C82BC4" w:rsidRPr="00E8754D" w:rsidRDefault="00C82BC4" w:rsidP="00276542">
            <w:pPr>
              <w:spacing w:after="60"/>
              <w:rPr>
                <w:szCs w:val="28"/>
              </w:rPr>
            </w:pPr>
            <w:r w:rsidRPr="00E8754D">
              <w:rPr>
                <w:szCs w:val="28"/>
              </w:rPr>
              <w:t>403-4: Health and safety topics covered in formal agreements with trade unions</w:t>
            </w:r>
          </w:p>
        </w:tc>
        <w:tc>
          <w:tcPr>
            <w:tcW w:w="2142" w:type="dxa"/>
            <w:gridSpan w:val="2"/>
          </w:tcPr>
          <w:p w14:paraId="1E29F296" w14:textId="77777777" w:rsidR="00C82BC4" w:rsidRPr="00E8754D" w:rsidRDefault="00C82BC4" w:rsidP="00276542">
            <w:pPr>
              <w:spacing w:after="60"/>
              <w:ind w:left="54"/>
              <w:rPr>
                <w:szCs w:val="28"/>
              </w:rPr>
            </w:pPr>
            <w:r w:rsidRPr="00E8754D">
              <w:rPr>
                <w:szCs w:val="28"/>
              </w:rPr>
              <w:lastRenderedPageBreak/>
              <w:t>Employee Health &amp; Safety Management</w:t>
            </w:r>
          </w:p>
        </w:tc>
      </w:tr>
      <w:tr w:rsidR="00C82BC4" w:rsidRPr="00E8754D" w14:paraId="7DA9A3CE" w14:textId="77777777" w:rsidTr="00276542">
        <w:trPr>
          <w:cnfStyle w:val="000000010000" w:firstRow="0" w:lastRow="0" w:firstColumn="0" w:lastColumn="0" w:oddVBand="0" w:evenVBand="0" w:oddHBand="0" w:evenHBand="1" w:firstRowFirstColumn="0" w:firstRowLastColumn="0" w:lastRowFirstColumn="0" w:lastRowLastColumn="0"/>
        </w:trPr>
        <w:tc>
          <w:tcPr>
            <w:tcW w:w="1237" w:type="dxa"/>
            <w:gridSpan w:val="2"/>
            <w:vMerge/>
            <w:shd w:val="clear" w:color="auto" w:fill="auto"/>
          </w:tcPr>
          <w:p w14:paraId="65236C8C" w14:textId="77777777" w:rsidR="00C82BC4" w:rsidRPr="00E8754D" w:rsidRDefault="00C82BC4" w:rsidP="00276542">
            <w:pPr>
              <w:spacing w:after="60"/>
              <w:ind w:left="54"/>
              <w:rPr>
                <w:szCs w:val="28"/>
              </w:rPr>
            </w:pPr>
          </w:p>
        </w:tc>
        <w:tc>
          <w:tcPr>
            <w:tcW w:w="1703" w:type="dxa"/>
            <w:shd w:val="clear" w:color="auto" w:fill="FFFFFF" w:themeFill="background1"/>
          </w:tcPr>
          <w:p w14:paraId="1B0823F5" w14:textId="77777777" w:rsidR="00C82BC4" w:rsidRPr="00E8754D" w:rsidRDefault="00C82BC4" w:rsidP="00C82BC4">
            <w:pPr>
              <w:numPr>
                <w:ilvl w:val="0"/>
                <w:numId w:val="7"/>
              </w:numPr>
              <w:spacing w:after="60"/>
              <w:rPr>
                <w:szCs w:val="28"/>
              </w:rPr>
            </w:pPr>
            <w:r w:rsidRPr="00E8754D">
              <w:rPr>
                <w:color w:val="auto"/>
                <w:szCs w:val="28"/>
              </w:rPr>
              <w:t>Total number of employees, by contract type and gender</w:t>
            </w:r>
          </w:p>
        </w:tc>
        <w:tc>
          <w:tcPr>
            <w:tcW w:w="1658" w:type="dxa"/>
            <w:gridSpan w:val="3"/>
            <w:shd w:val="clear" w:color="auto" w:fill="FFFFFF" w:themeFill="background1"/>
          </w:tcPr>
          <w:p w14:paraId="22583377" w14:textId="77777777" w:rsidR="00C82BC4" w:rsidRPr="00E8754D" w:rsidRDefault="00C82BC4" w:rsidP="00276542">
            <w:pPr>
              <w:spacing w:after="60"/>
              <w:rPr>
                <w:b/>
                <w:color w:val="auto"/>
                <w:szCs w:val="28"/>
              </w:rPr>
            </w:pPr>
            <w:r w:rsidRPr="00E8754D">
              <w:rPr>
                <w:b/>
                <w:color w:val="auto"/>
                <w:szCs w:val="28"/>
              </w:rPr>
              <w:t xml:space="preserve">C.1 Gender equality </w:t>
            </w:r>
          </w:p>
          <w:p w14:paraId="2CBB1E52" w14:textId="77777777" w:rsidR="00C82BC4" w:rsidRPr="00E8754D" w:rsidRDefault="00C82BC4" w:rsidP="00276542">
            <w:pPr>
              <w:spacing w:after="60"/>
              <w:rPr>
                <w:szCs w:val="28"/>
              </w:rPr>
            </w:pPr>
            <w:r w:rsidRPr="00E8754D">
              <w:rPr>
                <w:color w:val="auto"/>
                <w:szCs w:val="28"/>
              </w:rPr>
              <w:t>C.1.1. Proportion of women in managerial positions</w:t>
            </w:r>
          </w:p>
        </w:tc>
        <w:tc>
          <w:tcPr>
            <w:tcW w:w="1965" w:type="dxa"/>
            <w:gridSpan w:val="2"/>
            <w:shd w:val="clear" w:color="auto" w:fill="FFFFFF" w:themeFill="background1"/>
          </w:tcPr>
          <w:p w14:paraId="2186EB36" w14:textId="77777777" w:rsidR="00C82BC4" w:rsidRPr="00E8754D" w:rsidRDefault="00C82BC4" w:rsidP="00276542">
            <w:pPr>
              <w:spacing w:after="60"/>
              <w:rPr>
                <w:b/>
                <w:szCs w:val="28"/>
              </w:rPr>
            </w:pPr>
          </w:p>
        </w:tc>
        <w:tc>
          <w:tcPr>
            <w:tcW w:w="1364" w:type="dxa"/>
            <w:shd w:val="clear" w:color="auto" w:fill="FFFFFF" w:themeFill="background1"/>
          </w:tcPr>
          <w:p w14:paraId="4FFA2BAA" w14:textId="77777777" w:rsidR="00C82BC4" w:rsidRPr="00E8754D" w:rsidRDefault="00C82BC4" w:rsidP="00276542">
            <w:pPr>
              <w:spacing w:after="60"/>
              <w:rPr>
                <w:b/>
                <w:szCs w:val="28"/>
              </w:rPr>
            </w:pPr>
          </w:p>
        </w:tc>
        <w:tc>
          <w:tcPr>
            <w:tcW w:w="1835" w:type="dxa"/>
            <w:gridSpan w:val="2"/>
            <w:shd w:val="clear" w:color="auto" w:fill="FFFFFF" w:themeFill="background1"/>
          </w:tcPr>
          <w:p w14:paraId="4B6A09AD" w14:textId="77777777" w:rsidR="00C82BC4" w:rsidRPr="00E8754D" w:rsidRDefault="00C82BC4" w:rsidP="00276542">
            <w:pPr>
              <w:spacing w:after="60"/>
              <w:rPr>
                <w:b/>
                <w:szCs w:val="28"/>
              </w:rPr>
            </w:pPr>
            <w:r w:rsidRPr="00E8754D">
              <w:rPr>
                <w:b/>
                <w:szCs w:val="28"/>
              </w:rPr>
              <w:t>405-2: Ratio of basic salary and remuneration of women to men</w:t>
            </w:r>
          </w:p>
          <w:p w14:paraId="3E02016C" w14:textId="77777777" w:rsidR="00C82BC4" w:rsidRPr="00E8754D" w:rsidRDefault="00C82BC4" w:rsidP="00276542">
            <w:pPr>
              <w:spacing w:after="60"/>
              <w:rPr>
                <w:b/>
                <w:color w:val="auto"/>
                <w:szCs w:val="28"/>
              </w:rPr>
            </w:pPr>
            <w:r w:rsidRPr="00E8754D">
              <w:rPr>
                <w:b/>
                <w:color w:val="auto"/>
                <w:szCs w:val="28"/>
              </w:rPr>
              <w:t xml:space="preserve">102-8: </w:t>
            </w:r>
            <w:r w:rsidRPr="00E8754D">
              <w:rPr>
                <w:b/>
                <w:szCs w:val="28"/>
              </w:rPr>
              <w:t>Information on employees and other workers</w:t>
            </w:r>
          </w:p>
          <w:p w14:paraId="6DFD6253" w14:textId="77777777" w:rsidR="00C82BC4" w:rsidRPr="00E8754D" w:rsidRDefault="00C82BC4" w:rsidP="00276542">
            <w:pPr>
              <w:spacing w:after="60"/>
              <w:rPr>
                <w:color w:val="auto"/>
                <w:szCs w:val="28"/>
              </w:rPr>
            </w:pPr>
            <w:r w:rsidRPr="00E8754D">
              <w:rPr>
                <w:color w:val="auto"/>
                <w:szCs w:val="28"/>
              </w:rPr>
              <w:t>a. Total number of employees by employment contract (permanent and temporary), by gender.</w:t>
            </w:r>
          </w:p>
          <w:p w14:paraId="2CB1FF0B" w14:textId="77777777" w:rsidR="00C82BC4" w:rsidRPr="00E8754D" w:rsidRDefault="00C82BC4" w:rsidP="00276542">
            <w:pPr>
              <w:spacing w:after="60"/>
              <w:rPr>
                <w:color w:val="auto"/>
                <w:szCs w:val="28"/>
              </w:rPr>
            </w:pPr>
            <w:r w:rsidRPr="00E8754D">
              <w:rPr>
                <w:color w:val="auto"/>
                <w:szCs w:val="28"/>
              </w:rPr>
              <w:t>b. Total number of employees by employment contract (permanent and temporary), by region.</w:t>
            </w:r>
          </w:p>
          <w:p w14:paraId="43920A42" w14:textId="77777777" w:rsidR="00C82BC4" w:rsidRPr="00E8754D" w:rsidRDefault="00C82BC4" w:rsidP="00276542">
            <w:pPr>
              <w:spacing w:after="60"/>
              <w:rPr>
                <w:color w:val="auto"/>
                <w:szCs w:val="28"/>
              </w:rPr>
            </w:pPr>
            <w:r w:rsidRPr="00E8754D">
              <w:rPr>
                <w:color w:val="auto"/>
                <w:szCs w:val="28"/>
              </w:rPr>
              <w:t>c. Total number of employees by employment type (full-</w:t>
            </w:r>
            <w:r w:rsidRPr="00E8754D">
              <w:rPr>
                <w:color w:val="auto"/>
                <w:szCs w:val="28"/>
              </w:rPr>
              <w:lastRenderedPageBreak/>
              <w:t>time and part-time), by gender</w:t>
            </w:r>
          </w:p>
          <w:p w14:paraId="54A067D5" w14:textId="77777777" w:rsidR="00C82BC4" w:rsidRPr="00E8754D" w:rsidRDefault="00C82BC4" w:rsidP="00276542">
            <w:pPr>
              <w:spacing w:after="60"/>
              <w:rPr>
                <w:szCs w:val="28"/>
              </w:rPr>
            </w:pPr>
            <w:r w:rsidRPr="00E8754D">
              <w:rPr>
                <w:color w:val="auto"/>
                <w:szCs w:val="28"/>
              </w:rPr>
              <w:t>d. Whether a significant portion of the organisation’s activities are performed by workers who are not employees. If applicable, a description of the nature and scale of work performed by workers who are not employees</w:t>
            </w:r>
          </w:p>
          <w:p w14:paraId="28BC38C3" w14:textId="77777777" w:rsidR="00C82BC4" w:rsidRPr="00E8754D" w:rsidRDefault="00C82BC4" w:rsidP="00276542">
            <w:pPr>
              <w:spacing w:after="60"/>
              <w:rPr>
                <w:b/>
                <w:szCs w:val="28"/>
              </w:rPr>
            </w:pPr>
            <w:r w:rsidRPr="00E8754D">
              <w:rPr>
                <w:b/>
                <w:szCs w:val="28"/>
              </w:rPr>
              <w:t>202-1 Ratios of standard entry level wage by gender compared to local minimum wage</w:t>
            </w:r>
          </w:p>
          <w:p w14:paraId="57DA5745" w14:textId="77777777" w:rsidR="00C82BC4" w:rsidRPr="00E8754D" w:rsidRDefault="00C82BC4" w:rsidP="00276542">
            <w:pPr>
              <w:spacing w:after="60"/>
              <w:rPr>
                <w:b/>
                <w:szCs w:val="28"/>
              </w:rPr>
            </w:pPr>
            <w:r w:rsidRPr="00E8754D">
              <w:rPr>
                <w:b/>
                <w:szCs w:val="28"/>
              </w:rPr>
              <w:t>202-2 proportion of senior management hired from the local community</w:t>
            </w:r>
          </w:p>
        </w:tc>
        <w:tc>
          <w:tcPr>
            <w:tcW w:w="2142" w:type="dxa"/>
            <w:gridSpan w:val="2"/>
            <w:shd w:val="clear" w:color="auto" w:fill="FFFFFF" w:themeFill="background1"/>
          </w:tcPr>
          <w:p w14:paraId="6E52E860" w14:textId="77777777" w:rsidR="00C82BC4" w:rsidRPr="00E8754D" w:rsidRDefault="00C82BC4" w:rsidP="00276542">
            <w:pPr>
              <w:spacing w:after="60"/>
              <w:ind w:left="54"/>
              <w:rPr>
                <w:szCs w:val="28"/>
              </w:rPr>
            </w:pPr>
          </w:p>
        </w:tc>
      </w:tr>
      <w:tr w:rsidR="00C82BC4" w:rsidRPr="00E8754D" w14:paraId="54C1FB7D" w14:textId="77777777" w:rsidTr="00276542">
        <w:tc>
          <w:tcPr>
            <w:tcW w:w="1237" w:type="dxa"/>
            <w:gridSpan w:val="2"/>
            <w:vMerge/>
            <w:shd w:val="clear" w:color="auto" w:fill="auto"/>
          </w:tcPr>
          <w:p w14:paraId="6FFE1CA1" w14:textId="77777777" w:rsidR="00C82BC4" w:rsidRPr="00E8754D" w:rsidRDefault="00C82BC4" w:rsidP="00276542">
            <w:pPr>
              <w:spacing w:after="60"/>
              <w:rPr>
                <w:b/>
                <w:szCs w:val="28"/>
              </w:rPr>
            </w:pPr>
          </w:p>
        </w:tc>
        <w:tc>
          <w:tcPr>
            <w:tcW w:w="1703" w:type="dxa"/>
            <w:shd w:val="clear" w:color="auto" w:fill="auto"/>
          </w:tcPr>
          <w:p w14:paraId="029D4401" w14:textId="77777777" w:rsidR="00C82BC4" w:rsidRPr="00E8754D" w:rsidRDefault="00C82BC4" w:rsidP="00C82BC4">
            <w:pPr>
              <w:numPr>
                <w:ilvl w:val="0"/>
                <w:numId w:val="7"/>
              </w:numPr>
              <w:spacing w:after="60"/>
              <w:rPr>
                <w:szCs w:val="28"/>
              </w:rPr>
            </w:pPr>
            <w:r w:rsidRPr="00E8754D">
              <w:rPr>
                <w:szCs w:val="28"/>
              </w:rPr>
              <w:t>Employee training</w:t>
            </w:r>
          </w:p>
        </w:tc>
        <w:tc>
          <w:tcPr>
            <w:tcW w:w="1658" w:type="dxa"/>
            <w:gridSpan w:val="3"/>
          </w:tcPr>
          <w:p w14:paraId="6646830C" w14:textId="77777777" w:rsidR="00C82BC4" w:rsidRPr="00E8754D" w:rsidRDefault="00C82BC4" w:rsidP="00276542">
            <w:pPr>
              <w:spacing w:after="60"/>
              <w:rPr>
                <w:b/>
                <w:szCs w:val="28"/>
              </w:rPr>
            </w:pPr>
            <w:r w:rsidRPr="00E8754D">
              <w:rPr>
                <w:b/>
                <w:szCs w:val="28"/>
              </w:rPr>
              <w:t xml:space="preserve">C.2 Human capital </w:t>
            </w:r>
          </w:p>
          <w:p w14:paraId="3A1E5567" w14:textId="77777777" w:rsidR="00C82BC4" w:rsidRPr="00E8754D" w:rsidRDefault="00C82BC4" w:rsidP="00276542">
            <w:pPr>
              <w:spacing w:after="60"/>
              <w:rPr>
                <w:color w:val="000000"/>
                <w:szCs w:val="28"/>
              </w:rPr>
            </w:pPr>
            <w:r w:rsidRPr="00E8754D">
              <w:rPr>
                <w:color w:val="000000"/>
                <w:szCs w:val="28"/>
              </w:rPr>
              <w:t>C.2.1. Average hours of training per year per employee</w:t>
            </w:r>
          </w:p>
          <w:p w14:paraId="38BF2C6E" w14:textId="77777777" w:rsidR="00C82BC4" w:rsidRPr="00E8754D" w:rsidRDefault="00C82BC4" w:rsidP="00276542">
            <w:pPr>
              <w:spacing w:after="60"/>
              <w:rPr>
                <w:szCs w:val="28"/>
              </w:rPr>
            </w:pPr>
            <w:r w:rsidRPr="00E8754D">
              <w:rPr>
                <w:color w:val="000000"/>
                <w:szCs w:val="28"/>
              </w:rPr>
              <w:t>C.2.2: Expenditure on employee training per year per employee</w:t>
            </w:r>
            <w:r w:rsidRPr="00E8754D">
              <w:rPr>
                <w:szCs w:val="28"/>
              </w:rPr>
              <w:t xml:space="preserve"> </w:t>
            </w:r>
          </w:p>
          <w:p w14:paraId="191853E7" w14:textId="77777777" w:rsidR="00C82BC4" w:rsidRPr="00E8754D" w:rsidRDefault="00C82BC4" w:rsidP="00276542">
            <w:pPr>
              <w:spacing w:after="60"/>
              <w:rPr>
                <w:szCs w:val="28"/>
              </w:rPr>
            </w:pPr>
            <w:r w:rsidRPr="00E8754D">
              <w:rPr>
                <w:szCs w:val="28"/>
              </w:rPr>
              <w:t>C.2.3. Employee wages and benefits as a proportion of revenue, with breakdown by employment type and gender</w:t>
            </w:r>
          </w:p>
        </w:tc>
        <w:tc>
          <w:tcPr>
            <w:tcW w:w="1965" w:type="dxa"/>
            <w:gridSpan w:val="2"/>
          </w:tcPr>
          <w:p w14:paraId="55577386" w14:textId="77777777" w:rsidR="00C82BC4" w:rsidRPr="00E8754D" w:rsidRDefault="00C82BC4" w:rsidP="00276542">
            <w:pPr>
              <w:spacing w:after="60"/>
              <w:rPr>
                <w:b/>
                <w:szCs w:val="28"/>
              </w:rPr>
            </w:pPr>
            <w:r w:rsidRPr="00E8754D">
              <w:rPr>
                <w:rFonts w:asciiTheme="majorBidi" w:eastAsia="SimSun" w:hAnsiTheme="majorBidi" w:cstheme="majorBidi"/>
                <w:color w:val="000000"/>
                <w:sz w:val="14"/>
                <w:szCs w:val="14"/>
              </w:rPr>
              <w:t xml:space="preserve"> </w:t>
            </w:r>
          </w:p>
        </w:tc>
        <w:tc>
          <w:tcPr>
            <w:tcW w:w="1364" w:type="dxa"/>
          </w:tcPr>
          <w:p w14:paraId="16F7B4C6" w14:textId="77777777" w:rsidR="00C82BC4" w:rsidRPr="00E8754D" w:rsidRDefault="00C82BC4" w:rsidP="00276542">
            <w:pPr>
              <w:spacing w:after="60"/>
              <w:rPr>
                <w:b/>
                <w:szCs w:val="28"/>
              </w:rPr>
            </w:pPr>
          </w:p>
        </w:tc>
        <w:tc>
          <w:tcPr>
            <w:tcW w:w="1835" w:type="dxa"/>
            <w:gridSpan w:val="2"/>
            <w:shd w:val="clear" w:color="auto" w:fill="auto"/>
          </w:tcPr>
          <w:p w14:paraId="37DEC248" w14:textId="77777777" w:rsidR="00C82BC4" w:rsidRPr="00E8754D" w:rsidRDefault="00C82BC4" w:rsidP="00276542">
            <w:pPr>
              <w:spacing w:after="60"/>
              <w:rPr>
                <w:b/>
                <w:szCs w:val="28"/>
              </w:rPr>
            </w:pPr>
            <w:r w:rsidRPr="00E8754D">
              <w:rPr>
                <w:b/>
                <w:szCs w:val="28"/>
              </w:rPr>
              <w:t>404: Training and education</w:t>
            </w:r>
          </w:p>
          <w:p w14:paraId="77D02064" w14:textId="77777777" w:rsidR="00C82BC4" w:rsidRPr="00E8754D" w:rsidRDefault="00C82BC4" w:rsidP="00276542">
            <w:pPr>
              <w:spacing w:after="60"/>
              <w:rPr>
                <w:szCs w:val="28"/>
              </w:rPr>
            </w:pPr>
            <w:r w:rsidRPr="00E8754D">
              <w:rPr>
                <w:szCs w:val="28"/>
              </w:rPr>
              <w:t>404-1: Average hours of training per year per employee</w:t>
            </w:r>
          </w:p>
          <w:p w14:paraId="06778D2D" w14:textId="77777777" w:rsidR="00C82BC4" w:rsidRPr="00E8754D" w:rsidRDefault="00C82BC4" w:rsidP="00276542">
            <w:pPr>
              <w:spacing w:after="60"/>
              <w:rPr>
                <w:szCs w:val="28"/>
              </w:rPr>
            </w:pPr>
            <w:r w:rsidRPr="00E8754D">
              <w:rPr>
                <w:szCs w:val="28"/>
              </w:rPr>
              <w:t>404-2: Programs for upgrading employee skills and transition assistance programs</w:t>
            </w:r>
          </w:p>
          <w:p w14:paraId="336F99BE" w14:textId="77777777" w:rsidR="00C82BC4" w:rsidRPr="00E8754D" w:rsidRDefault="00C82BC4" w:rsidP="00276542">
            <w:pPr>
              <w:spacing w:after="60"/>
              <w:ind w:left="34"/>
              <w:rPr>
                <w:b/>
                <w:szCs w:val="28"/>
              </w:rPr>
            </w:pPr>
            <w:r w:rsidRPr="00E8754D">
              <w:rPr>
                <w:szCs w:val="28"/>
              </w:rPr>
              <w:t>404-3: Percentage of employees receiving regular performance and career development reviews</w:t>
            </w:r>
          </w:p>
        </w:tc>
        <w:tc>
          <w:tcPr>
            <w:tcW w:w="2142" w:type="dxa"/>
            <w:gridSpan w:val="2"/>
          </w:tcPr>
          <w:p w14:paraId="5B69CFCF" w14:textId="77777777" w:rsidR="00C82BC4" w:rsidRPr="00E8754D" w:rsidRDefault="00C82BC4" w:rsidP="00276542">
            <w:pPr>
              <w:spacing w:after="60"/>
              <w:rPr>
                <w:bCs/>
                <w:szCs w:val="28"/>
              </w:rPr>
            </w:pPr>
            <w:proofErr w:type="spellStart"/>
            <w:r w:rsidRPr="00E8754D">
              <w:rPr>
                <w:bCs/>
                <w:szCs w:val="28"/>
              </w:rPr>
              <w:t>Labor</w:t>
            </w:r>
            <w:proofErr w:type="spellEnd"/>
            <w:r w:rsidRPr="00E8754D">
              <w:rPr>
                <w:bCs/>
                <w:szCs w:val="28"/>
              </w:rPr>
              <w:t xml:space="preserve"> Practices and Compensation </w:t>
            </w:r>
            <w:r w:rsidRPr="00E8754D">
              <w:rPr>
                <w:rFonts w:ascii="MS Gothic" w:eastAsia="MS Gothic" w:hAnsi="MS Gothic" w:cs="MS Gothic"/>
                <w:bCs/>
                <w:szCs w:val="28"/>
              </w:rPr>
              <w:t> </w:t>
            </w:r>
          </w:p>
          <w:p w14:paraId="05562479" w14:textId="77777777" w:rsidR="00C82BC4" w:rsidRPr="00E8754D" w:rsidRDefault="00C82BC4" w:rsidP="00276542">
            <w:pPr>
              <w:spacing w:after="60"/>
              <w:rPr>
                <w:b/>
                <w:szCs w:val="28"/>
              </w:rPr>
            </w:pPr>
          </w:p>
        </w:tc>
      </w:tr>
      <w:tr w:rsidR="00C82BC4" w:rsidRPr="00E8754D" w14:paraId="06F232C5" w14:textId="77777777" w:rsidTr="00276542">
        <w:trPr>
          <w:cnfStyle w:val="000000010000" w:firstRow="0" w:lastRow="0" w:firstColumn="0" w:lastColumn="0" w:oddVBand="0" w:evenVBand="0" w:oddHBand="0" w:evenHBand="1" w:firstRowFirstColumn="0" w:firstRowLastColumn="0" w:lastRowFirstColumn="0" w:lastRowLastColumn="0"/>
        </w:trPr>
        <w:tc>
          <w:tcPr>
            <w:tcW w:w="1237" w:type="dxa"/>
            <w:gridSpan w:val="2"/>
            <w:vMerge/>
            <w:shd w:val="clear" w:color="auto" w:fill="auto"/>
          </w:tcPr>
          <w:p w14:paraId="30D9D9D4" w14:textId="77777777" w:rsidR="00C82BC4" w:rsidRPr="00E8754D" w:rsidRDefault="00C82BC4" w:rsidP="00276542">
            <w:pPr>
              <w:spacing w:after="60"/>
              <w:ind w:left="54"/>
              <w:rPr>
                <w:color w:val="auto"/>
                <w:szCs w:val="28"/>
              </w:rPr>
            </w:pPr>
          </w:p>
        </w:tc>
        <w:tc>
          <w:tcPr>
            <w:tcW w:w="1703" w:type="dxa"/>
            <w:shd w:val="clear" w:color="auto" w:fill="auto"/>
          </w:tcPr>
          <w:p w14:paraId="308677AD" w14:textId="77777777" w:rsidR="00C82BC4" w:rsidRPr="00E8754D" w:rsidRDefault="00C82BC4" w:rsidP="00C82BC4">
            <w:pPr>
              <w:numPr>
                <w:ilvl w:val="0"/>
                <w:numId w:val="7"/>
              </w:numPr>
              <w:spacing w:after="60"/>
              <w:rPr>
                <w:color w:val="auto"/>
                <w:szCs w:val="28"/>
              </w:rPr>
            </w:pPr>
            <w:r w:rsidRPr="00E8754D">
              <w:rPr>
                <w:color w:val="auto"/>
                <w:szCs w:val="28"/>
              </w:rPr>
              <w:t xml:space="preserve">Unfair and illegal labour practices and </w:t>
            </w:r>
            <w:r w:rsidRPr="00E8754D">
              <w:rPr>
                <w:color w:val="auto"/>
                <w:szCs w:val="28"/>
              </w:rPr>
              <w:lastRenderedPageBreak/>
              <w:t>other human rights considerations</w:t>
            </w:r>
          </w:p>
        </w:tc>
        <w:tc>
          <w:tcPr>
            <w:tcW w:w="1658" w:type="dxa"/>
            <w:gridSpan w:val="3"/>
          </w:tcPr>
          <w:p w14:paraId="31AA03A3" w14:textId="77777777" w:rsidR="00C82BC4" w:rsidRPr="00E8754D" w:rsidRDefault="00C82BC4" w:rsidP="00276542">
            <w:pPr>
              <w:spacing w:after="60"/>
              <w:rPr>
                <w:b/>
                <w:bCs/>
                <w:szCs w:val="28"/>
              </w:rPr>
            </w:pPr>
          </w:p>
        </w:tc>
        <w:tc>
          <w:tcPr>
            <w:tcW w:w="1965" w:type="dxa"/>
            <w:gridSpan w:val="2"/>
          </w:tcPr>
          <w:p w14:paraId="625A4B3F" w14:textId="77777777" w:rsidR="00C82BC4" w:rsidRPr="00E8754D" w:rsidRDefault="00C82BC4" w:rsidP="00276542">
            <w:pPr>
              <w:spacing w:after="60"/>
              <w:rPr>
                <w:b/>
                <w:bCs/>
                <w:szCs w:val="28"/>
              </w:rPr>
            </w:pPr>
          </w:p>
        </w:tc>
        <w:tc>
          <w:tcPr>
            <w:tcW w:w="1364" w:type="dxa"/>
          </w:tcPr>
          <w:p w14:paraId="3D059138" w14:textId="77777777" w:rsidR="00C82BC4" w:rsidRPr="00E8754D" w:rsidRDefault="00C82BC4" w:rsidP="00276542">
            <w:pPr>
              <w:spacing w:after="60"/>
              <w:rPr>
                <w:b/>
                <w:bCs/>
                <w:szCs w:val="28"/>
              </w:rPr>
            </w:pPr>
          </w:p>
        </w:tc>
        <w:tc>
          <w:tcPr>
            <w:tcW w:w="1835" w:type="dxa"/>
            <w:gridSpan w:val="2"/>
            <w:shd w:val="clear" w:color="auto" w:fill="auto"/>
          </w:tcPr>
          <w:p w14:paraId="19A0E950" w14:textId="77777777" w:rsidR="00C82BC4" w:rsidRPr="00E8754D" w:rsidRDefault="00C82BC4" w:rsidP="00276542">
            <w:pPr>
              <w:spacing w:after="60"/>
              <w:rPr>
                <w:szCs w:val="28"/>
              </w:rPr>
            </w:pPr>
            <w:r w:rsidRPr="00E8754D">
              <w:rPr>
                <w:b/>
                <w:bCs/>
                <w:szCs w:val="28"/>
              </w:rPr>
              <w:t>401: Employment</w:t>
            </w:r>
            <w:r w:rsidRPr="00E8754D">
              <w:rPr>
                <w:b/>
                <w:szCs w:val="28"/>
              </w:rPr>
              <w:br/>
            </w:r>
            <w:r w:rsidRPr="00E8754D">
              <w:rPr>
                <w:szCs w:val="28"/>
              </w:rPr>
              <w:t xml:space="preserve">401-1: New employee </w:t>
            </w:r>
            <w:r w:rsidRPr="00E8754D">
              <w:rPr>
                <w:szCs w:val="28"/>
              </w:rPr>
              <w:lastRenderedPageBreak/>
              <w:t>hires and employee turnover</w:t>
            </w:r>
          </w:p>
          <w:p w14:paraId="4D235EFB" w14:textId="77777777" w:rsidR="00C82BC4" w:rsidRPr="00E8754D" w:rsidRDefault="00C82BC4" w:rsidP="00276542">
            <w:pPr>
              <w:spacing w:after="60"/>
              <w:rPr>
                <w:szCs w:val="28"/>
              </w:rPr>
            </w:pPr>
            <w:r w:rsidRPr="00E8754D">
              <w:rPr>
                <w:szCs w:val="28"/>
              </w:rPr>
              <w:t>401-2: Benefits provided to full-time employees that are not provided to temporary or part time employees.</w:t>
            </w:r>
          </w:p>
          <w:p w14:paraId="60FF9082" w14:textId="77777777" w:rsidR="00C82BC4" w:rsidRPr="00E8754D" w:rsidRDefault="00C82BC4" w:rsidP="00276542">
            <w:pPr>
              <w:spacing w:after="60"/>
              <w:rPr>
                <w:szCs w:val="28"/>
              </w:rPr>
            </w:pPr>
            <w:r w:rsidRPr="00E8754D">
              <w:rPr>
                <w:szCs w:val="28"/>
              </w:rPr>
              <w:t>401-3 Parental leave</w:t>
            </w:r>
          </w:p>
          <w:p w14:paraId="4757B673" w14:textId="77777777" w:rsidR="00C82BC4" w:rsidRPr="00E8754D" w:rsidRDefault="00C82BC4" w:rsidP="00276542">
            <w:pPr>
              <w:spacing w:after="60"/>
              <w:rPr>
                <w:szCs w:val="28"/>
              </w:rPr>
            </w:pPr>
            <w:r w:rsidRPr="00E8754D">
              <w:rPr>
                <w:szCs w:val="28"/>
              </w:rPr>
              <w:t xml:space="preserve">403-1: Workers representation in formal joint management </w:t>
            </w:r>
          </w:p>
          <w:p w14:paraId="0AFF30D9" w14:textId="77777777" w:rsidR="00C82BC4" w:rsidRPr="00E8754D" w:rsidRDefault="00C82BC4" w:rsidP="00276542">
            <w:pPr>
              <w:spacing w:after="60"/>
              <w:rPr>
                <w:b/>
                <w:bCs/>
                <w:color w:val="auto"/>
                <w:szCs w:val="28"/>
              </w:rPr>
            </w:pPr>
            <w:r w:rsidRPr="00E8754D">
              <w:rPr>
                <w:b/>
                <w:bCs/>
                <w:color w:val="auto"/>
                <w:szCs w:val="28"/>
              </w:rPr>
              <w:t>402: Labour/management relations</w:t>
            </w:r>
          </w:p>
          <w:p w14:paraId="7B01AADA" w14:textId="77777777" w:rsidR="00C82BC4" w:rsidRPr="00E8754D" w:rsidRDefault="00C82BC4" w:rsidP="00276542">
            <w:pPr>
              <w:spacing w:after="60"/>
              <w:rPr>
                <w:color w:val="auto"/>
                <w:szCs w:val="28"/>
              </w:rPr>
            </w:pPr>
            <w:r w:rsidRPr="00E8754D">
              <w:rPr>
                <w:color w:val="auto"/>
                <w:szCs w:val="28"/>
              </w:rPr>
              <w:t xml:space="preserve">402-1: Minimum notice periods regarding operational charges </w:t>
            </w:r>
          </w:p>
          <w:p w14:paraId="0A046BFA" w14:textId="77777777" w:rsidR="00C82BC4" w:rsidRPr="00E8754D" w:rsidRDefault="00C82BC4" w:rsidP="00276542">
            <w:pPr>
              <w:spacing w:after="60"/>
              <w:rPr>
                <w:b/>
                <w:color w:val="auto"/>
                <w:szCs w:val="28"/>
              </w:rPr>
            </w:pPr>
            <w:r w:rsidRPr="00E8754D">
              <w:rPr>
                <w:b/>
                <w:color w:val="auto"/>
                <w:szCs w:val="28"/>
              </w:rPr>
              <w:t>408: Child labour</w:t>
            </w:r>
          </w:p>
          <w:p w14:paraId="66AF162F" w14:textId="77777777" w:rsidR="00C82BC4" w:rsidRPr="00E8754D" w:rsidRDefault="00C82BC4" w:rsidP="00276542">
            <w:pPr>
              <w:spacing w:after="60"/>
              <w:rPr>
                <w:color w:val="auto"/>
                <w:szCs w:val="28"/>
              </w:rPr>
            </w:pPr>
            <w:r w:rsidRPr="00E8754D">
              <w:rPr>
                <w:color w:val="auto"/>
                <w:szCs w:val="28"/>
              </w:rPr>
              <w:t>408-1: Operations and suppliers at significant risk for incidents of child labour</w:t>
            </w:r>
          </w:p>
          <w:p w14:paraId="65F2E409" w14:textId="77777777" w:rsidR="00C82BC4" w:rsidRPr="00E8754D" w:rsidRDefault="00C82BC4" w:rsidP="00276542">
            <w:pPr>
              <w:spacing w:after="60"/>
              <w:rPr>
                <w:b/>
                <w:color w:val="auto"/>
                <w:szCs w:val="28"/>
              </w:rPr>
            </w:pPr>
            <w:r w:rsidRPr="00E8754D">
              <w:rPr>
                <w:b/>
                <w:color w:val="auto"/>
                <w:szCs w:val="28"/>
              </w:rPr>
              <w:t>409: Forced or compulsory labour</w:t>
            </w:r>
          </w:p>
          <w:p w14:paraId="32231ABE" w14:textId="77777777" w:rsidR="00C82BC4" w:rsidRPr="00E8754D" w:rsidRDefault="00C82BC4" w:rsidP="00276542">
            <w:pPr>
              <w:spacing w:after="60"/>
              <w:rPr>
                <w:color w:val="auto"/>
                <w:szCs w:val="28"/>
              </w:rPr>
            </w:pPr>
            <w:r w:rsidRPr="00E8754D">
              <w:rPr>
                <w:color w:val="auto"/>
                <w:szCs w:val="28"/>
              </w:rPr>
              <w:t>409-1: Operations and suppliers at significant risk for incidents of forced or compulsory labour'</w:t>
            </w:r>
          </w:p>
          <w:p w14:paraId="07C5ACF7" w14:textId="77777777" w:rsidR="00C82BC4" w:rsidRPr="00E8754D" w:rsidRDefault="00C82BC4" w:rsidP="00276542">
            <w:pPr>
              <w:spacing w:after="60"/>
              <w:rPr>
                <w:b/>
                <w:color w:val="auto"/>
                <w:szCs w:val="28"/>
              </w:rPr>
            </w:pPr>
            <w:r w:rsidRPr="00E8754D">
              <w:rPr>
                <w:b/>
                <w:color w:val="auto"/>
                <w:szCs w:val="28"/>
              </w:rPr>
              <w:t>410: Security practices</w:t>
            </w:r>
          </w:p>
          <w:p w14:paraId="45892D36" w14:textId="77777777" w:rsidR="00C82BC4" w:rsidRPr="00E8754D" w:rsidRDefault="00C82BC4" w:rsidP="00276542">
            <w:pPr>
              <w:spacing w:after="60"/>
              <w:rPr>
                <w:color w:val="auto"/>
                <w:szCs w:val="28"/>
              </w:rPr>
            </w:pPr>
            <w:r w:rsidRPr="00E8754D">
              <w:rPr>
                <w:color w:val="auto"/>
                <w:szCs w:val="28"/>
              </w:rPr>
              <w:t>410-1: Security personnel trained in human rights policies or procedures</w:t>
            </w:r>
          </w:p>
          <w:p w14:paraId="3A985446" w14:textId="77777777" w:rsidR="00C82BC4" w:rsidRPr="00E8754D" w:rsidRDefault="00C82BC4" w:rsidP="00276542">
            <w:pPr>
              <w:spacing w:after="60"/>
              <w:rPr>
                <w:b/>
                <w:color w:val="auto"/>
                <w:szCs w:val="28"/>
              </w:rPr>
            </w:pPr>
            <w:r w:rsidRPr="00E8754D">
              <w:rPr>
                <w:b/>
                <w:color w:val="auto"/>
                <w:szCs w:val="28"/>
              </w:rPr>
              <w:lastRenderedPageBreak/>
              <w:t>411: Rights of indigenous peoples</w:t>
            </w:r>
          </w:p>
          <w:p w14:paraId="00E5CB3D" w14:textId="77777777" w:rsidR="00C82BC4" w:rsidRPr="00E8754D" w:rsidRDefault="00C82BC4" w:rsidP="00276542">
            <w:pPr>
              <w:spacing w:after="60"/>
              <w:rPr>
                <w:b/>
                <w:color w:val="auto"/>
                <w:szCs w:val="28"/>
              </w:rPr>
            </w:pPr>
            <w:r w:rsidRPr="00E8754D">
              <w:rPr>
                <w:color w:val="auto"/>
                <w:szCs w:val="28"/>
              </w:rPr>
              <w:t>411-1: Incidents of violations involving rights of indigenous peoples</w:t>
            </w:r>
            <w:r w:rsidRPr="00E8754D">
              <w:rPr>
                <w:b/>
                <w:color w:val="auto"/>
                <w:szCs w:val="28"/>
              </w:rPr>
              <w:t xml:space="preserve"> </w:t>
            </w:r>
          </w:p>
          <w:p w14:paraId="0AB2936B" w14:textId="77777777" w:rsidR="00C82BC4" w:rsidRPr="00E8754D" w:rsidRDefault="00C82BC4" w:rsidP="00276542">
            <w:pPr>
              <w:spacing w:after="60"/>
              <w:rPr>
                <w:b/>
                <w:color w:val="auto"/>
                <w:szCs w:val="28"/>
              </w:rPr>
            </w:pPr>
            <w:r w:rsidRPr="00E8754D">
              <w:rPr>
                <w:b/>
                <w:color w:val="auto"/>
                <w:szCs w:val="28"/>
              </w:rPr>
              <w:t>412:  Human rights assessment</w:t>
            </w:r>
          </w:p>
          <w:p w14:paraId="7FCE2272" w14:textId="77777777" w:rsidR="00C82BC4" w:rsidRPr="00E8754D" w:rsidRDefault="00C82BC4" w:rsidP="00276542">
            <w:pPr>
              <w:spacing w:after="60"/>
              <w:rPr>
                <w:color w:val="auto"/>
                <w:szCs w:val="28"/>
              </w:rPr>
            </w:pPr>
            <w:r w:rsidRPr="00E8754D">
              <w:rPr>
                <w:color w:val="auto"/>
                <w:szCs w:val="28"/>
              </w:rPr>
              <w:t>412-1: Operations that have subject to human rights reviews or impact assessments</w:t>
            </w:r>
          </w:p>
          <w:p w14:paraId="220C6C0F" w14:textId="77777777" w:rsidR="00C82BC4" w:rsidRPr="00E8754D" w:rsidRDefault="00C82BC4" w:rsidP="00276542">
            <w:pPr>
              <w:spacing w:after="60"/>
              <w:rPr>
                <w:color w:val="auto"/>
                <w:szCs w:val="28"/>
              </w:rPr>
            </w:pPr>
            <w:r w:rsidRPr="00E8754D">
              <w:rPr>
                <w:color w:val="auto"/>
                <w:szCs w:val="28"/>
              </w:rPr>
              <w:t>412-2: Employee training on human rights policies or procedures</w:t>
            </w:r>
          </w:p>
          <w:p w14:paraId="519A4840" w14:textId="77777777" w:rsidR="00C82BC4" w:rsidRPr="00E8754D" w:rsidRDefault="00C82BC4" w:rsidP="00276542">
            <w:pPr>
              <w:spacing w:after="60"/>
              <w:rPr>
                <w:color w:val="auto"/>
                <w:szCs w:val="28"/>
              </w:rPr>
            </w:pPr>
            <w:r w:rsidRPr="00E8754D">
              <w:rPr>
                <w:color w:val="auto"/>
                <w:szCs w:val="28"/>
              </w:rPr>
              <w:t>412-3: Significant investment agreements and contracts that include human rights clauses or that underwent human rights screening</w:t>
            </w:r>
          </w:p>
          <w:p w14:paraId="26D2A00F" w14:textId="77777777" w:rsidR="00C82BC4" w:rsidRPr="00E8754D" w:rsidRDefault="00C82BC4" w:rsidP="00276542">
            <w:pPr>
              <w:spacing w:after="60"/>
              <w:ind w:left="34"/>
              <w:rPr>
                <w:color w:val="auto"/>
                <w:szCs w:val="28"/>
              </w:rPr>
            </w:pPr>
          </w:p>
        </w:tc>
        <w:tc>
          <w:tcPr>
            <w:tcW w:w="2142" w:type="dxa"/>
            <w:gridSpan w:val="2"/>
          </w:tcPr>
          <w:p w14:paraId="79532CFF" w14:textId="77777777" w:rsidR="00C82BC4" w:rsidRPr="00E8754D" w:rsidRDefault="00C82BC4" w:rsidP="00276542">
            <w:pPr>
              <w:spacing w:after="60"/>
              <w:ind w:left="54"/>
              <w:rPr>
                <w:color w:val="auto"/>
                <w:szCs w:val="28"/>
              </w:rPr>
            </w:pPr>
            <w:r w:rsidRPr="00E8754D">
              <w:rPr>
                <w:bCs/>
                <w:color w:val="auto"/>
                <w:szCs w:val="28"/>
              </w:rPr>
              <w:lastRenderedPageBreak/>
              <w:t>Human rights</w:t>
            </w:r>
          </w:p>
        </w:tc>
      </w:tr>
      <w:tr w:rsidR="00C82BC4" w:rsidRPr="00E8754D" w14:paraId="68F994DB" w14:textId="77777777" w:rsidTr="00276542">
        <w:tc>
          <w:tcPr>
            <w:tcW w:w="1237" w:type="dxa"/>
            <w:gridSpan w:val="2"/>
            <w:vMerge/>
            <w:shd w:val="clear" w:color="auto" w:fill="auto"/>
          </w:tcPr>
          <w:p w14:paraId="1492540F" w14:textId="77777777" w:rsidR="00C82BC4" w:rsidRPr="00E8754D" w:rsidRDefault="00C82BC4" w:rsidP="00276542">
            <w:pPr>
              <w:spacing w:after="60"/>
              <w:ind w:left="54"/>
              <w:rPr>
                <w:szCs w:val="28"/>
              </w:rPr>
            </w:pPr>
          </w:p>
        </w:tc>
        <w:tc>
          <w:tcPr>
            <w:tcW w:w="1703" w:type="dxa"/>
            <w:shd w:val="clear" w:color="auto" w:fill="auto"/>
          </w:tcPr>
          <w:p w14:paraId="4CAF8888" w14:textId="77777777" w:rsidR="00C82BC4" w:rsidRPr="00E8754D" w:rsidRDefault="00C82BC4" w:rsidP="00C82BC4">
            <w:pPr>
              <w:numPr>
                <w:ilvl w:val="0"/>
                <w:numId w:val="7"/>
              </w:numPr>
              <w:spacing w:after="60"/>
              <w:rPr>
                <w:szCs w:val="28"/>
              </w:rPr>
            </w:pPr>
            <w:r w:rsidRPr="00E8754D">
              <w:rPr>
                <w:szCs w:val="28"/>
              </w:rPr>
              <w:t xml:space="preserve">Diversity, equal opportunity and discrimination </w:t>
            </w:r>
          </w:p>
        </w:tc>
        <w:tc>
          <w:tcPr>
            <w:tcW w:w="1658" w:type="dxa"/>
            <w:gridSpan w:val="3"/>
          </w:tcPr>
          <w:p w14:paraId="0515B562" w14:textId="77777777" w:rsidR="00C82BC4" w:rsidRPr="00E8754D" w:rsidRDefault="00C82BC4" w:rsidP="00276542">
            <w:pPr>
              <w:spacing w:after="60"/>
              <w:rPr>
                <w:b/>
                <w:szCs w:val="28"/>
              </w:rPr>
            </w:pPr>
          </w:p>
        </w:tc>
        <w:tc>
          <w:tcPr>
            <w:tcW w:w="1965" w:type="dxa"/>
            <w:gridSpan w:val="2"/>
          </w:tcPr>
          <w:p w14:paraId="2CDC1A43" w14:textId="77777777" w:rsidR="00C82BC4" w:rsidRPr="00E8754D" w:rsidRDefault="00C82BC4" w:rsidP="00276542">
            <w:pPr>
              <w:spacing w:after="60"/>
              <w:rPr>
                <w:b/>
                <w:szCs w:val="28"/>
              </w:rPr>
            </w:pPr>
            <w:r w:rsidRPr="00E8754D">
              <w:rPr>
                <w:szCs w:val="28"/>
              </w:rPr>
              <w:t>Principle 6: the elimination of discrimination in respect of employment and occupation.</w:t>
            </w:r>
          </w:p>
        </w:tc>
        <w:tc>
          <w:tcPr>
            <w:tcW w:w="1364" w:type="dxa"/>
          </w:tcPr>
          <w:p w14:paraId="12E855E2" w14:textId="77777777" w:rsidR="00C82BC4" w:rsidRPr="00E8754D" w:rsidRDefault="00C82BC4" w:rsidP="00276542">
            <w:pPr>
              <w:spacing w:after="60"/>
              <w:rPr>
                <w:b/>
                <w:szCs w:val="28"/>
              </w:rPr>
            </w:pPr>
          </w:p>
        </w:tc>
        <w:tc>
          <w:tcPr>
            <w:tcW w:w="1835" w:type="dxa"/>
            <w:gridSpan w:val="2"/>
            <w:shd w:val="clear" w:color="auto" w:fill="auto"/>
          </w:tcPr>
          <w:p w14:paraId="763374E6" w14:textId="77777777" w:rsidR="00C82BC4" w:rsidRPr="00E8754D" w:rsidRDefault="00C82BC4" w:rsidP="00276542">
            <w:pPr>
              <w:spacing w:after="60"/>
              <w:rPr>
                <w:b/>
                <w:szCs w:val="28"/>
              </w:rPr>
            </w:pPr>
            <w:r w:rsidRPr="00E8754D">
              <w:rPr>
                <w:b/>
                <w:szCs w:val="28"/>
              </w:rPr>
              <w:t>405: Diversity and equal opportunity</w:t>
            </w:r>
          </w:p>
          <w:p w14:paraId="2F18856E" w14:textId="77777777" w:rsidR="00C82BC4" w:rsidRPr="00E8754D" w:rsidRDefault="00C82BC4" w:rsidP="00276542">
            <w:pPr>
              <w:spacing w:after="60"/>
              <w:rPr>
                <w:szCs w:val="28"/>
              </w:rPr>
            </w:pPr>
            <w:r w:rsidRPr="00E8754D">
              <w:rPr>
                <w:szCs w:val="28"/>
              </w:rPr>
              <w:t>405-1: Diversity of governance bodies and employees</w:t>
            </w:r>
          </w:p>
          <w:p w14:paraId="5AC399C3" w14:textId="77777777" w:rsidR="00C82BC4" w:rsidRPr="00E8754D" w:rsidRDefault="00C82BC4" w:rsidP="00276542">
            <w:pPr>
              <w:spacing w:after="60"/>
              <w:rPr>
                <w:b/>
                <w:szCs w:val="28"/>
              </w:rPr>
            </w:pPr>
            <w:r w:rsidRPr="00E8754D">
              <w:rPr>
                <w:b/>
                <w:szCs w:val="28"/>
              </w:rPr>
              <w:t>406: Non-discrimination</w:t>
            </w:r>
          </w:p>
          <w:p w14:paraId="1CEEAEA6" w14:textId="77777777" w:rsidR="00C82BC4" w:rsidRPr="00E8754D" w:rsidRDefault="00C82BC4" w:rsidP="00276542">
            <w:pPr>
              <w:spacing w:after="60"/>
              <w:ind w:left="34"/>
              <w:rPr>
                <w:szCs w:val="28"/>
              </w:rPr>
            </w:pPr>
            <w:r w:rsidRPr="00E8754D">
              <w:rPr>
                <w:szCs w:val="28"/>
              </w:rPr>
              <w:t>406-1: Incidents of discrimination and corrective action taken</w:t>
            </w:r>
          </w:p>
        </w:tc>
        <w:tc>
          <w:tcPr>
            <w:tcW w:w="2142" w:type="dxa"/>
            <w:gridSpan w:val="2"/>
          </w:tcPr>
          <w:p w14:paraId="0BAEE3DC" w14:textId="77777777" w:rsidR="00C82BC4" w:rsidRPr="00E8754D" w:rsidRDefault="00C82BC4" w:rsidP="00276542">
            <w:pPr>
              <w:spacing w:after="0"/>
              <w:rPr>
                <w:szCs w:val="28"/>
              </w:rPr>
            </w:pPr>
            <w:r w:rsidRPr="00E8754D">
              <w:rPr>
                <w:szCs w:val="28"/>
              </w:rPr>
              <w:t xml:space="preserve">Employee Recruitment, Engagement, and Diversity </w:t>
            </w:r>
            <w:r w:rsidRPr="00E8754D">
              <w:rPr>
                <w:rFonts w:ascii="MS Gothic" w:eastAsia="MS Gothic" w:hAnsi="MS Gothic" w:cs="MS Gothic"/>
                <w:szCs w:val="28"/>
              </w:rPr>
              <w:t> </w:t>
            </w:r>
          </w:p>
          <w:p w14:paraId="4F682252" w14:textId="77777777" w:rsidR="00C82BC4" w:rsidRPr="00E8754D" w:rsidRDefault="00C82BC4" w:rsidP="00276542">
            <w:pPr>
              <w:spacing w:after="60"/>
              <w:rPr>
                <w:szCs w:val="28"/>
              </w:rPr>
            </w:pPr>
          </w:p>
        </w:tc>
      </w:tr>
      <w:tr w:rsidR="00C82BC4" w:rsidRPr="00E8754D" w14:paraId="7A8940DC" w14:textId="77777777" w:rsidTr="00276542">
        <w:trPr>
          <w:cnfStyle w:val="000000010000" w:firstRow="0" w:lastRow="0" w:firstColumn="0" w:lastColumn="0" w:oddVBand="0" w:evenVBand="0" w:oddHBand="0" w:evenHBand="1" w:firstRowFirstColumn="0" w:firstRowLastColumn="0" w:lastRowFirstColumn="0" w:lastRowLastColumn="0"/>
        </w:trPr>
        <w:tc>
          <w:tcPr>
            <w:tcW w:w="1237" w:type="dxa"/>
            <w:gridSpan w:val="2"/>
            <w:vMerge/>
            <w:shd w:val="clear" w:color="auto" w:fill="auto"/>
          </w:tcPr>
          <w:p w14:paraId="49D07312" w14:textId="77777777" w:rsidR="00C82BC4" w:rsidRPr="00E8754D" w:rsidRDefault="00C82BC4" w:rsidP="00276542">
            <w:pPr>
              <w:spacing w:after="60"/>
              <w:ind w:left="54"/>
              <w:rPr>
                <w:color w:val="auto"/>
                <w:szCs w:val="28"/>
              </w:rPr>
            </w:pPr>
          </w:p>
        </w:tc>
        <w:tc>
          <w:tcPr>
            <w:tcW w:w="1703" w:type="dxa"/>
            <w:shd w:val="clear" w:color="auto" w:fill="auto"/>
          </w:tcPr>
          <w:p w14:paraId="5CDB4763" w14:textId="77777777" w:rsidR="00C82BC4" w:rsidRPr="00E8754D" w:rsidRDefault="00C82BC4" w:rsidP="00C82BC4">
            <w:pPr>
              <w:numPr>
                <w:ilvl w:val="0"/>
                <w:numId w:val="7"/>
              </w:numPr>
              <w:spacing w:after="60"/>
              <w:rPr>
                <w:color w:val="auto"/>
                <w:szCs w:val="28"/>
              </w:rPr>
            </w:pPr>
            <w:proofErr w:type="spellStart"/>
            <w:r w:rsidRPr="00E8754D">
              <w:rPr>
                <w:color w:val="auto"/>
                <w:szCs w:val="28"/>
              </w:rPr>
              <w:t>Workers</w:t>
            </w:r>
            <w:proofErr w:type="spellEnd"/>
            <w:r w:rsidRPr="00E8754D">
              <w:rPr>
                <w:color w:val="auto"/>
                <w:szCs w:val="28"/>
              </w:rPr>
              <w:t xml:space="preserve"> rights and collective agreements</w:t>
            </w:r>
          </w:p>
        </w:tc>
        <w:tc>
          <w:tcPr>
            <w:tcW w:w="1658" w:type="dxa"/>
            <w:gridSpan w:val="3"/>
          </w:tcPr>
          <w:p w14:paraId="634E969A" w14:textId="77777777" w:rsidR="00C82BC4" w:rsidRPr="00E8754D" w:rsidRDefault="00C82BC4" w:rsidP="00276542">
            <w:pPr>
              <w:spacing w:after="60"/>
              <w:rPr>
                <w:b/>
                <w:color w:val="auto"/>
                <w:szCs w:val="28"/>
              </w:rPr>
            </w:pPr>
            <w:r w:rsidRPr="00E8754D">
              <w:rPr>
                <w:b/>
                <w:color w:val="auto"/>
                <w:szCs w:val="28"/>
              </w:rPr>
              <w:t xml:space="preserve">C.4 Collective agreements </w:t>
            </w:r>
          </w:p>
          <w:p w14:paraId="58F47287" w14:textId="77777777" w:rsidR="00C82BC4" w:rsidRPr="00E8754D" w:rsidRDefault="00C82BC4" w:rsidP="00276542">
            <w:pPr>
              <w:spacing w:after="60"/>
              <w:rPr>
                <w:b/>
                <w:szCs w:val="28"/>
              </w:rPr>
            </w:pPr>
            <w:r w:rsidRPr="00E8754D">
              <w:rPr>
                <w:color w:val="auto"/>
                <w:szCs w:val="28"/>
              </w:rPr>
              <w:lastRenderedPageBreak/>
              <w:t>C.4.1. Percentage of employees covered by collective agreements</w:t>
            </w:r>
          </w:p>
        </w:tc>
        <w:tc>
          <w:tcPr>
            <w:tcW w:w="1965" w:type="dxa"/>
            <w:gridSpan w:val="2"/>
          </w:tcPr>
          <w:p w14:paraId="34DA840E" w14:textId="77777777" w:rsidR="00C82BC4" w:rsidRPr="00E8754D" w:rsidRDefault="00C82BC4" w:rsidP="00276542">
            <w:pPr>
              <w:spacing w:after="60"/>
              <w:rPr>
                <w:b/>
                <w:color w:val="auto"/>
                <w:szCs w:val="28"/>
              </w:rPr>
            </w:pPr>
            <w:r w:rsidRPr="00E8754D">
              <w:rPr>
                <w:b/>
                <w:color w:val="auto"/>
                <w:szCs w:val="28"/>
              </w:rPr>
              <w:lastRenderedPageBreak/>
              <w:t xml:space="preserve">Principle 3: Businesses should uphold </w:t>
            </w:r>
            <w:r w:rsidRPr="00E8754D">
              <w:rPr>
                <w:b/>
                <w:color w:val="auto"/>
                <w:szCs w:val="28"/>
              </w:rPr>
              <w:lastRenderedPageBreak/>
              <w:t>the freedom of association and the effective recognition of the right to collective bargaining</w:t>
            </w:r>
          </w:p>
          <w:p w14:paraId="3E08CCDA" w14:textId="77777777" w:rsidR="00C82BC4" w:rsidRPr="00E8754D" w:rsidRDefault="00C82BC4" w:rsidP="00276542">
            <w:pPr>
              <w:spacing w:after="60"/>
              <w:rPr>
                <w:b/>
                <w:szCs w:val="28"/>
              </w:rPr>
            </w:pPr>
          </w:p>
        </w:tc>
        <w:tc>
          <w:tcPr>
            <w:tcW w:w="1364" w:type="dxa"/>
          </w:tcPr>
          <w:p w14:paraId="72A790C6" w14:textId="77777777" w:rsidR="00C82BC4" w:rsidRPr="00E8754D" w:rsidRDefault="00C82BC4" w:rsidP="00276542">
            <w:pPr>
              <w:spacing w:after="60"/>
              <w:rPr>
                <w:b/>
                <w:szCs w:val="28"/>
              </w:rPr>
            </w:pPr>
          </w:p>
        </w:tc>
        <w:tc>
          <w:tcPr>
            <w:tcW w:w="1835" w:type="dxa"/>
            <w:gridSpan w:val="2"/>
            <w:shd w:val="clear" w:color="auto" w:fill="auto"/>
          </w:tcPr>
          <w:p w14:paraId="2169E402" w14:textId="77777777" w:rsidR="00C82BC4" w:rsidRPr="00E8754D" w:rsidRDefault="00C82BC4" w:rsidP="00276542">
            <w:pPr>
              <w:spacing w:after="60"/>
              <w:rPr>
                <w:b/>
                <w:color w:val="auto"/>
                <w:szCs w:val="28"/>
              </w:rPr>
            </w:pPr>
            <w:r w:rsidRPr="00E8754D">
              <w:rPr>
                <w:b/>
                <w:color w:val="auto"/>
                <w:szCs w:val="28"/>
              </w:rPr>
              <w:t xml:space="preserve">407: Freedom of association and </w:t>
            </w:r>
            <w:r w:rsidRPr="00E8754D">
              <w:rPr>
                <w:b/>
                <w:color w:val="auto"/>
                <w:szCs w:val="28"/>
              </w:rPr>
              <w:lastRenderedPageBreak/>
              <w:t>collective bargaining</w:t>
            </w:r>
          </w:p>
          <w:p w14:paraId="765CDFBD" w14:textId="77777777" w:rsidR="00C82BC4" w:rsidRPr="00E8754D" w:rsidRDefault="00C82BC4" w:rsidP="00276542">
            <w:pPr>
              <w:spacing w:after="60"/>
              <w:ind w:left="34"/>
              <w:rPr>
                <w:color w:val="auto"/>
                <w:szCs w:val="28"/>
              </w:rPr>
            </w:pPr>
            <w:r w:rsidRPr="00E8754D">
              <w:rPr>
                <w:color w:val="auto"/>
                <w:szCs w:val="28"/>
              </w:rPr>
              <w:t>407-1: Operations and suppliers in which the right to freedom of association and collective bargaining may be at risk</w:t>
            </w:r>
          </w:p>
        </w:tc>
        <w:tc>
          <w:tcPr>
            <w:tcW w:w="2142" w:type="dxa"/>
            <w:gridSpan w:val="2"/>
          </w:tcPr>
          <w:p w14:paraId="64004CA5" w14:textId="77777777" w:rsidR="00C82BC4" w:rsidRPr="00E8754D" w:rsidRDefault="00C82BC4" w:rsidP="00276542">
            <w:pPr>
              <w:spacing w:after="60"/>
              <w:ind w:left="54"/>
              <w:rPr>
                <w:color w:val="auto"/>
                <w:szCs w:val="28"/>
              </w:rPr>
            </w:pPr>
          </w:p>
        </w:tc>
      </w:tr>
      <w:tr w:rsidR="00C82BC4" w:rsidRPr="00E8754D" w14:paraId="0476FE68" w14:textId="77777777" w:rsidTr="00276542">
        <w:tc>
          <w:tcPr>
            <w:tcW w:w="1153" w:type="dxa"/>
            <w:shd w:val="clear" w:color="auto" w:fill="0070C0"/>
          </w:tcPr>
          <w:p w14:paraId="7E8A3FD7" w14:textId="77777777" w:rsidR="00C82BC4" w:rsidRPr="00E8754D" w:rsidRDefault="00C82BC4" w:rsidP="00276542">
            <w:pPr>
              <w:spacing w:after="60"/>
              <w:ind w:left="54"/>
              <w:rPr>
                <w:bCs/>
                <w:szCs w:val="28"/>
              </w:rPr>
            </w:pPr>
            <w:bookmarkStart w:id="8" w:name="_Hlk531787765"/>
            <w:r w:rsidRPr="00E8754D">
              <w:rPr>
                <w:rFonts w:eastAsia="Calibri" w:cs="Calibri"/>
                <w:bCs/>
                <w:szCs w:val="18"/>
                <w:lang w:eastAsia="ja-JP"/>
              </w:rPr>
              <w:t>Level</w:t>
            </w:r>
          </w:p>
        </w:tc>
        <w:tc>
          <w:tcPr>
            <w:tcW w:w="1821" w:type="dxa"/>
            <w:gridSpan w:val="3"/>
            <w:shd w:val="clear" w:color="auto" w:fill="0070C0"/>
          </w:tcPr>
          <w:p w14:paraId="18C00821" w14:textId="77777777" w:rsidR="00C82BC4" w:rsidRPr="00E8754D" w:rsidRDefault="00C82BC4" w:rsidP="00276542">
            <w:pPr>
              <w:spacing w:after="60"/>
              <w:ind w:left="54"/>
              <w:rPr>
                <w:bCs/>
                <w:szCs w:val="28"/>
              </w:rPr>
            </w:pPr>
            <w:r w:rsidRPr="00E8754D">
              <w:rPr>
                <w:rFonts w:eastAsia="Calibri" w:cs="Calibri"/>
                <w:bCs/>
                <w:szCs w:val="18"/>
                <w:lang w:eastAsia="ja-JP"/>
              </w:rPr>
              <w:t>Disclosure for indicator 12.6.1</w:t>
            </w:r>
          </w:p>
        </w:tc>
        <w:tc>
          <w:tcPr>
            <w:tcW w:w="1559" w:type="dxa"/>
            <w:shd w:val="clear" w:color="auto" w:fill="0070C0"/>
          </w:tcPr>
          <w:p w14:paraId="1A04988E" w14:textId="77777777" w:rsidR="00C82BC4" w:rsidRPr="00E8754D" w:rsidRDefault="00C82BC4" w:rsidP="00276542">
            <w:pPr>
              <w:spacing w:after="0"/>
            </w:pPr>
            <w:r w:rsidRPr="00E8754D">
              <w:rPr>
                <w:rFonts w:eastAsia="Calibri" w:cs="Calibri"/>
                <w:bCs/>
                <w:szCs w:val="18"/>
                <w:lang w:eastAsia="ja-JP"/>
              </w:rPr>
              <w:t>UNCTAD Core indicators towards reporting on the SDGs</w:t>
            </w:r>
          </w:p>
        </w:tc>
        <w:tc>
          <w:tcPr>
            <w:tcW w:w="1985" w:type="dxa"/>
            <w:gridSpan w:val="2"/>
            <w:shd w:val="clear" w:color="auto" w:fill="0070C0"/>
          </w:tcPr>
          <w:p w14:paraId="3D5D4CC3" w14:textId="77777777" w:rsidR="00C82BC4" w:rsidRPr="00E8754D" w:rsidRDefault="00C82BC4" w:rsidP="00276542">
            <w:pPr>
              <w:spacing w:after="0"/>
              <w:rPr>
                <w:rFonts w:eastAsia="Calibri" w:cs="Calibri"/>
                <w:bCs/>
                <w:szCs w:val="18"/>
                <w:lang w:eastAsia="ja-JP"/>
              </w:rPr>
            </w:pPr>
            <w:r w:rsidRPr="00E8754D">
              <w:rPr>
                <w:rFonts w:eastAsia="Calibri" w:cs="Calibri"/>
                <w:bCs/>
                <w:szCs w:val="18"/>
                <w:lang w:eastAsia="ja-JP"/>
              </w:rPr>
              <w:t>UNGC Principles</w:t>
            </w:r>
          </w:p>
        </w:tc>
        <w:tc>
          <w:tcPr>
            <w:tcW w:w="1417" w:type="dxa"/>
            <w:gridSpan w:val="3"/>
            <w:shd w:val="clear" w:color="auto" w:fill="0070C0"/>
          </w:tcPr>
          <w:p w14:paraId="3F56B220" w14:textId="77777777" w:rsidR="00C82BC4" w:rsidRPr="00E8754D" w:rsidRDefault="00C82BC4" w:rsidP="00276542">
            <w:pPr>
              <w:spacing w:after="0"/>
            </w:pPr>
            <w:r w:rsidRPr="00E8754D">
              <w:rPr>
                <w:rFonts w:eastAsia="Calibri" w:cs="Calibri"/>
                <w:bCs/>
                <w:szCs w:val="18"/>
                <w:lang w:eastAsia="ja-JP"/>
              </w:rPr>
              <w:t>IIRC</w:t>
            </w:r>
          </w:p>
        </w:tc>
        <w:tc>
          <w:tcPr>
            <w:tcW w:w="1843" w:type="dxa"/>
            <w:gridSpan w:val="2"/>
            <w:shd w:val="clear" w:color="auto" w:fill="0070C0"/>
          </w:tcPr>
          <w:p w14:paraId="7BFC54EE" w14:textId="77777777" w:rsidR="00C82BC4" w:rsidRPr="00E8754D" w:rsidRDefault="00C82BC4" w:rsidP="00276542">
            <w:pPr>
              <w:spacing w:after="0"/>
            </w:pPr>
            <w:r w:rsidRPr="00E8754D">
              <w:rPr>
                <w:rFonts w:eastAsia="Calibri" w:cs="Calibri"/>
                <w:bCs/>
                <w:szCs w:val="18"/>
                <w:lang w:eastAsia="ja-JP"/>
              </w:rPr>
              <w:t>GRI</w:t>
            </w:r>
          </w:p>
        </w:tc>
        <w:tc>
          <w:tcPr>
            <w:tcW w:w="2126" w:type="dxa"/>
            <w:shd w:val="clear" w:color="auto" w:fill="0070C0"/>
          </w:tcPr>
          <w:p w14:paraId="1A533077" w14:textId="77777777" w:rsidR="00C82BC4" w:rsidRPr="00E8754D" w:rsidRDefault="00C82BC4" w:rsidP="00276542">
            <w:pPr>
              <w:spacing w:after="0"/>
            </w:pPr>
            <w:r w:rsidRPr="00E8754D">
              <w:rPr>
                <w:rFonts w:eastAsia="Calibri" w:cs="Calibri"/>
                <w:bCs/>
                <w:szCs w:val="18"/>
                <w:lang w:eastAsia="ja-JP"/>
              </w:rPr>
              <w:t>SASB Sector Specific Frameworks</w:t>
            </w:r>
          </w:p>
        </w:tc>
      </w:tr>
      <w:bookmarkEnd w:id="8"/>
      <w:tr w:rsidR="00C82BC4" w:rsidRPr="00E8754D" w14:paraId="1C3784C1" w14:textId="77777777" w:rsidTr="00276542">
        <w:trPr>
          <w:cnfStyle w:val="000000010000" w:firstRow="0" w:lastRow="0" w:firstColumn="0" w:lastColumn="0" w:oddVBand="0" w:evenVBand="0" w:oddHBand="0" w:evenHBand="1" w:firstRowFirstColumn="0" w:firstRowLastColumn="0" w:lastRowFirstColumn="0" w:lastRowLastColumn="0"/>
        </w:trPr>
        <w:tc>
          <w:tcPr>
            <w:tcW w:w="1153" w:type="dxa"/>
            <w:vMerge w:val="restart"/>
            <w:shd w:val="clear" w:color="auto" w:fill="auto"/>
          </w:tcPr>
          <w:p w14:paraId="640A7F98" w14:textId="77777777" w:rsidR="00C82BC4" w:rsidRPr="00E8754D" w:rsidRDefault="00C82BC4" w:rsidP="00276542">
            <w:pPr>
              <w:spacing w:after="60"/>
              <w:rPr>
                <w:b/>
                <w:szCs w:val="28"/>
              </w:rPr>
            </w:pPr>
            <w:r w:rsidRPr="00E8754D">
              <w:rPr>
                <w:b/>
                <w:szCs w:val="28"/>
              </w:rPr>
              <w:t xml:space="preserve">Advanced Level </w:t>
            </w:r>
          </w:p>
          <w:p w14:paraId="01CDE3AE" w14:textId="77777777" w:rsidR="00C82BC4" w:rsidRPr="00E8754D" w:rsidRDefault="00C82BC4" w:rsidP="00276542">
            <w:pPr>
              <w:spacing w:after="60"/>
              <w:rPr>
                <w:b/>
                <w:szCs w:val="28"/>
              </w:rPr>
            </w:pPr>
          </w:p>
          <w:p w14:paraId="52A44E8B" w14:textId="77777777" w:rsidR="00C82BC4" w:rsidRPr="00E8754D" w:rsidRDefault="00C82BC4" w:rsidP="00276542">
            <w:pPr>
              <w:spacing w:after="60"/>
              <w:rPr>
                <w:szCs w:val="28"/>
              </w:rPr>
            </w:pPr>
            <w:r w:rsidRPr="00E8754D">
              <w:rPr>
                <w:szCs w:val="28"/>
              </w:rPr>
              <w:t>As for Minimum standard, with the following additional disclosures and/or indicators:</w:t>
            </w:r>
          </w:p>
        </w:tc>
        <w:tc>
          <w:tcPr>
            <w:tcW w:w="1821" w:type="dxa"/>
            <w:gridSpan w:val="3"/>
            <w:shd w:val="clear" w:color="auto" w:fill="auto"/>
          </w:tcPr>
          <w:p w14:paraId="04661D84" w14:textId="77777777" w:rsidR="00C82BC4" w:rsidRPr="00E8754D" w:rsidRDefault="00C82BC4" w:rsidP="00C82BC4">
            <w:pPr>
              <w:numPr>
                <w:ilvl w:val="0"/>
                <w:numId w:val="7"/>
              </w:numPr>
              <w:spacing w:after="60"/>
              <w:rPr>
                <w:szCs w:val="28"/>
              </w:rPr>
            </w:pPr>
            <w:r w:rsidRPr="00E8754D">
              <w:rPr>
                <w:szCs w:val="28"/>
              </w:rPr>
              <w:t>Details of supply chain</w:t>
            </w:r>
          </w:p>
        </w:tc>
        <w:tc>
          <w:tcPr>
            <w:tcW w:w="1559" w:type="dxa"/>
          </w:tcPr>
          <w:p w14:paraId="5C871476" w14:textId="77777777" w:rsidR="00C82BC4" w:rsidRPr="00E8754D" w:rsidRDefault="00C82BC4" w:rsidP="00276542">
            <w:pPr>
              <w:spacing w:after="60"/>
              <w:rPr>
                <w:b/>
                <w:szCs w:val="28"/>
              </w:rPr>
            </w:pPr>
          </w:p>
        </w:tc>
        <w:tc>
          <w:tcPr>
            <w:tcW w:w="1985" w:type="dxa"/>
            <w:gridSpan w:val="2"/>
          </w:tcPr>
          <w:p w14:paraId="4528E5F5" w14:textId="77777777" w:rsidR="00C82BC4" w:rsidRPr="00E8754D" w:rsidRDefault="00C82BC4" w:rsidP="00276542">
            <w:pPr>
              <w:spacing w:after="60"/>
              <w:rPr>
                <w:b/>
                <w:szCs w:val="28"/>
              </w:rPr>
            </w:pPr>
          </w:p>
        </w:tc>
        <w:tc>
          <w:tcPr>
            <w:tcW w:w="1417" w:type="dxa"/>
            <w:gridSpan w:val="3"/>
          </w:tcPr>
          <w:p w14:paraId="4D0AC1D8" w14:textId="77777777" w:rsidR="00C82BC4" w:rsidRPr="00E8754D" w:rsidRDefault="00C82BC4" w:rsidP="00276542">
            <w:pPr>
              <w:spacing w:after="60"/>
              <w:rPr>
                <w:b/>
                <w:szCs w:val="28"/>
              </w:rPr>
            </w:pPr>
          </w:p>
        </w:tc>
        <w:tc>
          <w:tcPr>
            <w:tcW w:w="1843" w:type="dxa"/>
            <w:gridSpan w:val="2"/>
            <w:shd w:val="clear" w:color="auto" w:fill="auto"/>
          </w:tcPr>
          <w:p w14:paraId="30BB4D24" w14:textId="77777777" w:rsidR="00C82BC4" w:rsidRPr="00E8754D" w:rsidRDefault="00C82BC4" w:rsidP="00276542">
            <w:pPr>
              <w:spacing w:after="60"/>
              <w:rPr>
                <w:b/>
                <w:szCs w:val="28"/>
              </w:rPr>
            </w:pPr>
            <w:r w:rsidRPr="00E8754D">
              <w:rPr>
                <w:b/>
                <w:szCs w:val="28"/>
              </w:rPr>
              <w:t>102: General disclosures</w:t>
            </w:r>
          </w:p>
          <w:p w14:paraId="1C8B3778" w14:textId="77777777" w:rsidR="00C82BC4" w:rsidRPr="00E8754D" w:rsidRDefault="00C82BC4" w:rsidP="00276542">
            <w:pPr>
              <w:spacing w:after="60"/>
              <w:rPr>
                <w:szCs w:val="28"/>
              </w:rPr>
            </w:pPr>
            <w:r w:rsidRPr="00E8754D">
              <w:rPr>
                <w:szCs w:val="28"/>
              </w:rPr>
              <w:t>102-9: a. A description of the organisation’s supply chain, including its main elements as they relate to the organisation’s activities, primary brands, products and services</w:t>
            </w:r>
          </w:p>
          <w:p w14:paraId="23DBC4D2" w14:textId="77777777" w:rsidR="00C82BC4" w:rsidRPr="00E8754D" w:rsidRDefault="00C82BC4" w:rsidP="00276542">
            <w:pPr>
              <w:spacing w:after="60"/>
              <w:rPr>
                <w:szCs w:val="28"/>
              </w:rPr>
            </w:pPr>
            <w:r w:rsidRPr="00E8754D">
              <w:rPr>
                <w:szCs w:val="28"/>
              </w:rPr>
              <w:t>102-10: Significant changes to the organisation and its supply chain</w:t>
            </w:r>
          </w:p>
          <w:p w14:paraId="411A780B" w14:textId="77777777" w:rsidR="00C82BC4" w:rsidRPr="00E8754D" w:rsidRDefault="00C82BC4" w:rsidP="00276542">
            <w:pPr>
              <w:spacing w:after="60"/>
              <w:rPr>
                <w:szCs w:val="28"/>
              </w:rPr>
            </w:pPr>
          </w:p>
          <w:p w14:paraId="2F7C09FA" w14:textId="77777777" w:rsidR="00C82BC4" w:rsidRPr="00E8754D" w:rsidRDefault="00C82BC4" w:rsidP="00276542">
            <w:pPr>
              <w:spacing w:after="60"/>
              <w:rPr>
                <w:b/>
                <w:szCs w:val="28"/>
              </w:rPr>
            </w:pPr>
            <w:r w:rsidRPr="00E8754D">
              <w:rPr>
                <w:b/>
                <w:szCs w:val="28"/>
              </w:rPr>
              <w:t>308: Supplier environmental assessment</w:t>
            </w:r>
          </w:p>
          <w:p w14:paraId="44977657" w14:textId="77777777" w:rsidR="00C82BC4" w:rsidRPr="00E8754D" w:rsidRDefault="00C82BC4" w:rsidP="00276542">
            <w:pPr>
              <w:spacing w:after="60"/>
              <w:rPr>
                <w:szCs w:val="28"/>
              </w:rPr>
            </w:pPr>
            <w:r w:rsidRPr="00E8754D">
              <w:rPr>
                <w:szCs w:val="28"/>
              </w:rPr>
              <w:t>308-1: New suppliers that were screened using environmental criteria</w:t>
            </w:r>
          </w:p>
          <w:p w14:paraId="01A3BC21" w14:textId="77777777" w:rsidR="00C82BC4" w:rsidRPr="00E8754D" w:rsidRDefault="00C82BC4" w:rsidP="00276542">
            <w:pPr>
              <w:spacing w:after="60"/>
              <w:rPr>
                <w:szCs w:val="28"/>
              </w:rPr>
            </w:pPr>
            <w:r w:rsidRPr="00E8754D">
              <w:rPr>
                <w:szCs w:val="28"/>
              </w:rPr>
              <w:t>308-2: Negative environmental impacts in the supply chain and actions taken</w:t>
            </w:r>
          </w:p>
          <w:p w14:paraId="0174ED46" w14:textId="77777777" w:rsidR="00C82BC4" w:rsidRPr="00E8754D" w:rsidRDefault="00C82BC4" w:rsidP="00276542">
            <w:pPr>
              <w:spacing w:after="60"/>
              <w:rPr>
                <w:szCs w:val="28"/>
              </w:rPr>
            </w:pPr>
            <w:r w:rsidRPr="00E8754D">
              <w:rPr>
                <w:szCs w:val="28"/>
              </w:rPr>
              <w:lastRenderedPageBreak/>
              <w:t>103</w:t>
            </w:r>
          </w:p>
        </w:tc>
        <w:tc>
          <w:tcPr>
            <w:tcW w:w="2126" w:type="dxa"/>
          </w:tcPr>
          <w:p w14:paraId="7DBF3B24" w14:textId="77777777" w:rsidR="00C82BC4" w:rsidRPr="00E8754D" w:rsidRDefault="00C82BC4" w:rsidP="00276542">
            <w:pPr>
              <w:spacing w:after="60"/>
              <w:rPr>
                <w:szCs w:val="28"/>
              </w:rPr>
            </w:pPr>
            <w:r w:rsidRPr="00E8754D">
              <w:rPr>
                <w:szCs w:val="28"/>
              </w:rPr>
              <w:lastRenderedPageBreak/>
              <w:t xml:space="preserve">Supply Chain Management </w:t>
            </w:r>
            <w:r w:rsidRPr="00E8754D">
              <w:rPr>
                <w:rFonts w:ascii="MS Gothic" w:eastAsia="MS Gothic" w:hAnsi="MS Gothic" w:cs="MS Gothic"/>
                <w:szCs w:val="28"/>
              </w:rPr>
              <w:t> </w:t>
            </w:r>
          </w:p>
          <w:p w14:paraId="2C4CDFEE" w14:textId="77777777" w:rsidR="00C82BC4" w:rsidRPr="00E8754D" w:rsidRDefault="00C82BC4" w:rsidP="00276542">
            <w:pPr>
              <w:spacing w:after="60"/>
              <w:rPr>
                <w:szCs w:val="28"/>
              </w:rPr>
            </w:pPr>
          </w:p>
        </w:tc>
      </w:tr>
      <w:tr w:rsidR="00C82BC4" w:rsidRPr="00E8754D" w14:paraId="1BF3BB38" w14:textId="77777777" w:rsidTr="00276542">
        <w:tc>
          <w:tcPr>
            <w:tcW w:w="1153" w:type="dxa"/>
            <w:vMerge/>
            <w:shd w:val="clear" w:color="auto" w:fill="auto"/>
          </w:tcPr>
          <w:p w14:paraId="18ECAB0B" w14:textId="77777777" w:rsidR="00C82BC4" w:rsidRPr="00E8754D" w:rsidRDefault="00C82BC4" w:rsidP="00276542">
            <w:pPr>
              <w:spacing w:after="60"/>
              <w:rPr>
                <w:b/>
                <w:szCs w:val="28"/>
              </w:rPr>
            </w:pPr>
          </w:p>
        </w:tc>
        <w:tc>
          <w:tcPr>
            <w:tcW w:w="1821" w:type="dxa"/>
            <w:gridSpan w:val="3"/>
            <w:shd w:val="clear" w:color="auto" w:fill="auto"/>
          </w:tcPr>
          <w:p w14:paraId="4A6A910C" w14:textId="77777777" w:rsidR="00C82BC4" w:rsidRPr="00E8754D" w:rsidRDefault="00C82BC4" w:rsidP="00C82BC4">
            <w:pPr>
              <w:numPr>
                <w:ilvl w:val="0"/>
                <w:numId w:val="7"/>
              </w:numPr>
              <w:spacing w:after="60"/>
              <w:rPr>
                <w:szCs w:val="28"/>
              </w:rPr>
            </w:pPr>
            <w:r w:rsidRPr="00E8754D">
              <w:rPr>
                <w:szCs w:val="28"/>
              </w:rPr>
              <w:t>Details of stakeholder engagement surrounding sustainability performance</w:t>
            </w:r>
          </w:p>
        </w:tc>
        <w:tc>
          <w:tcPr>
            <w:tcW w:w="1559" w:type="dxa"/>
          </w:tcPr>
          <w:p w14:paraId="754B6135" w14:textId="77777777" w:rsidR="00C82BC4" w:rsidRPr="00E8754D" w:rsidRDefault="00C82BC4" w:rsidP="00276542">
            <w:pPr>
              <w:spacing w:after="60"/>
              <w:rPr>
                <w:b/>
                <w:szCs w:val="28"/>
              </w:rPr>
            </w:pPr>
          </w:p>
        </w:tc>
        <w:tc>
          <w:tcPr>
            <w:tcW w:w="1985" w:type="dxa"/>
            <w:gridSpan w:val="2"/>
          </w:tcPr>
          <w:p w14:paraId="67DD2503" w14:textId="77777777" w:rsidR="00C82BC4" w:rsidRPr="00E8754D" w:rsidRDefault="00C82BC4" w:rsidP="00276542">
            <w:pPr>
              <w:spacing w:after="60"/>
              <w:rPr>
                <w:b/>
                <w:szCs w:val="28"/>
              </w:rPr>
            </w:pPr>
          </w:p>
        </w:tc>
        <w:tc>
          <w:tcPr>
            <w:tcW w:w="1417" w:type="dxa"/>
            <w:gridSpan w:val="3"/>
          </w:tcPr>
          <w:p w14:paraId="29E1E08C" w14:textId="77777777" w:rsidR="00C82BC4" w:rsidRPr="00E8754D" w:rsidRDefault="00C82BC4" w:rsidP="00276542">
            <w:pPr>
              <w:spacing w:before="0" w:after="60"/>
              <w:rPr>
                <w:szCs w:val="28"/>
              </w:rPr>
            </w:pPr>
            <w:r w:rsidRPr="00E8754D">
              <w:rPr>
                <w:szCs w:val="28"/>
              </w:rPr>
              <w:t>Guiding Principles:</w:t>
            </w:r>
          </w:p>
          <w:p w14:paraId="59702962" w14:textId="77777777" w:rsidR="00C82BC4" w:rsidRPr="00E8754D" w:rsidRDefault="00C82BC4" w:rsidP="00C82BC4">
            <w:pPr>
              <w:numPr>
                <w:ilvl w:val="0"/>
                <w:numId w:val="28"/>
              </w:numPr>
              <w:spacing w:before="0" w:after="60"/>
              <w:ind w:left="116" w:hanging="180"/>
              <w:contextualSpacing/>
              <w:jc w:val="both"/>
              <w:rPr>
                <w:color w:val="FFFFFF"/>
                <w:szCs w:val="28"/>
              </w:rPr>
            </w:pPr>
            <w:r w:rsidRPr="00E8754D">
              <w:rPr>
                <w:szCs w:val="28"/>
              </w:rPr>
              <w:t>Stakeholder relationships</w:t>
            </w:r>
          </w:p>
          <w:p w14:paraId="3EF07C3A" w14:textId="77777777" w:rsidR="00C82BC4" w:rsidRPr="00E8754D" w:rsidRDefault="00C82BC4" w:rsidP="00276542">
            <w:pPr>
              <w:spacing w:after="60"/>
              <w:rPr>
                <w:b/>
                <w:szCs w:val="28"/>
              </w:rPr>
            </w:pPr>
          </w:p>
        </w:tc>
        <w:tc>
          <w:tcPr>
            <w:tcW w:w="1843" w:type="dxa"/>
            <w:gridSpan w:val="2"/>
            <w:shd w:val="clear" w:color="auto" w:fill="auto"/>
          </w:tcPr>
          <w:p w14:paraId="2ADA9EEE" w14:textId="77777777" w:rsidR="00C82BC4" w:rsidRPr="00E8754D" w:rsidRDefault="00C82BC4" w:rsidP="00276542">
            <w:pPr>
              <w:spacing w:after="60"/>
              <w:rPr>
                <w:b/>
                <w:szCs w:val="28"/>
              </w:rPr>
            </w:pPr>
            <w:r w:rsidRPr="00E8754D">
              <w:rPr>
                <w:b/>
                <w:szCs w:val="28"/>
              </w:rPr>
              <w:t>Reporting Principles:</w:t>
            </w:r>
          </w:p>
          <w:p w14:paraId="200FCC7B" w14:textId="77777777" w:rsidR="00C82BC4" w:rsidRPr="00E8754D" w:rsidRDefault="00C82BC4" w:rsidP="00276542">
            <w:pPr>
              <w:spacing w:after="60"/>
              <w:rPr>
                <w:b/>
                <w:szCs w:val="28"/>
              </w:rPr>
            </w:pPr>
            <w:r w:rsidRPr="00E8754D">
              <w:rPr>
                <w:b/>
                <w:szCs w:val="28"/>
              </w:rPr>
              <w:t>•</w:t>
            </w:r>
            <w:r w:rsidRPr="00E8754D">
              <w:rPr>
                <w:szCs w:val="28"/>
              </w:rPr>
              <w:t>Stakeholder inclusiveness</w:t>
            </w:r>
          </w:p>
          <w:p w14:paraId="1924511E" w14:textId="77777777" w:rsidR="00C82BC4" w:rsidRPr="00E8754D" w:rsidRDefault="00C82BC4" w:rsidP="00276542">
            <w:pPr>
              <w:spacing w:after="60"/>
              <w:rPr>
                <w:b/>
                <w:szCs w:val="28"/>
              </w:rPr>
            </w:pPr>
            <w:r w:rsidRPr="00E8754D">
              <w:rPr>
                <w:b/>
                <w:szCs w:val="28"/>
              </w:rPr>
              <w:t>102: General disclosures</w:t>
            </w:r>
          </w:p>
          <w:p w14:paraId="2148BBD9" w14:textId="77777777" w:rsidR="00C82BC4" w:rsidRPr="00E8754D" w:rsidRDefault="00C82BC4" w:rsidP="00276542">
            <w:pPr>
              <w:spacing w:after="60"/>
              <w:rPr>
                <w:szCs w:val="28"/>
              </w:rPr>
            </w:pPr>
            <w:r w:rsidRPr="00E8754D">
              <w:rPr>
                <w:szCs w:val="28"/>
              </w:rPr>
              <w:t xml:space="preserve">102-21: Consulting stakeholders on economic, environmental and social topics </w:t>
            </w:r>
          </w:p>
          <w:p w14:paraId="7E5B4666" w14:textId="77777777" w:rsidR="00C82BC4" w:rsidRPr="00E8754D" w:rsidRDefault="00C82BC4" w:rsidP="00276542">
            <w:pPr>
              <w:spacing w:after="60"/>
              <w:rPr>
                <w:szCs w:val="28"/>
              </w:rPr>
            </w:pPr>
            <w:r w:rsidRPr="00E8754D">
              <w:rPr>
                <w:szCs w:val="28"/>
              </w:rPr>
              <w:t>102-40: List of stakeholder groups</w:t>
            </w:r>
          </w:p>
          <w:p w14:paraId="0EA8BDB4" w14:textId="77777777" w:rsidR="00C82BC4" w:rsidRPr="00E8754D" w:rsidRDefault="00C82BC4" w:rsidP="00276542">
            <w:pPr>
              <w:spacing w:after="60"/>
              <w:rPr>
                <w:szCs w:val="28"/>
              </w:rPr>
            </w:pPr>
            <w:r w:rsidRPr="00E8754D">
              <w:rPr>
                <w:szCs w:val="28"/>
              </w:rPr>
              <w:t>102-42: Identifying and selecting stakeholders</w:t>
            </w:r>
          </w:p>
          <w:p w14:paraId="7A826599" w14:textId="77777777" w:rsidR="00C82BC4" w:rsidRPr="00E8754D" w:rsidRDefault="00C82BC4" w:rsidP="00276542">
            <w:pPr>
              <w:spacing w:after="60"/>
              <w:rPr>
                <w:b/>
                <w:szCs w:val="28"/>
              </w:rPr>
            </w:pPr>
            <w:r w:rsidRPr="00E8754D">
              <w:rPr>
                <w:szCs w:val="28"/>
              </w:rPr>
              <w:t>102-43: Approach to stakeholder engagement</w:t>
            </w:r>
          </w:p>
        </w:tc>
        <w:tc>
          <w:tcPr>
            <w:tcW w:w="2126" w:type="dxa"/>
          </w:tcPr>
          <w:p w14:paraId="77809C29" w14:textId="77777777" w:rsidR="00C82BC4" w:rsidRPr="00E8754D" w:rsidRDefault="00C82BC4" w:rsidP="00276542">
            <w:pPr>
              <w:spacing w:after="60"/>
              <w:rPr>
                <w:b/>
                <w:szCs w:val="28"/>
              </w:rPr>
            </w:pPr>
          </w:p>
        </w:tc>
      </w:tr>
      <w:tr w:rsidR="00C82BC4" w:rsidRPr="00E8754D" w14:paraId="2D6AE17D" w14:textId="77777777" w:rsidTr="00276542">
        <w:trPr>
          <w:cnfStyle w:val="000000010000" w:firstRow="0" w:lastRow="0" w:firstColumn="0" w:lastColumn="0" w:oddVBand="0" w:evenVBand="0" w:oddHBand="0" w:evenHBand="1" w:firstRowFirstColumn="0" w:firstRowLastColumn="0" w:lastRowFirstColumn="0" w:lastRowLastColumn="0"/>
        </w:trPr>
        <w:tc>
          <w:tcPr>
            <w:tcW w:w="1153" w:type="dxa"/>
            <w:vMerge/>
            <w:shd w:val="clear" w:color="auto" w:fill="auto"/>
          </w:tcPr>
          <w:p w14:paraId="70622397" w14:textId="77777777" w:rsidR="00C82BC4" w:rsidRPr="00E8754D" w:rsidRDefault="00C82BC4" w:rsidP="00276542">
            <w:pPr>
              <w:spacing w:after="60"/>
              <w:rPr>
                <w:b/>
                <w:szCs w:val="28"/>
              </w:rPr>
            </w:pPr>
          </w:p>
        </w:tc>
        <w:tc>
          <w:tcPr>
            <w:tcW w:w="1821" w:type="dxa"/>
            <w:gridSpan w:val="3"/>
            <w:shd w:val="clear" w:color="auto" w:fill="auto"/>
          </w:tcPr>
          <w:p w14:paraId="7FFC464C" w14:textId="77777777" w:rsidR="00C82BC4" w:rsidRPr="00E8754D" w:rsidRDefault="00C82BC4" w:rsidP="00C82BC4">
            <w:pPr>
              <w:numPr>
                <w:ilvl w:val="0"/>
                <w:numId w:val="7"/>
              </w:numPr>
              <w:spacing w:after="60"/>
              <w:rPr>
                <w:szCs w:val="28"/>
              </w:rPr>
            </w:pPr>
            <w:r w:rsidRPr="00E8754D">
              <w:rPr>
                <w:szCs w:val="28"/>
              </w:rPr>
              <w:t>Details of remuneration</w:t>
            </w:r>
          </w:p>
        </w:tc>
        <w:tc>
          <w:tcPr>
            <w:tcW w:w="1559" w:type="dxa"/>
          </w:tcPr>
          <w:p w14:paraId="0C21C7ED" w14:textId="77777777" w:rsidR="00C82BC4" w:rsidRPr="00E8754D" w:rsidRDefault="00C82BC4" w:rsidP="00276542">
            <w:pPr>
              <w:spacing w:after="60"/>
              <w:rPr>
                <w:b/>
                <w:szCs w:val="28"/>
              </w:rPr>
            </w:pPr>
            <w:r w:rsidRPr="00E8754D">
              <w:rPr>
                <w:b/>
                <w:szCs w:val="28"/>
              </w:rPr>
              <w:t xml:space="preserve">C.3 Human capital </w:t>
            </w:r>
          </w:p>
          <w:p w14:paraId="06FF7B62" w14:textId="77777777" w:rsidR="00C82BC4" w:rsidRPr="00E8754D" w:rsidRDefault="00C82BC4" w:rsidP="00276542">
            <w:pPr>
              <w:spacing w:after="60"/>
              <w:rPr>
                <w:b/>
                <w:szCs w:val="28"/>
              </w:rPr>
            </w:pPr>
            <w:r w:rsidRPr="00E8754D">
              <w:rPr>
                <w:szCs w:val="28"/>
              </w:rPr>
              <w:t>C.2.3. Employee wages and benefits as a proportion of revenue, with breakdown by employment type and gender</w:t>
            </w:r>
          </w:p>
        </w:tc>
        <w:tc>
          <w:tcPr>
            <w:tcW w:w="1985" w:type="dxa"/>
            <w:gridSpan w:val="2"/>
          </w:tcPr>
          <w:p w14:paraId="122D1F7E" w14:textId="77777777" w:rsidR="00C82BC4" w:rsidRPr="00E8754D" w:rsidRDefault="00C82BC4" w:rsidP="00276542">
            <w:pPr>
              <w:spacing w:after="60"/>
              <w:rPr>
                <w:b/>
                <w:szCs w:val="28"/>
              </w:rPr>
            </w:pPr>
          </w:p>
        </w:tc>
        <w:tc>
          <w:tcPr>
            <w:tcW w:w="1417" w:type="dxa"/>
            <w:gridSpan w:val="3"/>
          </w:tcPr>
          <w:p w14:paraId="681DE3C9" w14:textId="77777777" w:rsidR="00C82BC4" w:rsidRPr="00E8754D" w:rsidRDefault="00C82BC4" w:rsidP="00276542">
            <w:pPr>
              <w:spacing w:after="60"/>
              <w:rPr>
                <w:b/>
                <w:szCs w:val="28"/>
              </w:rPr>
            </w:pPr>
          </w:p>
        </w:tc>
        <w:tc>
          <w:tcPr>
            <w:tcW w:w="1843" w:type="dxa"/>
            <w:gridSpan w:val="2"/>
            <w:shd w:val="clear" w:color="auto" w:fill="auto"/>
          </w:tcPr>
          <w:p w14:paraId="5DB88D01" w14:textId="77777777" w:rsidR="00C82BC4" w:rsidRPr="00E8754D" w:rsidRDefault="00C82BC4" w:rsidP="00276542">
            <w:pPr>
              <w:spacing w:after="60"/>
              <w:rPr>
                <w:b/>
                <w:szCs w:val="28"/>
              </w:rPr>
            </w:pPr>
            <w:r w:rsidRPr="00E8754D">
              <w:rPr>
                <w:b/>
                <w:szCs w:val="28"/>
              </w:rPr>
              <w:t>102: General disclosures</w:t>
            </w:r>
          </w:p>
          <w:p w14:paraId="0C064A4A" w14:textId="77777777" w:rsidR="00C82BC4" w:rsidRPr="00E8754D" w:rsidRDefault="00C82BC4" w:rsidP="00276542">
            <w:pPr>
              <w:spacing w:after="60"/>
              <w:rPr>
                <w:szCs w:val="28"/>
              </w:rPr>
            </w:pPr>
            <w:r w:rsidRPr="00E8754D">
              <w:rPr>
                <w:szCs w:val="28"/>
              </w:rPr>
              <w:t>102-35: Remuneration policies</w:t>
            </w:r>
          </w:p>
          <w:p w14:paraId="685CB413" w14:textId="77777777" w:rsidR="00C82BC4" w:rsidRPr="00E8754D" w:rsidRDefault="00C82BC4" w:rsidP="00276542">
            <w:pPr>
              <w:spacing w:after="60"/>
              <w:rPr>
                <w:szCs w:val="28"/>
              </w:rPr>
            </w:pPr>
            <w:r w:rsidRPr="00E8754D">
              <w:rPr>
                <w:szCs w:val="28"/>
              </w:rPr>
              <w:t>102-36: Process for determining remuneration</w:t>
            </w:r>
          </w:p>
          <w:p w14:paraId="477529C6" w14:textId="77777777" w:rsidR="00C82BC4" w:rsidRPr="00E8754D" w:rsidRDefault="00C82BC4" w:rsidP="00276542">
            <w:pPr>
              <w:spacing w:after="60"/>
              <w:rPr>
                <w:szCs w:val="28"/>
              </w:rPr>
            </w:pPr>
            <w:r w:rsidRPr="00E8754D">
              <w:rPr>
                <w:szCs w:val="28"/>
              </w:rPr>
              <w:t>102-37: Stakeholders' involvement in remuneration</w:t>
            </w:r>
          </w:p>
          <w:p w14:paraId="74D067D8" w14:textId="77777777" w:rsidR="00C82BC4" w:rsidRPr="00E8754D" w:rsidRDefault="00C82BC4" w:rsidP="00276542">
            <w:pPr>
              <w:spacing w:after="60"/>
              <w:rPr>
                <w:szCs w:val="28"/>
              </w:rPr>
            </w:pPr>
            <w:r w:rsidRPr="00E8754D">
              <w:rPr>
                <w:szCs w:val="28"/>
              </w:rPr>
              <w:t>102-38: Annual total compensation ratio</w:t>
            </w:r>
          </w:p>
          <w:p w14:paraId="7A2CBE47" w14:textId="77777777" w:rsidR="00C82BC4" w:rsidRPr="00E8754D" w:rsidRDefault="00C82BC4" w:rsidP="00276542">
            <w:pPr>
              <w:spacing w:after="60"/>
              <w:ind w:left="34"/>
              <w:rPr>
                <w:b/>
                <w:szCs w:val="28"/>
              </w:rPr>
            </w:pPr>
            <w:r w:rsidRPr="00E8754D">
              <w:rPr>
                <w:szCs w:val="28"/>
              </w:rPr>
              <w:t>102-39: Percentage increase in annual total compensation ratio</w:t>
            </w:r>
          </w:p>
        </w:tc>
        <w:tc>
          <w:tcPr>
            <w:tcW w:w="2126" w:type="dxa"/>
          </w:tcPr>
          <w:p w14:paraId="218CB0E4" w14:textId="77777777" w:rsidR="00C82BC4" w:rsidRPr="00E8754D" w:rsidRDefault="00C82BC4" w:rsidP="00276542">
            <w:pPr>
              <w:spacing w:after="60"/>
              <w:rPr>
                <w:b/>
                <w:szCs w:val="28"/>
              </w:rPr>
            </w:pPr>
          </w:p>
        </w:tc>
      </w:tr>
      <w:tr w:rsidR="00C82BC4" w:rsidRPr="00E8754D" w14:paraId="6CB262A1" w14:textId="77777777" w:rsidTr="00276542">
        <w:tc>
          <w:tcPr>
            <w:tcW w:w="1153" w:type="dxa"/>
            <w:vMerge/>
            <w:shd w:val="clear" w:color="auto" w:fill="auto"/>
          </w:tcPr>
          <w:p w14:paraId="785936E6" w14:textId="77777777" w:rsidR="00C82BC4" w:rsidRPr="00E8754D" w:rsidRDefault="00C82BC4" w:rsidP="00276542">
            <w:pPr>
              <w:spacing w:after="60"/>
              <w:ind w:left="54"/>
              <w:rPr>
                <w:szCs w:val="28"/>
              </w:rPr>
            </w:pPr>
          </w:p>
        </w:tc>
        <w:tc>
          <w:tcPr>
            <w:tcW w:w="1821" w:type="dxa"/>
            <w:gridSpan w:val="3"/>
            <w:shd w:val="clear" w:color="auto" w:fill="1C4170" w:themeFill="text2" w:themeFillShade="E6"/>
          </w:tcPr>
          <w:p w14:paraId="119C0221" w14:textId="77777777" w:rsidR="00C82BC4" w:rsidRPr="00E8754D" w:rsidRDefault="00C82BC4" w:rsidP="00276542">
            <w:pPr>
              <w:spacing w:after="60"/>
              <w:rPr>
                <w:szCs w:val="28"/>
              </w:rPr>
            </w:pPr>
            <w:r w:rsidRPr="00E8754D">
              <w:rPr>
                <w:szCs w:val="28"/>
              </w:rPr>
              <w:t>Economic</w:t>
            </w:r>
          </w:p>
        </w:tc>
        <w:tc>
          <w:tcPr>
            <w:tcW w:w="1559" w:type="dxa"/>
            <w:shd w:val="clear" w:color="auto" w:fill="1C4170" w:themeFill="text2" w:themeFillShade="E6"/>
          </w:tcPr>
          <w:p w14:paraId="290A671C" w14:textId="77777777" w:rsidR="00C82BC4" w:rsidRPr="00E8754D" w:rsidRDefault="00C82BC4" w:rsidP="00276542">
            <w:pPr>
              <w:spacing w:after="60"/>
              <w:rPr>
                <w:szCs w:val="28"/>
              </w:rPr>
            </w:pPr>
          </w:p>
        </w:tc>
        <w:tc>
          <w:tcPr>
            <w:tcW w:w="1985" w:type="dxa"/>
            <w:gridSpan w:val="2"/>
            <w:shd w:val="clear" w:color="auto" w:fill="1C4170" w:themeFill="text2" w:themeFillShade="E6"/>
          </w:tcPr>
          <w:p w14:paraId="0F225CB7" w14:textId="77777777" w:rsidR="00C82BC4" w:rsidRPr="00E8754D" w:rsidRDefault="00C82BC4" w:rsidP="00276542">
            <w:pPr>
              <w:spacing w:after="60"/>
              <w:rPr>
                <w:szCs w:val="28"/>
              </w:rPr>
            </w:pPr>
          </w:p>
        </w:tc>
        <w:tc>
          <w:tcPr>
            <w:tcW w:w="1417" w:type="dxa"/>
            <w:gridSpan w:val="3"/>
            <w:shd w:val="clear" w:color="auto" w:fill="1C4170" w:themeFill="text2" w:themeFillShade="E6"/>
          </w:tcPr>
          <w:p w14:paraId="344B8D28" w14:textId="77777777" w:rsidR="00C82BC4" w:rsidRPr="00E8754D" w:rsidRDefault="00C82BC4" w:rsidP="00276542">
            <w:pPr>
              <w:spacing w:after="60"/>
              <w:rPr>
                <w:szCs w:val="28"/>
              </w:rPr>
            </w:pPr>
          </w:p>
        </w:tc>
        <w:tc>
          <w:tcPr>
            <w:tcW w:w="1843" w:type="dxa"/>
            <w:gridSpan w:val="2"/>
            <w:shd w:val="clear" w:color="auto" w:fill="1C4170" w:themeFill="text2" w:themeFillShade="E6"/>
          </w:tcPr>
          <w:p w14:paraId="5173059B" w14:textId="77777777" w:rsidR="00C82BC4" w:rsidRPr="00E8754D" w:rsidRDefault="00C82BC4" w:rsidP="00276542">
            <w:pPr>
              <w:spacing w:after="60"/>
              <w:rPr>
                <w:szCs w:val="28"/>
              </w:rPr>
            </w:pPr>
          </w:p>
        </w:tc>
        <w:tc>
          <w:tcPr>
            <w:tcW w:w="2126" w:type="dxa"/>
            <w:shd w:val="clear" w:color="auto" w:fill="1C4170" w:themeFill="text2" w:themeFillShade="E6"/>
          </w:tcPr>
          <w:p w14:paraId="44AAEF7D" w14:textId="77777777" w:rsidR="00C82BC4" w:rsidRPr="00E8754D" w:rsidRDefault="00C82BC4" w:rsidP="00276542">
            <w:pPr>
              <w:spacing w:after="60"/>
              <w:ind w:left="54"/>
              <w:rPr>
                <w:szCs w:val="28"/>
              </w:rPr>
            </w:pPr>
          </w:p>
        </w:tc>
      </w:tr>
      <w:tr w:rsidR="00C82BC4" w:rsidRPr="00E8754D" w14:paraId="7E72F03C" w14:textId="77777777" w:rsidTr="00276542">
        <w:trPr>
          <w:cnfStyle w:val="000000010000" w:firstRow="0" w:lastRow="0" w:firstColumn="0" w:lastColumn="0" w:oddVBand="0" w:evenVBand="0" w:oddHBand="0" w:evenHBand="1" w:firstRowFirstColumn="0" w:firstRowLastColumn="0" w:lastRowFirstColumn="0" w:lastRowLastColumn="0"/>
        </w:trPr>
        <w:tc>
          <w:tcPr>
            <w:tcW w:w="1153" w:type="dxa"/>
            <w:vMerge/>
            <w:shd w:val="clear" w:color="auto" w:fill="auto"/>
          </w:tcPr>
          <w:p w14:paraId="127E9AA0" w14:textId="77777777" w:rsidR="00C82BC4" w:rsidRPr="00E8754D" w:rsidRDefault="00C82BC4" w:rsidP="00276542">
            <w:pPr>
              <w:spacing w:after="60"/>
              <w:ind w:left="54"/>
              <w:rPr>
                <w:szCs w:val="28"/>
              </w:rPr>
            </w:pPr>
          </w:p>
        </w:tc>
        <w:tc>
          <w:tcPr>
            <w:tcW w:w="1821" w:type="dxa"/>
            <w:gridSpan w:val="3"/>
            <w:shd w:val="clear" w:color="auto" w:fill="auto"/>
          </w:tcPr>
          <w:p w14:paraId="1DFEA167" w14:textId="77777777" w:rsidR="00C82BC4" w:rsidRPr="00E8754D" w:rsidRDefault="00C82BC4" w:rsidP="00C82BC4">
            <w:pPr>
              <w:numPr>
                <w:ilvl w:val="0"/>
                <w:numId w:val="7"/>
              </w:numPr>
              <w:spacing w:after="60"/>
              <w:rPr>
                <w:szCs w:val="28"/>
              </w:rPr>
            </w:pPr>
            <w:r w:rsidRPr="00E8754D">
              <w:rPr>
                <w:szCs w:val="28"/>
              </w:rPr>
              <w:t>Sustainable public procurement policies and practices</w:t>
            </w:r>
          </w:p>
          <w:p w14:paraId="4C82A583" w14:textId="77777777" w:rsidR="00C82BC4" w:rsidRPr="00E8754D" w:rsidRDefault="00C82BC4" w:rsidP="00C82BC4">
            <w:pPr>
              <w:numPr>
                <w:ilvl w:val="0"/>
                <w:numId w:val="7"/>
              </w:numPr>
              <w:spacing w:after="60"/>
              <w:rPr>
                <w:szCs w:val="28"/>
              </w:rPr>
            </w:pPr>
            <w:r w:rsidRPr="00E8754D">
              <w:rPr>
                <w:szCs w:val="28"/>
              </w:rPr>
              <w:t>Percentage or proportion of local suppliers/procurement</w:t>
            </w:r>
          </w:p>
          <w:p w14:paraId="4B147C2A" w14:textId="77777777" w:rsidR="00C82BC4" w:rsidRPr="00E8754D" w:rsidRDefault="00C82BC4" w:rsidP="00C82BC4">
            <w:pPr>
              <w:numPr>
                <w:ilvl w:val="0"/>
                <w:numId w:val="7"/>
              </w:numPr>
              <w:spacing w:after="60"/>
              <w:rPr>
                <w:szCs w:val="28"/>
              </w:rPr>
            </w:pPr>
            <w:r w:rsidRPr="00E8754D">
              <w:rPr>
                <w:szCs w:val="28"/>
              </w:rPr>
              <w:t>Charitable donations</w:t>
            </w:r>
          </w:p>
        </w:tc>
        <w:tc>
          <w:tcPr>
            <w:tcW w:w="1559" w:type="dxa"/>
          </w:tcPr>
          <w:p w14:paraId="6BEC2E79" w14:textId="77777777" w:rsidR="00C82BC4" w:rsidRPr="00E8754D" w:rsidRDefault="00C82BC4" w:rsidP="00276542">
            <w:pPr>
              <w:spacing w:after="60"/>
              <w:rPr>
                <w:b/>
                <w:szCs w:val="28"/>
              </w:rPr>
            </w:pPr>
            <w:r w:rsidRPr="00E8754D">
              <w:rPr>
                <w:b/>
                <w:szCs w:val="28"/>
              </w:rPr>
              <w:t>A.3 New investment/expenditures</w:t>
            </w:r>
          </w:p>
          <w:p w14:paraId="5EBFC247" w14:textId="77777777" w:rsidR="00C82BC4" w:rsidRPr="00E8754D" w:rsidRDefault="00C82BC4" w:rsidP="00276542">
            <w:pPr>
              <w:spacing w:after="60"/>
              <w:rPr>
                <w:szCs w:val="28"/>
              </w:rPr>
            </w:pPr>
            <w:r w:rsidRPr="00E8754D">
              <w:rPr>
                <w:szCs w:val="28"/>
              </w:rPr>
              <w:t>A.3.1. Green investment</w:t>
            </w:r>
          </w:p>
          <w:p w14:paraId="7D8D1467" w14:textId="77777777" w:rsidR="00C82BC4" w:rsidRPr="00E8754D" w:rsidRDefault="00C82BC4" w:rsidP="00276542">
            <w:pPr>
              <w:spacing w:after="60"/>
              <w:rPr>
                <w:szCs w:val="28"/>
              </w:rPr>
            </w:pPr>
            <w:r w:rsidRPr="00E8754D">
              <w:rPr>
                <w:szCs w:val="28"/>
              </w:rPr>
              <w:t>A.3.2. Community investment</w:t>
            </w:r>
          </w:p>
          <w:p w14:paraId="2854A1DD" w14:textId="77777777" w:rsidR="00C82BC4" w:rsidRPr="00E8754D" w:rsidRDefault="00C82BC4" w:rsidP="00276542">
            <w:pPr>
              <w:spacing w:after="60"/>
              <w:rPr>
                <w:szCs w:val="28"/>
              </w:rPr>
            </w:pPr>
            <w:r w:rsidRPr="00E8754D">
              <w:rPr>
                <w:szCs w:val="28"/>
              </w:rPr>
              <w:t>A.3.3. Total expenditures on research and development</w:t>
            </w:r>
          </w:p>
          <w:p w14:paraId="51D26B3C" w14:textId="77777777" w:rsidR="00C82BC4" w:rsidRPr="00E8754D" w:rsidRDefault="00C82BC4" w:rsidP="00276542">
            <w:pPr>
              <w:spacing w:after="60"/>
              <w:rPr>
                <w:b/>
                <w:szCs w:val="28"/>
              </w:rPr>
            </w:pPr>
            <w:r w:rsidRPr="00E8754D">
              <w:rPr>
                <w:b/>
                <w:szCs w:val="28"/>
              </w:rPr>
              <w:t xml:space="preserve">A.4 Total local supplier/purchasing programmes </w:t>
            </w:r>
          </w:p>
          <w:p w14:paraId="1068AF5F" w14:textId="77777777" w:rsidR="00C82BC4" w:rsidRPr="00E8754D" w:rsidRDefault="00C82BC4" w:rsidP="00276542">
            <w:pPr>
              <w:spacing w:after="60"/>
              <w:rPr>
                <w:szCs w:val="28"/>
              </w:rPr>
            </w:pPr>
            <w:r w:rsidRPr="00E8754D">
              <w:rPr>
                <w:szCs w:val="28"/>
              </w:rPr>
              <w:t>A.4.1. Percentage of local procurement</w:t>
            </w:r>
          </w:p>
        </w:tc>
        <w:tc>
          <w:tcPr>
            <w:tcW w:w="1985" w:type="dxa"/>
            <w:gridSpan w:val="2"/>
          </w:tcPr>
          <w:p w14:paraId="1B1C896F" w14:textId="77777777" w:rsidR="00C82BC4" w:rsidRPr="00E8754D" w:rsidRDefault="00C82BC4" w:rsidP="00276542">
            <w:pPr>
              <w:spacing w:after="60"/>
              <w:rPr>
                <w:b/>
                <w:szCs w:val="28"/>
              </w:rPr>
            </w:pPr>
          </w:p>
        </w:tc>
        <w:tc>
          <w:tcPr>
            <w:tcW w:w="1417" w:type="dxa"/>
            <w:gridSpan w:val="3"/>
          </w:tcPr>
          <w:p w14:paraId="30D12A76" w14:textId="77777777" w:rsidR="00C82BC4" w:rsidRPr="00E8754D" w:rsidRDefault="00C82BC4" w:rsidP="00276542">
            <w:pPr>
              <w:spacing w:after="60"/>
              <w:rPr>
                <w:b/>
                <w:szCs w:val="28"/>
              </w:rPr>
            </w:pPr>
          </w:p>
        </w:tc>
        <w:tc>
          <w:tcPr>
            <w:tcW w:w="1843" w:type="dxa"/>
            <w:gridSpan w:val="2"/>
            <w:shd w:val="clear" w:color="auto" w:fill="auto"/>
          </w:tcPr>
          <w:p w14:paraId="6356C11D" w14:textId="77777777" w:rsidR="00C82BC4" w:rsidRPr="00E8754D" w:rsidRDefault="00C82BC4" w:rsidP="00276542">
            <w:pPr>
              <w:spacing w:after="60"/>
              <w:rPr>
                <w:b/>
                <w:szCs w:val="28"/>
              </w:rPr>
            </w:pPr>
            <w:r w:rsidRPr="00E8754D">
              <w:rPr>
                <w:b/>
                <w:szCs w:val="28"/>
              </w:rPr>
              <w:t>204: Procurement practices</w:t>
            </w:r>
          </w:p>
          <w:p w14:paraId="123B63FC" w14:textId="77777777" w:rsidR="00C82BC4" w:rsidRPr="00E8754D" w:rsidRDefault="00C82BC4" w:rsidP="00276542">
            <w:pPr>
              <w:spacing w:after="60"/>
              <w:ind w:left="34"/>
              <w:rPr>
                <w:szCs w:val="28"/>
              </w:rPr>
            </w:pPr>
            <w:r w:rsidRPr="00E8754D">
              <w:rPr>
                <w:szCs w:val="28"/>
              </w:rPr>
              <w:t>204-1: Proportion of spending on local suppliers</w:t>
            </w:r>
          </w:p>
          <w:p w14:paraId="0B7763FC" w14:textId="77777777" w:rsidR="00C82BC4" w:rsidRPr="00E8754D" w:rsidRDefault="00C82BC4" w:rsidP="00276542">
            <w:pPr>
              <w:spacing w:after="60"/>
              <w:ind w:left="34"/>
              <w:rPr>
                <w:szCs w:val="28"/>
              </w:rPr>
            </w:pPr>
          </w:p>
        </w:tc>
        <w:tc>
          <w:tcPr>
            <w:tcW w:w="2126" w:type="dxa"/>
          </w:tcPr>
          <w:p w14:paraId="7E437F2D" w14:textId="77777777" w:rsidR="00C82BC4" w:rsidRPr="00E8754D" w:rsidRDefault="00C82BC4" w:rsidP="00276542">
            <w:pPr>
              <w:spacing w:after="60"/>
              <w:ind w:left="54"/>
              <w:rPr>
                <w:szCs w:val="28"/>
              </w:rPr>
            </w:pPr>
          </w:p>
        </w:tc>
      </w:tr>
      <w:tr w:rsidR="00C82BC4" w:rsidRPr="00E8754D" w14:paraId="4CE2F3B4" w14:textId="77777777" w:rsidTr="00276542">
        <w:tc>
          <w:tcPr>
            <w:tcW w:w="1153" w:type="dxa"/>
            <w:vMerge/>
            <w:shd w:val="clear" w:color="auto" w:fill="auto"/>
          </w:tcPr>
          <w:p w14:paraId="1A7716A0" w14:textId="77777777" w:rsidR="00C82BC4" w:rsidRPr="00E8754D" w:rsidRDefault="00C82BC4" w:rsidP="00276542">
            <w:pPr>
              <w:spacing w:after="60"/>
              <w:rPr>
                <w:b/>
                <w:szCs w:val="28"/>
              </w:rPr>
            </w:pPr>
          </w:p>
        </w:tc>
        <w:tc>
          <w:tcPr>
            <w:tcW w:w="1821" w:type="dxa"/>
            <w:gridSpan w:val="3"/>
            <w:shd w:val="clear" w:color="auto" w:fill="1C4170" w:themeFill="text2" w:themeFillShade="E6"/>
          </w:tcPr>
          <w:p w14:paraId="65ABB018" w14:textId="77777777" w:rsidR="00C82BC4" w:rsidRPr="00E8754D" w:rsidRDefault="00C82BC4" w:rsidP="00276542">
            <w:pPr>
              <w:spacing w:after="60"/>
              <w:rPr>
                <w:b/>
                <w:szCs w:val="28"/>
              </w:rPr>
            </w:pPr>
            <w:r w:rsidRPr="00E8754D">
              <w:rPr>
                <w:b/>
                <w:szCs w:val="28"/>
              </w:rPr>
              <w:t>Environmental</w:t>
            </w:r>
          </w:p>
        </w:tc>
        <w:tc>
          <w:tcPr>
            <w:tcW w:w="1559" w:type="dxa"/>
            <w:shd w:val="clear" w:color="auto" w:fill="1C4170" w:themeFill="text2" w:themeFillShade="E6"/>
          </w:tcPr>
          <w:p w14:paraId="068F7CDD" w14:textId="77777777" w:rsidR="00C82BC4" w:rsidRPr="00E8754D" w:rsidRDefault="00C82BC4" w:rsidP="00276542">
            <w:pPr>
              <w:spacing w:after="60"/>
              <w:ind w:left="34"/>
              <w:rPr>
                <w:b/>
                <w:szCs w:val="28"/>
              </w:rPr>
            </w:pPr>
          </w:p>
        </w:tc>
        <w:tc>
          <w:tcPr>
            <w:tcW w:w="1985" w:type="dxa"/>
            <w:gridSpan w:val="2"/>
            <w:shd w:val="clear" w:color="auto" w:fill="1C4170" w:themeFill="text2" w:themeFillShade="E6"/>
          </w:tcPr>
          <w:p w14:paraId="49B5CC3A" w14:textId="77777777" w:rsidR="00C82BC4" w:rsidRPr="00E8754D" w:rsidRDefault="00C82BC4" w:rsidP="00276542">
            <w:pPr>
              <w:spacing w:after="60"/>
              <w:ind w:left="34"/>
              <w:rPr>
                <w:b/>
                <w:szCs w:val="28"/>
              </w:rPr>
            </w:pPr>
          </w:p>
        </w:tc>
        <w:tc>
          <w:tcPr>
            <w:tcW w:w="1417" w:type="dxa"/>
            <w:gridSpan w:val="3"/>
            <w:shd w:val="clear" w:color="auto" w:fill="1C4170" w:themeFill="text2" w:themeFillShade="E6"/>
          </w:tcPr>
          <w:p w14:paraId="5E68B1C6" w14:textId="77777777" w:rsidR="00C82BC4" w:rsidRPr="00E8754D" w:rsidRDefault="00C82BC4" w:rsidP="00276542">
            <w:pPr>
              <w:spacing w:after="60"/>
              <w:ind w:left="34"/>
              <w:rPr>
                <w:b/>
                <w:szCs w:val="28"/>
              </w:rPr>
            </w:pPr>
          </w:p>
        </w:tc>
        <w:tc>
          <w:tcPr>
            <w:tcW w:w="1843" w:type="dxa"/>
            <w:gridSpan w:val="2"/>
            <w:shd w:val="clear" w:color="auto" w:fill="1C4170" w:themeFill="text2" w:themeFillShade="E6"/>
          </w:tcPr>
          <w:p w14:paraId="7178D790" w14:textId="77777777" w:rsidR="00C82BC4" w:rsidRPr="00E8754D" w:rsidRDefault="00C82BC4" w:rsidP="00276542">
            <w:pPr>
              <w:spacing w:after="60"/>
              <w:ind w:left="34"/>
              <w:rPr>
                <w:b/>
                <w:szCs w:val="28"/>
              </w:rPr>
            </w:pPr>
          </w:p>
        </w:tc>
        <w:tc>
          <w:tcPr>
            <w:tcW w:w="2126" w:type="dxa"/>
            <w:shd w:val="clear" w:color="auto" w:fill="1C4170" w:themeFill="text2" w:themeFillShade="E6"/>
          </w:tcPr>
          <w:p w14:paraId="43F298F6" w14:textId="77777777" w:rsidR="00C82BC4" w:rsidRPr="00E8754D" w:rsidRDefault="00C82BC4" w:rsidP="00276542">
            <w:pPr>
              <w:spacing w:after="60"/>
              <w:rPr>
                <w:b/>
                <w:szCs w:val="28"/>
              </w:rPr>
            </w:pPr>
          </w:p>
        </w:tc>
      </w:tr>
      <w:tr w:rsidR="00C82BC4" w:rsidRPr="00E8754D" w14:paraId="694792F1" w14:textId="77777777" w:rsidTr="00276542">
        <w:trPr>
          <w:cnfStyle w:val="000000010000" w:firstRow="0" w:lastRow="0" w:firstColumn="0" w:lastColumn="0" w:oddVBand="0" w:evenVBand="0" w:oddHBand="0" w:evenHBand="1" w:firstRowFirstColumn="0" w:firstRowLastColumn="0" w:lastRowFirstColumn="0" w:lastRowLastColumn="0"/>
        </w:trPr>
        <w:tc>
          <w:tcPr>
            <w:tcW w:w="1153" w:type="dxa"/>
            <w:vMerge/>
            <w:shd w:val="clear" w:color="auto" w:fill="auto"/>
          </w:tcPr>
          <w:p w14:paraId="39AC0E2B" w14:textId="77777777" w:rsidR="00C82BC4" w:rsidRPr="00E8754D" w:rsidRDefault="00C82BC4" w:rsidP="00276542">
            <w:pPr>
              <w:spacing w:after="60"/>
              <w:ind w:left="54"/>
              <w:rPr>
                <w:szCs w:val="28"/>
              </w:rPr>
            </w:pPr>
          </w:p>
        </w:tc>
        <w:tc>
          <w:tcPr>
            <w:tcW w:w="1821" w:type="dxa"/>
            <w:gridSpan w:val="3"/>
            <w:shd w:val="clear" w:color="auto" w:fill="auto"/>
          </w:tcPr>
          <w:p w14:paraId="18A84FEE" w14:textId="77777777" w:rsidR="00C82BC4" w:rsidRPr="00E8754D" w:rsidRDefault="00C82BC4" w:rsidP="00C82BC4">
            <w:pPr>
              <w:numPr>
                <w:ilvl w:val="0"/>
                <w:numId w:val="7"/>
              </w:numPr>
              <w:spacing w:after="60"/>
              <w:rPr>
                <w:szCs w:val="28"/>
              </w:rPr>
            </w:pPr>
            <w:r w:rsidRPr="00E8754D">
              <w:rPr>
                <w:szCs w:val="28"/>
              </w:rPr>
              <w:t>Supplier environmental assessment</w:t>
            </w:r>
          </w:p>
        </w:tc>
        <w:tc>
          <w:tcPr>
            <w:tcW w:w="1559" w:type="dxa"/>
          </w:tcPr>
          <w:p w14:paraId="0C0F1BCE" w14:textId="77777777" w:rsidR="00C82BC4" w:rsidRPr="00E8754D" w:rsidRDefault="00C82BC4" w:rsidP="00276542">
            <w:pPr>
              <w:spacing w:after="60"/>
              <w:rPr>
                <w:b/>
                <w:szCs w:val="28"/>
              </w:rPr>
            </w:pPr>
          </w:p>
        </w:tc>
        <w:tc>
          <w:tcPr>
            <w:tcW w:w="1985" w:type="dxa"/>
            <w:gridSpan w:val="2"/>
          </w:tcPr>
          <w:p w14:paraId="3AAA661C" w14:textId="77777777" w:rsidR="00C82BC4" w:rsidRPr="00E8754D" w:rsidRDefault="00C82BC4" w:rsidP="00276542">
            <w:pPr>
              <w:spacing w:after="60"/>
              <w:rPr>
                <w:b/>
                <w:szCs w:val="28"/>
              </w:rPr>
            </w:pPr>
          </w:p>
        </w:tc>
        <w:tc>
          <w:tcPr>
            <w:tcW w:w="1417" w:type="dxa"/>
            <w:gridSpan w:val="3"/>
          </w:tcPr>
          <w:p w14:paraId="361C0375" w14:textId="77777777" w:rsidR="00C82BC4" w:rsidRPr="00E8754D" w:rsidRDefault="00C82BC4" w:rsidP="00276542">
            <w:pPr>
              <w:spacing w:after="60"/>
              <w:rPr>
                <w:b/>
                <w:szCs w:val="28"/>
              </w:rPr>
            </w:pPr>
          </w:p>
        </w:tc>
        <w:tc>
          <w:tcPr>
            <w:tcW w:w="1843" w:type="dxa"/>
            <w:gridSpan w:val="2"/>
            <w:shd w:val="clear" w:color="auto" w:fill="auto"/>
          </w:tcPr>
          <w:p w14:paraId="6BBD7DB0" w14:textId="77777777" w:rsidR="00C82BC4" w:rsidRPr="00E8754D" w:rsidRDefault="00C82BC4" w:rsidP="00276542">
            <w:pPr>
              <w:spacing w:after="60"/>
              <w:rPr>
                <w:b/>
                <w:szCs w:val="28"/>
              </w:rPr>
            </w:pPr>
            <w:r w:rsidRPr="00E8754D">
              <w:rPr>
                <w:b/>
                <w:szCs w:val="28"/>
              </w:rPr>
              <w:t>308: Supplier environmental assessment</w:t>
            </w:r>
          </w:p>
          <w:p w14:paraId="5F8BAF23" w14:textId="77777777" w:rsidR="00C82BC4" w:rsidRPr="00E8754D" w:rsidRDefault="00C82BC4" w:rsidP="00276542">
            <w:pPr>
              <w:spacing w:after="60"/>
              <w:rPr>
                <w:szCs w:val="28"/>
              </w:rPr>
            </w:pPr>
            <w:r w:rsidRPr="00E8754D">
              <w:rPr>
                <w:szCs w:val="28"/>
              </w:rPr>
              <w:t>308-1: New suppliers that were screened using environmental criteria</w:t>
            </w:r>
          </w:p>
          <w:p w14:paraId="0CCAC8A1" w14:textId="77777777" w:rsidR="00C82BC4" w:rsidRPr="00E8754D" w:rsidRDefault="00C82BC4" w:rsidP="00276542">
            <w:pPr>
              <w:spacing w:after="60"/>
              <w:rPr>
                <w:szCs w:val="28"/>
              </w:rPr>
            </w:pPr>
            <w:r w:rsidRPr="00E8754D">
              <w:rPr>
                <w:szCs w:val="28"/>
              </w:rPr>
              <w:t>308-2: Negative environmental impacts in the supply chain and actions taken</w:t>
            </w:r>
          </w:p>
        </w:tc>
        <w:tc>
          <w:tcPr>
            <w:tcW w:w="2126" w:type="dxa"/>
          </w:tcPr>
          <w:p w14:paraId="5A7F8614" w14:textId="77777777" w:rsidR="00C82BC4" w:rsidRPr="00E8754D" w:rsidRDefault="00C82BC4" w:rsidP="00276542">
            <w:pPr>
              <w:spacing w:after="60"/>
              <w:ind w:left="54"/>
              <w:rPr>
                <w:szCs w:val="28"/>
              </w:rPr>
            </w:pPr>
          </w:p>
        </w:tc>
      </w:tr>
      <w:tr w:rsidR="00C82BC4" w:rsidRPr="00E8754D" w14:paraId="67D91B65" w14:textId="77777777" w:rsidTr="00276542">
        <w:tc>
          <w:tcPr>
            <w:tcW w:w="1153" w:type="dxa"/>
            <w:vMerge/>
            <w:shd w:val="clear" w:color="auto" w:fill="auto"/>
          </w:tcPr>
          <w:p w14:paraId="79DD140B" w14:textId="77777777" w:rsidR="00C82BC4" w:rsidRPr="00E8754D" w:rsidRDefault="00C82BC4" w:rsidP="00276542">
            <w:pPr>
              <w:spacing w:after="60"/>
              <w:ind w:left="54"/>
              <w:rPr>
                <w:szCs w:val="28"/>
              </w:rPr>
            </w:pPr>
          </w:p>
        </w:tc>
        <w:tc>
          <w:tcPr>
            <w:tcW w:w="1821" w:type="dxa"/>
            <w:gridSpan w:val="3"/>
            <w:shd w:val="clear" w:color="auto" w:fill="auto"/>
          </w:tcPr>
          <w:p w14:paraId="3156EACD" w14:textId="77777777" w:rsidR="00C82BC4" w:rsidRPr="00E8754D" w:rsidRDefault="00C82BC4" w:rsidP="00C82BC4">
            <w:pPr>
              <w:numPr>
                <w:ilvl w:val="0"/>
                <w:numId w:val="7"/>
              </w:numPr>
              <w:spacing w:after="60"/>
              <w:rPr>
                <w:szCs w:val="28"/>
              </w:rPr>
            </w:pPr>
            <w:r w:rsidRPr="00E8754D">
              <w:rPr>
                <w:szCs w:val="28"/>
              </w:rPr>
              <w:t>Material consumption, sourcing of materials and reclaimed or recycled materials used</w:t>
            </w:r>
          </w:p>
        </w:tc>
        <w:tc>
          <w:tcPr>
            <w:tcW w:w="1559" w:type="dxa"/>
          </w:tcPr>
          <w:p w14:paraId="6E7A773D" w14:textId="77777777" w:rsidR="00C82BC4" w:rsidRPr="00E8754D" w:rsidRDefault="00C82BC4" w:rsidP="00276542">
            <w:pPr>
              <w:spacing w:after="60"/>
              <w:rPr>
                <w:b/>
                <w:szCs w:val="28"/>
              </w:rPr>
            </w:pPr>
          </w:p>
        </w:tc>
        <w:tc>
          <w:tcPr>
            <w:tcW w:w="1985" w:type="dxa"/>
            <w:gridSpan w:val="2"/>
          </w:tcPr>
          <w:p w14:paraId="6B3D44E9" w14:textId="77777777" w:rsidR="00C82BC4" w:rsidRPr="00E8754D" w:rsidRDefault="00C82BC4" w:rsidP="00276542">
            <w:pPr>
              <w:spacing w:after="60"/>
              <w:rPr>
                <w:b/>
                <w:szCs w:val="28"/>
              </w:rPr>
            </w:pPr>
          </w:p>
        </w:tc>
        <w:tc>
          <w:tcPr>
            <w:tcW w:w="1417" w:type="dxa"/>
            <w:gridSpan w:val="3"/>
          </w:tcPr>
          <w:p w14:paraId="28899243" w14:textId="77777777" w:rsidR="00C82BC4" w:rsidRPr="00E8754D" w:rsidRDefault="00C82BC4" w:rsidP="00276542">
            <w:pPr>
              <w:spacing w:after="60"/>
              <w:rPr>
                <w:b/>
                <w:szCs w:val="28"/>
              </w:rPr>
            </w:pPr>
          </w:p>
        </w:tc>
        <w:tc>
          <w:tcPr>
            <w:tcW w:w="1843" w:type="dxa"/>
            <w:gridSpan w:val="2"/>
            <w:shd w:val="clear" w:color="auto" w:fill="auto"/>
          </w:tcPr>
          <w:p w14:paraId="40BCD24E" w14:textId="77777777" w:rsidR="00C82BC4" w:rsidRPr="00E8754D" w:rsidRDefault="00C82BC4" w:rsidP="00276542">
            <w:pPr>
              <w:spacing w:after="60"/>
              <w:rPr>
                <w:b/>
                <w:szCs w:val="28"/>
              </w:rPr>
            </w:pPr>
            <w:r w:rsidRPr="00E8754D">
              <w:rPr>
                <w:b/>
                <w:szCs w:val="28"/>
              </w:rPr>
              <w:t>301: Materials</w:t>
            </w:r>
          </w:p>
          <w:p w14:paraId="26DCDC7E" w14:textId="77777777" w:rsidR="00C82BC4" w:rsidRPr="00E8754D" w:rsidRDefault="00C82BC4" w:rsidP="00276542">
            <w:pPr>
              <w:spacing w:after="60"/>
              <w:ind w:left="34"/>
              <w:rPr>
                <w:szCs w:val="28"/>
              </w:rPr>
            </w:pPr>
            <w:r w:rsidRPr="00E8754D">
              <w:rPr>
                <w:szCs w:val="28"/>
              </w:rPr>
              <w:t>301-1: Materials used by weight or volume</w:t>
            </w:r>
          </w:p>
          <w:p w14:paraId="0203A5AB" w14:textId="77777777" w:rsidR="00C82BC4" w:rsidRPr="00E8754D" w:rsidRDefault="00C82BC4" w:rsidP="00276542">
            <w:pPr>
              <w:spacing w:after="60"/>
              <w:ind w:left="34"/>
              <w:rPr>
                <w:szCs w:val="28"/>
              </w:rPr>
            </w:pPr>
            <w:r w:rsidRPr="00E8754D">
              <w:rPr>
                <w:szCs w:val="28"/>
              </w:rPr>
              <w:t>301-2: Recycled input materials used</w:t>
            </w:r>
          </w:p>
          <w:p w14:paraId="60F74711" w14:textId="77777777" w:rsidR="00C82BC4" w:rsidRPr="00E8754D" w:rsidRDefault="00C82BC4" w:rsidP="00276542">
            <w:pPr>
              <w:spacing w:after="60"/>
              <w:ind w:left="34"/>
              <w:rPr>
                <w:szCs w:val="28"/>
              </w:rPr>
            </w:pPr>
            <w:r w:rsidRPr="00E8754D">
              <w:rPr>
                <w:szCs w:val="28"/>
              </w:rPr>
              <w:t>301-3: Reclaimed products and their packaging materials</w:t>
            </w:r>
          </w:p>
        </w:tc>
        <w:tc>
          <w:tcPr>
            <w:tcW w:w="2126" w:type="dxa"/>
          </w:tcPr>
          <w:p w14:paraId="096E4EFE" w14:textId="77777777" w:rsidR="00C82BC4" w:rsidRPr="00E8754D" w:rsidRDefault="00C82BC4" w:rsidP="00276542">
            <w:pPr>
              <w:spacing w:after="60"/>
              <w:ind w:left="54"/>
              <w:rPr>
                <w:szCs w:val="28"/>
              </w:rPr>
            </w:pPr>
            <w:r w:rsidRPr="00E8754D">
              <w:rPr>
                <w:szCs w:val="28"/>
              </w:rPr>
              <w:t>Materials Sourcing</w:t>
            </w:r>
          </w:p>
        </w:tc>
      </w:tr>
      <w:tr w:rsidR="00C82BC4" w:rsidRPr="00E8754D" w14:paraId="26064224" w14:textId="77777777" w:rsidTr="00276542">
        <w:trPr>
          <w:cnfStyle w:val="000000010000" w:firstRow="0" w:lastRow="0" w:firstColumn="0" w:lastColumn="0" w:oddVBand="0" w:evenVBand="0" w:oddHBand="0" w:evenHBand="1" w:firstRowFirstColumn="0" w:firstRowLastColumn="0" w:lastRowFirstColumn="0" w:lastRowLastColumn="0"/>
        </w:trPr>
        <w:tc>
          <w:tcPr>
            <w:tcW w:w="1153" w:type="dxa"/>
            <w:vMerge/>
            <w:shd w:val="clear" w:color="auto" w:fill="auto"/>
          </w:tcPr>
          <w:p w14:paraId="0EFCE994" w14:textId="77777777" w:rsidR="00C82BC4" w:rsidRPr="00E8754D" w:rsidRDefault="00C82BC4" w:rsidP="00276542">
            <w:pPr>
              <w:spacing w:after="60"/>
              <w:ind w:left="54"/>
              <w:rPr>
                <w:szCs w:val="28"/>
              </w:rPr>
            </w:pPr>
          </w:p>
        </w:tc>
        <w:tc>
          <w:tcPr>
            <w:tcW w:w="1821" w:type="dxa"/>
            <w:gridSpan w:val="3"/>
            <w:shd w:val="clear" w:color="auto" w:fill="auto"/>
          </w:tcPr>
          <w:p w14:paraId="17999E39" w14:textId="77777777" w:rsidR="00C82BC4" w:rsidRPr="00E8754D" w:rsidRDefault="00C82BC4" w:rsidP="00C82BC4">
            <w:pPr>
              <w:numPr>
                <w:ilvl w:val="0"/>
                <w:numId w:val="7"/>
              </w:numPr>
              <w:spacing w:after="60"/>
              <w:rPr>
                <w:szCs w:val="28"/>
              </w:rPr>
            </w:pPr>
            <w:r w:rsidRPr="00E8754D">
              <w:rPr>
                <w:szCs w:val="28"/>
              </w:rPr>
              <w:t>Energy intensity and renewable energy sources</w:t>
            </w:r>
          </w:p>
          <w:p w14:paraId="7B57A0CF" w14:textId="77777777" w:rsidR="00C82BC4" w:rsidRPr="00E8754D" w:rsidRDefault="00C82BC4" w:rsidP="00276542">
            <w:pPr>
              <w:spacing w:after="60"/>
              <w:rPr>
                <w:szCs w:val="28"/>
              </w:rPr>
            </w:pPr>
          </w:p>
        </w:tc>
        <w:tc>
          <w:tcPr>
            <w:tcW w:w="1559" w:type="dxa"/>
          </w:tcPr>
          <w:p w14:paraId="6BC11690" w14:textId="77777777" w:rsidR="00C82BC4" w:rsidRPr="00E8754D" w:rsidRDefault="00C82BC4" w:rsidP="00276542">
            <w:pPr>
              <w:spacing w:after="60"/>
              <w:rPr>
                <w:b/>
                <w:szCs w:val="28"/>
              </w:rPr>
            </w:pPr>
            <w:r w:rsidRPr="00E8754D">
              <w:rPr>
                <w:b/>
                <w:szCs w:val="28"/>
              </w:rPr>
              <w:t>B.5 Energy consumption</w:t>
            </w:r>
          </w:p>
          <w:p w14:paraId="698B8BC5" w14:textId="77777777" w:rsidR="00C82BC4" w:rsidRPr="00E8754D" w:rsidRDefault="00C82BC4" w:rsidP="00276542">
            <w:pPr>
              <w:spacing w:after="60"/>
              <w:rPr>
                <w:szCs w:val="28"/>
              </w:rPr>
            </w:pPr>
            <w:r w:rsidRPr="00E8754D">
              <w:rPr>
                <w:szCs w:val="28"/>
              </w:rPr>
              <w:t>B.5.1. Renewable energy</w:t>
            </w:r>
          </w:p>
          <w:p w14:paraId="297DEF57" w14:textId="77777777" w:rsidR="00C82BC4" w:rsidRPr="00E8754D" w:rsidRDefault="00C82BC4" w:rsidP="00276542">
            <w:pPr>
              <w:spacing w:after="60"/>
              <w:rPr>
                <w:b/>
                <w:szCs w:val="28"/>
              </w:rPr>
            </w:pPr>
          </w:p>
        </w:tc>
        <w:tc>
          <w:tcPr>
            <w:tcW w:w="1985" w:type="dxa"/>
            <w:gridSpan w:val="2"/>
          </w:tcPr>
          <w:p w14:paraId="5F53B039" w14:textId="77777777" w:rsidR="00C82BC4" w:rsidRPr="00E8754D" w:rsidRDefault="00C82BC4" w:rsidP="00276542">
            <w:pPr>
              <w:spacing w:after="60"/>
              <w:rPr>
                <w:b/>
                <w:szCs w:val="28"/>
              </w:rPr>
            </w:pPr>
            <w:r w:rsidRPr="00E8754D">
              <w:rPr>
                <w:szCs w:val="28"/>
              </w:rPr>
              <w:t xml:space="preserve">Principle 9: encourage the development and diffusion of environmentally </w:t>
            </w:r>
            <w:r w:rsidRPr="00E8754D">
              <w:rPr>
                <w:szCs w:val="28"/>
              </w:rPr>
              <w:lastRenderedPageBreak/>
              <w:t>friendly technologies.</w:t>
            </w:r>
          </w:p>
        </w:tc>
        <w:tc>
          <w:tcPr>
            <w:tcW w:w="1417" w:type="dxa"/>
            <w:gridSpan w:val="3"/>
          </w:tcPr>
          <w:p w14:paraId="289C6FD2" w14:textId="77777777" w:rsidR="00C82BC4" w:rsidRPr="00E8754D" w:rsidRDefault="00C82BC4" w:rsidP="00276542">
            <w:pPr>
              <w:spacing w:after="60"/>
              <w:rPr>
                <w:b/>
                <w:szCs w:val="28"/>
              </w:rPr>
            </w:pPr>
          </w:p>
        </w:tc>
        <w:tc>
          <w:tcPr>
            <w:tcW w:w="1843" w:type="dxa"/>
            <w:gridSpan w:val="2"/>
            <w:shd w:val="clear" w:color="auto" w:fill="auto"/>
          </w:tcPr>
          <w:p w14:paraId="147AA176" w14:textId="77777777" w:rsidR="00C82BC4" w:rsidRPr="00E8754D" w:rsidRDefault="00C82BC4" w:rsidP="00276542">
            <w:pPr>
              <w:spacing w:after="60"/>
              <w:rPr>
                <w:b/>
                <w:szCs w:val="28"/>
              </w:rPr>
            </w:pPr>
            <w:r w:rsidRPr="00E8754D">
              <w:rPr>
                <w:b/>
                <w:szCs w:val="28"/>
              </w:rPr>
              <w:t>302: Energy</w:t>
            </w:r>
          </w:p>
          <w:p w14:paraId="3F90DAFF" w14:textId="77777777" w:rsidR="00C82BC4" w:rsidRPr="00E8754D" w:rsidRDefault="00C82BC4" w:rsidP="00276542">
            <w:pPr>
              <w:spacing w:after="60"/>
              <w:rPr>
                <w:szCs w:val="28"/>
              </w:rPr>
            </w:pPr>
            <w:r w:rsidRPr="00E8754D">
              <w:rPr>
                <w:szCs w:val="28"/>
              </w:rPr>
              <w:t>302-3: Energy intensity</w:t>
            </w:r>
          </w:p>
          <w:p w14:paraId="332E4C25" w14:textId="77777777" w:rsidR="00C82BC4" w:rsidRPr="00E8754D" w:rsidRDefault="00C82BC4" w:rsidP="00276542">
            <w:pPr>
              <w:spacing w:after="60"/>
              <w:rPr>
                <w:szCs w:val="28"/>
              </w:rPr>
            </w:pPr>
            <w:r w:rsidRPr="00E8754D">
              <w:rPr>
                <w:szCs w:val="28"/>
              </w:rPr>
              <w:lastRenderedPageBreak/>
              <w:t>302-4: Reduction of energy consumption</w:t>
            </w:r>
          </w:p>
          <w:p w14:paraId="122BE350" w14:textId="77777777" w:rsidR="00C82BC4" w:rsidRPr="00E8754D" w:rsidRDefault="00C82BC4" w:rsidP="00276542">
            <w:pPr>
              <w:spacing w:after="60"/>
              <w:rPr>
                <w:b/>
                <w:szCs w:val="28"/>
              </w:rPr>
            </w:pPr>
            <w:r w:rsidRPr="00E8754D">
              <w:rPr>
                <w:szCs w:val="28"/>
              </w:rPr>
              <w:t>302-5: Reductions in energy requirements of products and services</w:t>
            </w:r>
          </w:p>
        </w:tc>
        <w:tc>
          <w:tcPr>
            <w:tcW w:w="2126" w:type="dxa"/>
          </w:tcPr>
          <w:p w14:paraId="38BC2C8F" w14:textId="77777777" w:rsidR="00C82BC4" w:rsidRPr="00E8754D" w:rsidRDefault="00C82BC4" w:rsidP="00276542">
            <w:pPr>
              <w:spacing w:after="60"/>
              <w:ind w:left="54"/>
              <w:rPr>
                <w:szCs w:val="28"/>
              </w:rPr>
            </w:pPr>
            <w:r w:rsidRPr="00E8754D">
              <w:rPr>
                <w:szCs w:val="28"/>
              </w:rPr>
              <w:lastRenderedPageBreak/>
              <w:t>Energy management</w:t>
            </w:r>
          </w:p>
        </w:tc>
      </w:tr>
      <w:tr w:rsidR="00C82BC4" w:rsidRPr="00E8754D" w14:paraId="5984BD1B" w14:textId="77777777" w:rsidTr="00276542">
        <w:tc>
          <w:tcPr>
            <w:tcW w:w="1153" w:type="dxa"/>
            <w:vMerge/>
            <w:shd w:val="clear" w:color="auto" w:fill="auto"/>
          </w:tcPr>
          <w:p w14:paraId="592430E6" w14:textId="77777777" w:rsidR="00C82BC4" w:rsidRPr="00E8754D" w:rsidRDefault="00C82BC4" w:rsidP="00276542">
            <w:pPr>
              <w:spacing w:after="60"/>
              <w:ind w:left="54"/>
              <w:rPr>
                <w:szCs w:val="28"/>
              </w:rPr>
            </w:pPr>
          </w:p>
        </w:tc>
        <w:tc>
          <w:tcPr>
            <w:tcW w:w="1821" w:type="dxa"/>
            <w:gridSpan w:val="3"/>
            <w:shd w:val="clear" w:color="auto" w:fill="auto"/>
          </w:tcPr>
          <w:p w14:paraId="5C74CEE1" w14:textId="77777777" w:rsidR="00C82BC4" w:rsidRPr="00E8754D" w:rsidRDefault="00C82BC4" w:rsidP="00C82BC4">
            <w:pPr>
              <w:numPr>
                <w:ilvl w:val="0"/>
                <w:numId w:val="7"/>
              </w:numPr>
              <w:spacing w:after="60"/>
              <w:rPr>
                <w:szCs w:val="28"/>
              </w:rPr>
            </w:pPr>
            <w:bookmarkStart w:id="9" w:name="_Hlk527708019"/>
            <w:r w:rsidRPr="00E8754D">
              <w:rPr>
                <w:szCs w:val="28"/>
              </w:rPr>
              <w:t xml:space="preserve">Water </w:t>
            </w:r>
            <w:bookmarkEnd w:id="9"/>
            <w:r w:rsidRPr="00E8754D">
              <w:rPr>
                <w:szCs w:val="28"/>
              </w:rPr>
              <w:t>intensity and integrated water resources management</w:t>
            </w:r>
          </w:p>
        </w:tc>
        <w:tc>
          <w:tcPr>
            <w:tcW w:w="1559" w:type="dxa"/>
          </w:tcPr>
          <w:p w14:paraId="08317A17" w14:textId="77777777" w:rsidR="00C82BC4" w:rsidRPr="00E8754D" w:rsidRDefault="00C82BC4" w:rsidP="00276542">
            <w:pPr>
              <w:spacing w:after="60"/>
              <w:rPr>
                <w:b/>
                <w:szCs w:val="28"/>
              </w:rPr>
            </w:pPr>
            <w:r w:rsidRPr="00E8754D">
              <w:rPr>
                <w:b/>
                <w:szCs w:val="28"/>
              </w:rPr>
              <w:t>B.1 Sustainable use of water</w:t>
            </w:r>
          </w:p>
          <w:p w14:paraId="6D256A7E" w14:textId="77777777" w:rsidR="00C82BC4" w:rsidRPr="00E8754D" w:rsidRDefault="00C82BC4" w:rsidP="00276542">
            <w:pPr>
              <w:spacing w:after="60"/>
              <w:rPr>
                <w:szCs w:val="28"/>
              </w:rPr>
            </w:pPr>
            <w:r w:rsidRPr="00E8754D">
              <w:rPr>
                <w:szCs w:val="28"/>
              </w:rPr>
              <w:t>B.1.1. Water recycling and reuse</w:t>
            </w:r>
          </w:p>
          <w:p w14:paraId="4F734F12" w14:textId="77777777" w:rsidR="00C82BC4" w:rsidRPr="00E8754D" w:rsidRDefault="00C82BC4" w:rsidP="00276542">
            <w:pPr>
              <w:spacing w:after="60"/>
              <w:rPr>
                <w:szCs w:val="28"/>
              </w:rPr>
            </w:pPr>
            <w:r w:rsidRPr="00E8754D">
              <w:rPr>
                <w:szCs w:val="28"/>
              </w:rPr>
              <w:t>B.1.3. Water stress</w:t>
            </w:r>
          </w:p>
        </w:tc>
        <w:tc>
          <w:tcPr>
            <w:tcW w:w="1985" w:type="dxa"/>
            <w:gridSpan w:val="2"/>
          </w:tcPr>
          <w:p w14:paraId="15AD4394" w14:textId="77777777" w:rsidR="00C82BC4" w:rsidRPr="00E8754D" w:rsidRDefault="00C82BC4" w:rsidP="00276542">
            <w:pPr>
              <w:spacing w:after="60"/>
              <w:rPr>
                <w:b/>
                <w:szCs w:val="28"/>
              </w:rPr>
            </w:pPr>
          </w:p>
        </w:tc>
        <w:tc>
          <w:tcPr>
            <w:tcW w:w="1417" w:type="dxa"/>
            <w:gridSpan w:val="3"/>
          </w:tcPr>
          <w:p w14:paraId="330636AB" w14:textId="77777777" w:rsidR="00C82BC4" w:rsidRPr="00E8754D" w:rsidRDefault="00C82BC4" w:rsidP="00276542">
            <w:pPr>
              <w:spacing w:after="60"/>
              <w:rPr>
                <w:b/>
                <w:szCs w:val="28"/>
              </w:rPr>
            </w:pPr>
          </w:p>
        </w:tc>
        <w:tc>
          <w:tcPr>
            <w:tcW w:w="1843" w:type="dxa"/>
            <w:gridSpan w:val="2"/>
            <w:shd w:val="clear" w:color="auto" w:fill="auto"/>
          </w:tcPr>
          <w:p w14:paraId="106C16EA" w14:textId="77777777" w:rsidR="00C82BC4" w:rsidRPr="00E8754D" w:rsidRDefault="00C82BC4" w:rsidP="00276542">
            <w:pPr>
              <w:spacing w:after="60"/>
              <w:rPr>
                <w:b/>
                <w:szCs w:val="28"/>
              </w:rPr>
            </w:pPr>
            <w:r w:rsidRPr="00E8754D">
              <w:rPr>
                <w:b/>
                <w:szCs w:val="28"/>
              </w:rPr>
              <w:t>303: Water</w:t>
            </w:r>
          </w:p>
          <w:p w14:paraId="1DB7CBDA" w14:textId="77777777" w:rsidR="00C82BC4" w:rsidRPr="00E8754D" w:rsidRDefault="00C82BC4" w:rsidP="00276542">
            <w:pPr>
              <w:spacing w:after="60"/>
              <w:rPr>
                <w:szCs w:val="28"/>
              </w:rPr>
            </w:pPr>
            <w:r w:rsidRPr="00E8754D">
              <w:rPr>
                <w:szCs w:val="28"/>
              </w:rPr>
              <w:t>303-1: Water withdrawal by source</w:t>
            </w:r>
          </w:p>
          <w:p w14:paraId="2F14308E" w14:textId="77777777" w:rsidR="00C82BC4" w:rsidRPr="00E8754D" w:rsidRDefault="00C82BC4" w:rsidP="00276542">
            <w:pPr>
              <w:spacing w:after="60"/>
              <w:rPr>
                <w:szCs w:val="28"/>
              </w:rPr>
            </w:pPr>
            <w:r w:rsidRPr="00E8754D">
              <w:rPr>
                <w:szCs w:val="28"/>
              </w:rPr>
              <w:t>303-2: Water sources significantly affected by withdrawal of water</w:t>
            </w:r>
          </w:p>
          <w:p w14:paraId="34978091" w14:textId="77777777" w:rsidR="00C82BC4" w:rsidRPr="00E8754D" w:rsidRDefault="00C82BC4" w:rsidP="00276542">
            <w:pPr>
              <w:spacing w:after="60"/>
              <w:rPr>
                <w:b/>
                <w:szCs w:val="28"/>
              </w:rPr>
            </w:pPr>
            <w:r w:rsidRPr="00E8754D">
              <w:rPr>
                <w:szCs w:val="28"/>
              </w:rPr>
              <w:t>303-3: Water recycled and reused</w:t>
            </w:r>
          </w:p>
        </w:tc>
        <w:tc>
          <w:tcPr>
            <w:tcW w:w="2126" w:type="dxa"/>
          </w:tcPr>
          <w:p w14:paraId="332C115E" w14:textId="77777777" w:rsidR="00C82BC4" w:rsidRPr="00E8754D" w:rsidRDefault="00C82BC4" w:rsidP="00276542">
            <w:pPr>
              <w:spacing w:after="0"/>
              <w:rPr>
                <w:szCs w:val="28"/>
              </w:rPr>
            </w:pPr>
            <w:r w:rsidRPr="00E8754D">
              <w:rPr>
                <w:szCs w:val="28"/>
              </w:rPr>
              <w:t xml:space="preserve">Water and Wastewater </w:t>
            </w:r>
            <w:r w:rsidRPr="00E8754D">
              <w:rPr>
                <w:rFonts w:ascii="MS Gothic" w:eastAsia="MS Gothic" w:hAnsi="MS Gothic" w:cs="MS Gothic"/>
                <w:szCs w:val="28"/>
              </w:rPr>
              <w:t> </w:t>
            </w:r>
            <w:r w:rsidRPr="00E8754D">
              <w:rPr>
                <w:szCs w:val="28"/>
              </w:rPr>
              <w:t xml:space="preserve">Management </w:t>
            </w:r>
            <w:r w:rsidRPr="00E8754D">
              <w:rPr>
                <w:rFonts w:ascii="MS Gothic" w:eastAsia="MS Gothic" w:hAnsi="MS Gothic" w:cs="MS Gothic"/>
                <w:szCs w:val="28"/>
              </w:rPr>
              <w:t> </w:t>
            </w:r>
          </w:p>
          <w:p w14:paraId="3CA3230F" w14:textId="77777777" w:rsidR="00C82BC4" w:rsidRPr="00E8754D" w:rsidRDefault="00C82BC4" w:rsidP="00276542">
            <w:pPr>
              <w:spacing w:after="60"/>
              <w:ind w:left="54"/>
              <w:rPr>
                <w:szCs w:val="28"/>
              </w:rPr>
            </w:pPr>
          </w:p>
        </w:tc>
      </w:tr>
      <w:tr w:rsidR="00C82BC4" w:rsidRPr="00E8754D" w14:paraId="0469F59F" w14:textId="77777777" w:rsidTr="00276542">
        <w:trPr>
          <w:cnfStyle w:val="000000010000" w:firstRow="0" w:lastRow="0" w:firstColumn="0" w:lastColumn="0" w:oddVBand="0" w:evenVBand="0" w:oddHBand="0" w:evenHBand="1" w:firstRowFirstColumn="0" w:firstRowLastColumn="0" w:lastRowFirstColumn="0" w:lastRowLastColumn="0"/>
        </w:trPr>
        <w:tc>
          <w:tcPr>
            <w:tcW w:w="1153" w:type="dxa"/>
            <w:vMerge/>
            <w:shd w:val="clear" w:color="auto" w:fill="auto"/>
          </w:tcPr>
          <w:p w14:paraId="545799A9" w14:textId="77777777" w:rsidR="00C82BC4" w:rsidRPr="00E8754D" w:rsidRDefault="00C82BC4" w:rsidP="00276542">
            <w:pPr>
              <w:spacing w:after="60"/>
              <w:rPr>
                <w:b/>
                <w:szCs w:val="28"/>
              </w:rPr>
            </w:pPr>
          </w:p>
        </w:tc>
        <w:tc>
          <w:tcPr>
            <w:tcW w:w="1821" w:type="dxa"/>
            <w:gridSpan w:val="3"/>
            <w:shd w:val="clear" w:color="auto" w:fill="auto"/>
          </w:tcPr>
          <w:p w14:paraId="3FAED4F7" w14:textId="77777777" w:rsidR="00C82BC4" w:rsidRPr="00E8754D" w:rsidRDefault="00C82BC4" w:rsidP="00C82BC4">
            <w:pPr>
              <w:numPr>
                <w:ilvl w:val="0"/>
                <w:numId w:val="7"/>
              </w:numPr>
              <w:spacing w:after="60"/>
              <w:rPr>
                <w:szCs w:val="28"/>
              </w:rPr>
            </w:pPr>
            <w:r w:rsidRPr="00E8754D">
              <w:rPr>
                <w:szCs w:val="28"/>
              </w:rPr>
              <w:t>GHG Emissions intensity</w:t>
            </w:r>
          </w:p>
        </w:tc>
        <w:tc>
          <w:tcPr>
            <w:tcW w:w="1559" w:type="dxa"/>
          </w:tcPr>
          <w:p w14:paraId="312CE923" w14:textId="77777777" w:rsidR="00C82BC4" w:rsidRPr="00E8754D" w:rsidRDefault="00C82BC4" w:rsidP="00276542">
            <w:pPr>
              <w:spacing w:after="60"/>
              <w:rPr>
                <w:b/>
                <w:szCs w:val="28"/>
              </w:rPr>
            </w:pPr>
          </w:p>
        </w:tc>
        <w:tc>
          <w:tcPr>
            <w:tcW w:w="1985" w:type="dxa"/>
            <w:gridSpan w:val="2"/>
          </w:tcPr>
          <w:p w14:paraId="22F8C2A7" w14:textId="77777777" w:rsidR="00C82BC4" w:rsidRPr="00E8754D" w:rsidRDefault="00C82BC4" w:rsidP="00276542">
            <w:pPr>
              <w:spacing w:after="60"/>
              <w:rPr>
                <w:b/>
                <w:szCs w:val="28"/>
              </w:rPr>
            </w:pPr>
          </w:p>
        </w:tc>
        <w:tc>
          <w:tcPr>
            <w:tcW w:w="1417" w:type="dxa"/>
            <w:gridSpan w:val="3"/>
          </w:tcPr>
          <w:p w14:paraId="3C503977" w14:textId="77777777" w:rsidR="00C82BC4" w:rsidRPr="00E8754D" w:rsidRDefault="00C82BC4" w:rsidP="00276542">
            <w:pPr>
              <w:spacing w:after="60"/>
              <w:rPr>
                <w:b/>
                <w:szCs w:val="28"/>
              </w:rPr>
            </w:pPr>
          </w:p>
        </w:tc>
        <w:tc>
          <w:tcPr>
            <w:tcW w:w="1843" w:type="dxa"/>
            <w:gridSpan w:val="2"/>
            <w:shd w:val="clear" w:color="auto" w:fill="auto"/>
          </w:tcPr>
          <w:p w14:paraId="6CB957EE" w14:textId="77777777" w:rsidR="00C82BC4" w:rsidRPr="00E8754D" w:rsidRDefault="00C82BC4" w:rsidP="00276542">
            <w:pPr>
              <w:spacing w:after="60"/>
              <w:rPr>
                <w:b/>
                <w:szCs w:val="28"/>
              </w:rPr>
            </w:pPr>
            <w:r w:rsidRPr="00E8754D">
              <w:rPr>
                <w:b/>
                <w:szCs w:val="28"/>
              </w:rPr>
              <w:t>305: Emissions</w:t>
            </w:r>
          </w:p>
          <w:p w14:paraId="1D6F2D2A" w14:textId="77777777" w:rsidR="00C82BC4" w:rsidRPr="00E8754D" w:rsidRDefault="00C82BC4" w:rsidP="00276542">
            <w:pPr>
              <w:spacing w:after="60"/>
              <w:rPr>
                <w:szCs w:val="28"/>
              </w:rPr>
            </w:pPr>
            <w:r w:rsidRPr="00E8754D">
              <w:rPr>
                <w:szCs w:val="28"/>
              </w:rPr>
              <w:t>305-4: GHG emissions intensity</w:t>
            </w:r>
          </w:p>
          <w:p w14:paraId="4D2466B8" w14:textId="77777777" w:rsidR="00C82BC4" w:rsidRPr="00E8754D" w:rsidRDefault="00C82BC4" w:rsidP="00276542">
            <w:pPr>
              <w:spacing w:after="60"/>
              <w:ind w:left="34"/>
              <w:rPr>
                <w:b/>
                <w:szCs w:val="28"/>
              </w:rPr>
            </w:pPr>
          </w:p>
        </w:tc>
        <w:tc>
          <w:tcPr>
            <w:tcW w:w="2126" w:type="dxa"/>
          </w:tcPr>
          <w:p w14:paraId="08857F1B" w14:textId="77777777" w:rsidR="00C82BC4" w:rsidRPr="00E8754D" w:rsidRDefault="00C82BC4" w:rsidP="00276542">
            <w:pPr>
              <w:spacing w:after="60"/>
              <w:rPr>
                <w:b/>
                <w:szCs w:val="28"/>
              </w:rPr>
            </w:pPr>
          </w:p>
        </w:tc>
      </w:tr>
      <w:tr w:rsidR="00C82BC4" w:rsidRPr="00E8754D" w14:paraId="181CA5E5" w14:textId="77777777" w:rsidTr="00276542">
        <w:tc>
          <w:tcPr>
            <w:tcW w:w="1153" w:type="dxa"/>
            <w:vMerge/>
            <w:shd w:val="clear" w:color="auto" w:fill="auto"/>
          </w:tcPr>
          <w:p w14:paraId="70007AD3" w14:textId="77777777" w:rsidR="00C82BC4" w:rsidRPr="00E8754D" w:rsidRDefault="00C82BC4" w:rsidP="00276542">
            <w:pPr>
              <w:spacing w:after="60"/>
              <w:rPr>
                <w:b/>
                <w:szCs w:val="28"/>
              </w:rPr>
            </w:pPr>
          </w:p>
        </w:tc>
        <w:tc>
          <w:tcPr>
            <w:tcW w:w="1821" w:type="dxa"/>
            <w:gridSpan w:val="3"/>
            <w:shd w:val="clear" w:color="auto" w:fill="auto"/>
          </w:tcPr>
          <w:p w14:paraId="5D74D4FB" w14:textId="77777777" w:rsidR="00C82BC4" w:rsidRPr="00E8754D" w:rsidRDefault="00C82BC4" w:rsidP="00C82BC4">
            <w:pPr>
              <w:numPr>
                <w:ilvl w:val="0"/>
                <w:numId w:val="7"/>
              </w:numPr>
              <w:spacing w:after="60"/>
              <w:rPr>
                <w:szCs w:val="28"/>
              </w:rPr>
            </w:pPr>
            <w:r w:rsidRPr="00E8754D">
              <w:rPr>
                <w:szCs w:val="28"/>
              </w:rPr>
              <w:t>Waste intensity</w:t>
            </w:r>
          </w:p>
        </w:tc>
        <w:tc>
          <w:tcPr>
            <w:tcW w:w="1559" w:type="dxa"/>
          </w:tcPr>
          <w:p w14:paraId="661B836A" w14:textId="77777777" w:rsidR="00C82BC4" w:rsidRPr="00E8754D" w:rsidRDefault="00C82BC4" w:rsidP="00276542">
            <w:pPr>
              <w:spacing w:after="60"/>
              <w:rPr>
                <w:b/>
                <w:szCs w:val="28"/>
              </w:rPr>
            </w:pPr>
            <w:r w:rsidRPr="00E8754D">
              <w:rPr>
                <w:b/>
                <w:szCs w:val="28"/>
              </w:rPr>
              <w:t xml:space="preserve">B.2 Waste management </w:t>
            </w:r>
          </w:p>
          <w:p w14:paraId="488D585E" w14:textId="77777777" w:rsidR="00C82BC4" w:rsidRPr="00E8754D" w:rsidRDefault="00C82BC4" w:rsidP="00276542">
            <w:pPr>
              <w:spacing w:after="60"/>
              <w:rPr>
                <w:szCs w:val="28"/>
              </w:rPr>
            </w:pPr>
            <w:r w:rsidRPr="00E8754D">
              <w:rPr>
                <w:szCs w:val="28"/>
              </w:rPr>
              <w:t>B.2.1. Reduction of waste generation</w:t>
            </w:r>
          </w:p>
          <w:p w14:paraId="7183E656" w14:textId="77777777" w:rsidR="00C82BC4" w:rsidRPr="00E8754D" w:rsidRDefault="00C82BC4" w:rsidP="00276542">
            <w:pPr>
              <w:spacing w:after="60"/>
              <w:rPr>
                <w:szCs w:val="28"/>
              </w:rPr>
            </w:pPr>
            <w:r w:rsidRPr="00E8754D">
              <w:rPr>
                <w:szCs w:val="28"/>
              </w:rPr>
              <w:t>B.2.2. Waste reused, re-manufactured and recycled</w:t>
            </w:r>
          </w:p>
          <w:p w14:paraId="6C28696D" w14:textId="77777777" w:rsidR="00C82BC4" w:rsidRPr="00E8754D" w:rsidRDefault="00C82BC4" w:rsidP="00276542">
            <w:pPr>
              <w:spacing w:after="60"/>
              <w:rPr>
                <w:szCs w:val="28"/>
              </w:rPr>
            </w:pPr>
            <w:r w:rsidRPr="00E8754D">
              <w:rPr>
                <w:szCs w:val="28"/>
              </w:rPr>
              <w:t>B.2.3: Hazardous waste</w:t>
            </w:r>
          </w:p>
        </w:tc>
        <w:tc>
          <w:tcPr>
            <w:tcW w:w="1985" w:type="dxa"/>
            <w:gridSpan w:val="2"/>
          </w:tcPr>
          <w:p w14:paraId="656161EC" w14:textId="77777777" w:rsidR="00C82BC4" w:rsidRPr="00E8754D" w:rsidRDefault="00C82BC4" w:rsidP="00276542">
            <w:pPr>
              <w:spacing w:after="60"/>
              <w:rPr>
                <w:szCs w:val="28"/>
              </w:rPr>
            </w:pPr>
          </w:p>
        </w:tc>
        <w:tc>
          <w:tcPr>
            <w:tcW w:w="1417" w:type="dxa"/>
            <w:gridSpan w:val="3"/>
          </w:tcPr>
          <w:p w14:paraId="63F68727" w14:textId="77777777" w:rsidR="00C82BC4" w:rsidRPr="00E8754D" w:rsidRDefault="00C82BC4" w:rsidP="00276542">
            <w:pPr>
              <w:spacing w:after="60"/>
              <w:rPr>
                <w:szCs w:val="28"/>
              </w:rPr>
            </w:pPr>
          </w:p>
        </w:tc>
        <w:tc>
          <w:tcPr>
            <w:tcW w:w="1843" w:type="dxa"/>
            <w:gridSpan w:val="2"/>
            <w:shd w:val="clear" w:color="auto" w:fill="auto"/>
          </w:tcPr>
          <w:p w14:paraId="03ABDD01" w14:textId="77777777" w:rsidR="00C82BC4" w:rsidRPr="00E8754D" w:rsidRDefault="00C82BC4" w:rsidP="00276542">
            <w:pPr>
              <w:spacing w:after="60"/>
              <w:rPr>
                <w:szCs w:val="28"/>
              </w:rPr>
            </w:pPr>
            <w:r w:rsidRPr="00E8754D">
              <w:rPr>
                <w:szCs w:val="28"/>
              </w:rPr>
              <w:t>306-2: Waste by type and disposal method</w:t>
            </w:r>
          </w:p>
          <w:p w14:paraId="734A302C" w14:textId="77777777" w:rsidR="00C82BC4" w:rsidRPr="00E8754D" w:rsidRDefault="00C82BC4" w:rsidP="00276542">
            <w:pPr>
              <w:spacing w:after="60"/>
              <w:rPr>
                <w:b/>
                <w:szCs w:val="28"/>
              </w:rPr>
            </w:pPr>
          </w:p>
        </w:tc>
        <w:tc>
          <w:tcPr>
            <w:tcW w:w="2126" w:type="dxa"/>
          </w:tcPr>
          <w:p w14:paraId="00270CC3" w14:textId="77777777" w:rsidR="00C82BC4" w:rsidRPr="00E8754D" w:rsidRDefault="00C82BC4" w:rsidP="00276542">
            <w:pPr>
              <w:spacing w:after="60"/>
              <w:rPr>
                <w:szCs w:val="28"/>
              </w:rPr>
            </w:pPr>
            <w:r w:rsidRPr="00E8754D">
              <w:rPr>
                <w:szCs w:val="28"/>
              </w:rPr>
              <w:t>Waste and Hazardous Materials Management</w:t>
            </w:r>
            <w:r w:rsidRPr="00E8754D">
              <w:rPr>
                <w:rFonts w:ascii="MS Gothic" w:eastAsia="MS Gothic" w:hAnsi="MS Gothic" w:cs="MS Gothic"/>
                <w:szCs w:val="28"/>
              </w:rPr>
              <w:t> </w:t>
            </w:r>
          </w:p>
          <w:p w14:paraId="75214338" w14:textId="77777777" w:rsidR="00C82BC4" w:rsidRPr="00E8754D" w:rsidRDefault="00C82BC4" w:rsidP="00276542">
            <w:pPr>
              <w:spacing w:after="60"/>
              <w:rPr>
                <w:b/>
                <w:szCs w:val="28"/>
              </w:rPr>
            </w:pPr>
          </w:p>
        </w:tc>
      </w:tr>
      <w:tr w:rsidR="00C82BC4" w:rsidRPr="00E8754D" w14:paraId="1CE50B5C" w14:textId="77777777" w:rsidTr="00276542">
        <w:trPr>
          <w:cnfStyle w:val="000000010000" w:firstRow="0" w:lastRow="0" w:firstColumn="0" w:lastColumn="0" w:oddVBand="0" w:evenVBand="0" w:oddHBand="0" w:evenHBand="1" w:firstRowFirstColumn="0" w:firstRowLastColumn="0" w:lastRowFirstColumn="0" w:lastRowLastColumn="0"/>
        </w:trPr>
        <w:tc>
          <w:tcPr>
            <w:tcW w:w="1153" w:type="dxa"/>
            <w:vMerge/>
            <w:shd w:val="clear" w:color="auto" w:fill="auto"/>
          </w:tcPr>
          <w:p w14:paraId="1E150F4C" w14:textId="77777777" w:rsidR="00C82BC4" w:rsidRPr="00E8754D" w:rsidRDefault="00C82BC4" w:rsidP="00276542">
            <w:pPr>
              <w:spacing w:after="60"/>
              <w:ind w:left="54"/>
              <w:rPr>
                <w:szCs w:val="28"/>
              </w:rPr>
            </w:pPr>
          </w:p>
        </w:tc>
        <w:tc>
          <w:tcPr>
            <w:tcW w:w="1821" w:type="dxa"/>
            <w:gridSpan w:val="3"/>
            <w:shd w:val="clear" w:color="auto" w:fill="auto"/>
          </w:tcPr>
          <w:p w14:paraId="28F88691" w14:textId="77777777" w:rsidR="00C82BC4" w:rsidRPr="00E8754D" w:rsidRDefault="00C82BC4" w:rsidP="00C82BC4">
            <w:pPr>
              <w:numPr>
                <w:ilvl w:val="0"/>
                <w:numId w:val="7"/>
              </w:numPr>
              <w:spacing w:after="60"/>
              <w:rPr>
                <w:szCs w:val="28"/>
              </w:rPr>
            </w:pPr>
            <w:r w:rsidRPr="00E8754D">
              <w:rPr>
                <w:szCs w:val="28"/>
              </w:rPr>
              <w:t>Biodiversity impacts</w:t>
            </w:r>
          </w:p>
        </w:tc>
        <w:tc>
          <w:tcPr>
            <w:tcW w:w="1559" w:type="dxa"/>
          </w:tcPr>
          <w:p w14:paraId="614F25BE" w14:textId="77777777" w:rsidR="00C82BC4" w:rsidRPr="00E8754D" w:rsidRDefault="00C82BC4" w:rsidP="00276542">
            <w:pPr>
              <w:spacing w:after="60"/>
              <w:rPr>
                <w:b/>
                <w:szCs w:val="28"/>
              </w:rPr>
            </w:pPr>
          </w:p>
        </w:tc>
        <w:tc>
          <w:tcPr>
            <w:tcW w:w="1985" w:type="dxa"/>
            <w:gridSpan w:val="2"/>
          </w:tcPr>
          <w:p w14:paraId="3467C54A" w14:textId="77777777" w:rsidR="00C82BC4" w:rsidRPr="00E8754D" w:rsidRDefault="00C82BC4" w:rsidP="00276542">
            <w:pPr>
              <w:spacing w:after="60"/>
              <w:rPr>
                <w:b/>
                <w:szCs w:val="28"/>
              </w:rPr>
            </w:pPr>
          </w:p>
        </w:tc>
        <w:tc>
          <w:tcPr>
            <w:tcW w:w="1417" w:type="dxa"/>
            <w:gridSpan w:val="3"/>
          </w:tcPr>
          <w:p w14:paraId="0C086481" w14:textId="77777777" w:rsidR="00C82BC4" w:rsidRPr="00E8754D" w:rsidRDefault="00C82BC4" w:rsidP="00276542">
            <w:pPr>
              <w:spacing w:after="60"/>
              <w:rPr>
                <w:b/>
                <w:szCs w:val="28"/>
              </w:rPr>
            </w:pPr>
          </w:p>
        </w:tc>
        <w:tc>
          <w:tcPr>
            <w:tcW w:w="1843" w:type="dxa"/>
            <w:gridSpan w:val="2"/>
            <w:shd w:val="clear" w:color="auto" w:fill="auto"/>
          </w:tcPr>
          <w:p w14:paraId="39045A51" w14:textId="77777777" w:rsidR="00C82BC4" w:rsidRPr="00E8754D" w:rsidRDefault="00C82BC4" w:rsidP="00276542">
            <w:pPr>
              <w:spacing w:after="60"/>
              <w:rPr>
                <w:b/>
                <w:szCs w:val="28"/>
              </w:rPr>
            </w:pPr>
            <w:r w:rsidRPr="00E8754D">
              <w:rPr>
                <w:b/>
                <w:szCs w:val="28"/>
              </w:rPr>
              <w:t>304: Biodiversity</w:t>
            </w:r>
          </w:p>
          <w:p w14:paraId="7709AAC4" w14:textId="77777777" w:rsidR="00C82BC4" w:rsidRPr="00E8754D" w:rsidRDefault="00C82BC4" w:rsidP="00276542">
            <w:pPr>
              <w:spacing w:after="60"/>
              <w:rPr>
                <w:szCs w:val="28"/>
              </w:rPr>
            </w:pPr>
            <w:r w:rsidRPr="00E8754D">
              <w:rPr>
                <w:szCs w:val="28"/>
              </w:rPr>
              <w:t>304-1: Operational sites owned, leased, managed in or adjacent to, protected areas and areas of high biodiversity value outside protected areas</w:t>
            </w:r>
          </w:p>
          <w:p w14:paraId="48E91D22" w14:textId="77777777" w:rsidR="00C82BC4" w:rsidRPr="00E8754D" w:rsidRDefault="00C82BC4" w:rsidP="00276542">
            <w:pPr>
              <w:spacing w:after="60"/>
              <w:rPr>
                <w:szCs w:val="28"/>
              </w:rPr>
            </w:pPr>
            <w:r w:rsidRPr="00E8754D">
              <w:rPr>
                <w:szCs w:val="28"/>
              </w:rPr>
              <w:t>304-2: Significant impacts of activities, products and services on biodiversity</w:t>
            </w:r>
          </w:p>
          <w:p w14:paraId="320F8BFA" w14:textId="77777777" w:rsidR="00C82BC4" w:rsidRPr="00E8754D" w:rsidRDefault="00C82BC4" w:rsidP="00276542">
            <w:pPr>
              <w:spacing w:after="60"/>
              <w:rPr>
                <w:szCs w:val="28"/>
              </w:rPr>
            </w:pPr>
            <w:r w:rsidRPr="00E8754D">
              <w:rPr>
                <w:szCs w:val="28"/>
              </w:rPr>
              <w:lastRenderedPageBreak/>
              <w:t>304-3: Habitats protected or restored</w:t>
            </w:r>
          </w:p>
          <w:p w14:paraId="1979BB82" w14:textId="77777777" w:rsidR="00C82BC4" w:rsidRPr="00E8754D" w:rsidRDefault="00C82BC4" w:rsidP="00276542">
            <w:pPr>
              <w:spacing w:after="60"/>
              <w:ind w:left="34"/>
              <w:rPr>
                <w:szCs w:val="28"/>
              </w:rPr>
            </w:pPr>
            <w:r w:rsidRPr="00E8754D">
              <w:rPr>
                <w:szCs w:val="28"/>
              </w:rPr>
              <w:t>304-4: IUCN Red List species and national conservation list species with habitats in areas affected by operations</w:t>
            </w:r>
          </w:p>
        </w:tc>
        <w:tc>
          <w:tcPr>
            <w:tcW w:w="2126" w:type="dxa"/>
          </w:tcPr>
          <w:p w14:paraId="6E1B1ADA" w14:textId="77777777" w:rsidR="00C82BC4" w:rsidRPr="00E8754D" w:rsidRDefault="00C82BC4" w:rsidP="00276542">
            <w:pPr>
              <w:spacing w:after="0"/>
              <w:rPr>
                <w:szCs w:val="28"/>
              </w:rPr>
            </w:pPr>
            <w:r w:rsidRPr="00E8754D">
              <w:rPr>
                <w:szCs w:val="28"/>
              </w:rPr>
              <w:lastRenderedPageBreak/>
              <w:t xml:space="preserve">Ecosystem Impacts </w:t>
            </w:r>
          </w:p>
          <w:p w14:paraId="20E218FB" w14:textId="77777777" w:rsidR="00C82BC4" w:rsidRPr="00E8754D" w:rsidRDefault="00C82BC4" w:rsidP="00276542">
            <w:pPr>
              <w:spacing w:after="60"/>
              <w:ind w:left="54"/>
              <w:rPr>
                <w:szCs w:val="28"/>
              </w:rPr>
            </w:pPr>
          </w:p>
        </w:tc>
      </w:tr>
      <w:tr w:rsidR="00C82BC4" w:rsidRPr="00E8754D" w14:paraId="40351F6E" w14:textId="77777777" w:rsidTr="00276542">
        <w:tc>
          <w:tcPr>
            <w:tcW w:w="1153" w:type="dxa"/>
            <w:vMerge/>
            <w:shd w:val="clear" w:color="auto" w:fill="auto"/>
          </w:tcPr>
          <w:p w14:paraId="19F1886A" w14:textId="77777777" w:rsidR="00C82BC4" w:rsidRPr="00E8754D" w:rsidRDefault="00C82BC4" w:rsidP="00276542">
            <w:pPr>
              <w:spacing w:after="60"/>
              <w:ind w:left="54"/>
              <w:rPr>
                <w:szCs w:val="28"/>
              </w:rPr>
            </w:pPr>
          </w:p>
        </w:tc>
        <w:tc>
          <w:tcPr>
            <w:tcW w:w="1821" w:type="dxa"/>
            <w:gridSpan w:val="3"/>
            <w:shd w:val="clear" w:color="auto" w:fill="1C4170" w:themeFill="text2" w:themeFillShade="E6"/>
          </w:tcPr>
          <w:p w14:paraId="620B02A1" w14:textId="77777777" w:rsidR="00C82BC4" w:rsidRPr="00E8754D" w:rsidRDefault="00C82BC4" w:rsidP="00276542">
            <w:pPr>
              <w:spacing w:after="60"/>
              <w:rPr>
                <w:szCs w:val="28"/>
              </w:rPr>
            </w:pPr>
            <w:r w:rsidRPr="00E8754D">
              <w:rPr>
                <w:b/>
                <w:szCs w:val="28"/>
              </w:rPr>
              <w:t>Social</w:t>
            </w:r>
          </w:p>
        </w:tc>
        <w:tc>
          <w:tcPr>
            <w:tcW w:w="1559" w:type="dxa"/>
            <w:shd w:val="clear" w:color="auto" w:fill="1C4170" w:themeFill="text2" w:themeFillShade="E6"/>
          </w:tcPr>
          <w:p w14:paraId="5B70B633" w14:textId="77777777" w:rsidR="00C82BC4" w:rsidRPr="00E8754D" w:rsidRDefault="00C82BC4" w:rsidP="00276542">
            <w:pPr>
              <w:spacing w:after="60"/>
              <w:ind w:left="34"/>
              <w:rPr>
                <w:szCs w:val="28"/>
              </w:rPr>
            </w:pPr>
          </w:p>
        </w:tc>
        <w:tc>
          <w:tcPr>
            <w:tcW w:w="1985" w:type="dxa"/>
            <w:gridSpan w:val="2"/>
            <w:shd w:val="clear" w:color="auto" w:fill="1C4170" w:themeFill="text2" w:themeFillShade="E6"/>
          </w:tcPr>
          <w:p w14:paraId="0E0AA8F5" w14:textId="77777777" w:rsidR="00C82BC4" w:rsidRPr="00E8754D" w:rsidRDefault="00C82BC4" w:rsidP="00276542">
            <w:pPr>
              <w:spacing w:after="60"/>
              <w:ind w:left="34"/>
              <w:rPr>
                <w:szCs w:val="28"/>
              </w:rPr>
            </w:pPr>
          </w:p>
        </w:tc>
        <w:tc>
          <w:tcPr>
            <w:tcW w:w="1417" w:type="dxa"/>
            <w:gridSpan w:val="3"/>
            <w:shd w:val="clear" w:color="auto" w:fill="1C4170" w:themeFill="text2" w:themeFillShade="E6"/>
          </w:tcPr>
          <w:p w14:paraId="4A007E18" w14:textId="77777777" w:rsidR="00C82BC4" w:rsidRPr="00E8754D" w:rsidRDefault="00C82BC4" w:rsidP="00276542">
            <w:pPr>
              <w:spacing w:after="60"/>
              <w:ind w:left="34"/>
              <w:rPr>
                <w:szCs w:val="28"/>
              </w:rPr>
            </w:pPr>
          </w:p>
        </w:tc>
        <w:tc>
          <w:tcPr>
            <w:tcW w:w="1843" w:type="dxa"/>
            <w:gridSpan w:val="2"/>
            <w:shd w:val="clear" w:color="auto" w:fill="1C4170" w:themeFill="text2" w:themeFillShade="E6"/>
          </w:tcPr>
          <w:p w14:paraId="0FF23650" w14:textId="77777777" w:rsidR="00C82BC4" w:rsidRPr="00E8754D" w:rsidRDefault="00C82BC4" w:rsidP="00276542">
            <w:pPr>
              <w:spacing w:after="60"/>
              <w:ind w:left="34"/>
              <w:rPr>
                <w:szCs w:val="28"/>
              </w:rPr>
            </w:pPr>
          </w:p>
        </w:tc>
        <w:tc>
          <w:tcPr>
            <w:tcW w:w="2126" w:type="dxa"/>
            <w:shd w:val="clear" w:color="auto" w:fill="1C4170" w:themeFill="text2" w:themeFillShade="E6"/>
          </w:tcPr>
          <w:p w14:paraId="5A1A5B80" w14:textId="77777777" w:rsidR="00C82BC4" w:rsidRPr="00E8754D" w:rsidRDefault="00C82BC4" w:rsidP="00276542">
            <w:pPr>
              <w:spacing w:after="60"/>
              <w:ind w:left="54"/>
              <w:rPr>
                <w:szCs w:val="28"/>
              </w:rPr>
            </w:pPr>
          </w:p>
        </w:tc>
      </w:tr>
      <w:tr w:rsidR="00C82BC4" w:rsidRPr="00E8754D" w14:paraId="17B181B5" w14:textId="77777777" w:rsidTr="00276542">
        <w:trPr>
          <w:cnfStyle w:val="000000010000" w:firstRow="0" w:lastRow="0" w:firstColumn="0" w:lastColumn="0" w:oddVBand="0" w:evenVBand="0" w:oddHBand="0" w:evenHBand="1" w:firstRowFirstColumn="0" w:firstRowLastColumn="0" w:lastRowFirstColumn="0" w:lastRowLastColumn="0"/>
        </w:trPr>
        <w:tc>
          <w:tcPr>
            <w:tcW w:w="1153" w:type="dxa"/>
            <w:vMerge/>
            <w:shd w:val="clear" w:color="auto" w:fill="auto"/>
          </w:tcPr>
          <w:p w14:paraId="5103A84F" w14:textId="77777777" w:rsidR="00C82BC4" w:rsidRPr="00E8754D" w:rsidRDefault="00C82BC4" w:rsidP="00276542">
            <w:pPr>
              <w:spacing w:after="60"/>
              <w:ind w:left="54"/>
              <w:rPr>
                <w:szCs w:val="28"/>
              </w:rPr>
            </w:pPr>
          </w:p>
        </w:tc>
        <w:tc>
          <w:tcPr>
            <w:tcW w:w="1821" w:type="dxa"/>
            <w:gridSpan w:val="3"/>
            <w:shd w:val="clear" w:color="auto" w:fill="auto"/>
          </w:tcPr>
          <w:p w14:paraId="145CC761" w14:textId="77777777" w:rsidR="00C82BC4" w:rsidRPr="00E8754D" w:rsidRDefault="00C82BC4" w:rsidP="00C82BC4">
            <w:pPr>
              <w:numPr>
                <w:ilvl w:val="0"/>
                <w:numId w:val="7"/>
              </w:numPr>
              <w:spacing w:after="60"/>
              <w:rPr>
                <w:szCs w:val="28"/>
              </w:rPr>
            </w:pPr>
            <w:r w:rsidRPr="00E8754D">
              <w:rPr>
                <w:szCs w:val="28"/>
              </w:rPr>
              <w:t>Supplier social assessment</w:t>
            </w:r>
          </w:p>
        </w:tc>
        <w:tc>
          <w:tcPr>
            <w:tcW w:w="1559" w:type="dxa"/>
          </w:tcPr>
          <w:p w14:paraId="46597E33" w14:textId="77777777" w:rsidR="00C82BC4" w:rsidRPr="00E8754D" w:rsidRDefault="00C82BC4" w:rsidP="00276542">
            <w:pPr>
              <w:spacing w:after="60"/>
              <w:rPr>
                <w:b/>
                <w:szCs w:val="28"/>
              </w:rPr>
            </w:pPr>
          </w:p>
        </w:tc>
        <w:tc>
          <w:tcPr>
            <w:tcW w:w="1985" w:type="dxa"/>
            <w:gridSpan w:val="2"/>
          </w:tcPr>
          <w:p w14:paraId="724B3993" w14:textId="77777777" w:rsidR="00C82BC4" w:rsidRPr="00E8754D" w:rsidRDefault="00C82BC4" w:rsidP="00276542">
            <w:pPr>
              <w:spacing w:after="60"/>
              <w:rPr>
                <w:b/>
                <w:szCs w:val="28"/>
              </w:rPr>
            </w:pPr>
          </w:p>
        </w:tc>
        <w:tc>
          <w:tcPr>
            <w:tcW w:w="1417" w:type="dxa"/>
            <w:gridSpan w:val="3"/>
          </w:tcPr>
          <w:p w14:paraId="4AECAE71" w14:textId="77777777" w:rsidR="00C82BC4" w:rsidRPr="00E8754D" w:rsidRDefault="00C82BC4" w:rsidP="00276542">
            <w:pPr>
              <w:spacing w:after="60"/>
              <w:rPr>
                <w:b/>
                <w:szCs w:val="28"/>
              </w:rPr>
            </w:pPr>
          </w:p>
        </w:tc>
        <w:tc>
          <w:tcPr>
            <w:tcW w:w="1843" w:type="dxa"/>
            <w:gridSpan w:val="2"/>
            <w:shd w:val="clear" w:color="auto" w:fill="auto"/>
          </w:tcPr>
          <w:p w14:paraId="74ED1092" w14:textId="77777777" w:rsidR="00C82BC4" w:rsidRPr="00E8754D" w:rsidRDefault="00C82BC4" w:rsidP="00276542">
            <w:pPr>
              <w:spacing w:after="60"/>
              <w:rPr>
                <w:b/>
                <w:szCs w:val="28"/>
              </w:rPr>
            </w:pPr>
            <w:r w:rsidRPr="00E8754D">
              <w:rPr>
                <w:b/>
                <w:szCs w:val="28"/>
              </w:rPr>
              <w:t>414: Supplier social assessment</w:t>
            </w:r>
          </w:p>
          <w:p w14:paraId="45A1A3FB" w14:textId="77777777" w:rsidR="00C82BC4" w:rsidRPr="00E8754D" w:rsidRDefault="00C82BC4" w:rsidP="00276542">
            <w:pPr>
              <w:spacing w:after="60"/>
              <w:rPr>
                <w:szCs w:val="28"/>
              </w:rPr>
            </w:pPr>
            <w:r w:rsidRPr="00E8754D">
              <w:rPr>
                <w:szCs w:val="28"/>
              </w:rPr>
              <w:t>414-1: New suppliers that were screened using social criteria</w:t>
            </w:r>
          </w:p>
          <w:p w14:paraId="651CA03C" w14:textId="77777777" w:rsidR="00C82BC4" w:rsidRPr="00E8754D" w:rsidRDefault="00C82BC4" w:rsidP="00276542">
            <w:pPr>
              <w:spacing w:after="60"/>
              <w:rPr>
                <w:szCs w:val="28"/>
              </w:rPr>
            </w:pPr>
            <w:r w:rsidRPr="00E8754D">
              <w:rPr>
                <w:szCs w:val="28"/>
              </w:rPr>
              <w:t>414-2: Negative social impacts in the supply chain and actions taken</w:t>
            </w:r>
          </w:p>
        </w:tc>
        <w:tc>
          <w:tcPr>
            <w:tcW w:w="2126" w:type="dxa"/>
          </w:tcPr>
          <w:p w14:paraId="163C05A6" w14:textId="77777777" w:rsidR="00C82BC4" w:rsidRPr="00E8754D" w:rsidRDefault="00C82BC4" w:rsidP="00276542">
            <w:pPr>
              <w:spacing w:after="60"/>
              <w:ind w:left="54"/>
              <w:rPr>
                <w:szCs w:val="28"/>
              </w:rPr>
            </w:pPr>
          </w:p>
        </w:tc>
      </w:tr>
      <w:tr w:rsidR="00C82BC4" w:rsidRPr="00E8754D" w14:paraId="74AA0593" w14:textId="77777777" w:rsidTr="00276542">
        <w:tc>
          <w:tcPr>
            <w:tcW w:w="1153" w:type="dxa"/>
            <w:vMerge/>
            <w:shd w:val="clear" w:color="auto" w:fill="auto"/>
          </w:tcPr>
          <w:p w14:paraId="0FC9AC69" w14:textId="77777777" w:rsidR="00C82BC4" w:rsidRPr="00E8754D" w:rsidRDefault="00C82BC4" w:rsidP="00276542">
            <w:pPr>
              <w:spacing w:after="60"/>
              <w:ind w:left="54"/>
              <w:rPr>
                <w:szCs w:val="28"/>
              </w:rPr>
            </w:pPr>
          </w:p>
        </w:tc>
        <w:tc>
          <w:tcPr>
            <w:tcW w:w="1821" w:type="dxa"/>
            <w:gridSpan w:val="3"/>
            <w:shd w:val="clear" w:color="auto" w:fill="auto"/>
          </w:tcPr>
          <w:p w14:paraId="46E7FFB3" w14:textId="77777777" w:rsidR="00C82BC4" w:rsidRPr="00E8754D" w:rsidRDefault="00C82BC4" w:rsidP="00C82BC4">
            <w:pPr>
              <w:numPr>
                <w:ilvl w:val="0"/>
                <w:numId w:val="7"/>
              </w:numPr>
              <w:spacing w:after="60"/>
              <w:rPr>
                <w:szCs w:val="28"/>
              </w:rPr>
            </w:pPr>
            <w:r w:rsidRPr="00E8754D">
              <w:rPr>
                <w:szCs w:val="28"/>
              </w:rPr>
              <w:t>Local community impacts</w:t>
            </w:r>
          </w:p>
        </w:tc>
        <w:tc>
          <w:tcPr>
            <w:tcW w:w="1559" w:type="dxa"/>
          </w:tcPr>
          <w:p w14:paraId="4D4961C6" w14:textId="77777777" w:rsidR="00C82BC4" w:rsidRPr="00E8754D" w:rsidRDefault="00C82BC4" w:rsidP="00276542">
            <w:pPr>
              <w:spacing w:after="60"/>
              <w:rPr>
                <w:szCs w:val="28"/>
              </w:rPr>
            </w:pPr>
            <w:r w:rsidRPr="00E8754D">
              <w:rPr>
                <w:szCs w:val="28"/>
              </w:rPr>
              <w:t>A.3.2 Community Investment</w:t>
            </w:r>
          </w:p>
        </w:tc>
        <w:tc>
          <w:tcPr>
            <w:tcW w:w="1985" w:type="dxa"/>
            <w:gridSpan w:val="2"/>
          </w:tcPr>
          <w:p w14:paraId="1338CA6A" w14:textId="77777777" w:rsidR="00C82BC4" w:rsidRPr="00E8754D" w:rsidRDefault="00C82BC4" w:rsidP="00276542">
            <w:pPr>
              <w:spacing w:after="60"/>
              <w:rPr>
                <w:b/>
                <w:szCs w:val="28"/>
              </w:rPr>
            </w:pPr>
          </w:p>
        </w:tc>
        <w:tc>
          <w:tcPr>
            <w:tcW w:w="1417" w:type="dxa"/>
            <w:gridSpan w:val="3"/>
          </w:tcPr>
          <w:p w14:paraId="04BA040D" w14:textId="77777777" w:rsidR="00C82BC4" w:rsidRPr="00E8754D" w:rsidRDefault="00C82BC4" w:rsidP="00276542">
            <w:pPr>
              <w:spacing w:after="60"/>
              <w:rPr>
                <w:b/>
                <w:szCs w:val="28"/>
              </w:rPr>
            </w:pPr>
          </w:p>
        </w:tc>
        <w:tc>
          <w:tcPr>
            <w:tcW w:w="1843" w:type="dxa"/>
            <w:gridSpan w:val="2"/>
            <w:shd w:val="clear" w:color="auto" w:fill="auto"/>
          </w:tcPr>
          <w:p w14:paraId="6F3A1B65" w14:textId="77777777" w:rsidR="00C82BC4" w:rsidRPr="00E8754D" w:rsidRDefault="00C82BC4" w:rsidP="00276542">
            <w:pPr>
              <w:spacing w:after="60"/>
              <w:rPr>
                <w:b/>
                <w:szCs w:val="28"/>
              </w:rPr>
            </w:pPr>
            <w:r w:rsidRPr="00E8754D">
              <w:rPr>
                <w:b/>
                <w:szCs w:val="28"/>
              </w:rPr>
              <w:t xml:space="preserve">203: Indirect economic impacts </w:t>
            </w:r>
          </w:p>
          <w:p w14:paraId="2339E622" w14:textId="77777777" w:rsidR="00C82BC4" w:rsidRPr="00E8754D" w:rsidRDefault="00C82BC4" w:rsidP="00276542">
            <w:pPr>
              <w:spacing w:after="60"/>
              <w:rPr>
                <w:szCs w:val="28"/>
              </w:rPr>
            </w:pPr>
            <w:r w:rsidRPr="00E8754D">
              <w:rPr>
                <w:szCs w:val="28"/>
              </w:rPr>
              <w:t>203-2: Significant indirect economic impacts</w:t>
            </w:r>
          </w:p>
          <w:p w14:paraId="7F3E6450" w14:textId="77777777" w:rsidR="00C82BC4" w:rsidRPr="00E8754D" w:rsidRDefault="00C82BC4" w:rsidP="00276542">
            <w:pPr>
              <w:spacing w:after="60"/>
              <w:rPr>
                <w:b/>
                <w:szCs w:val="28"/>
              </w:rPr>
            </w:pPr>
            <w:r w:rsidRPr="00E8754D">
              <w:rPr>
                <w:b/>
                <w:szCs w:val="28"/>
              </w:rPr>
              <w:t>413: Local communities</w:t>
            </w:r>
          </w:p>
          <w:p w14:paraId="179B5996" w14:textId="77777777" w:rsidR="00C82BC4" w:rsidRPr="00E8754D" w:rsidRDefault="00C82BC4" w:rsidP="00276542">
            <w:pPr>
              <w:spacing w:after="60"/>
              <w:rPr>
                <w:szCs w:val="28"/>
              </w:rPr>
            </w:pPr>
            <w:r w:rsidRPr="00E8754D">
              <w:rPr>
                <w:szCs w:val="28"/>
              </w:rPr>
              <w:t>413-1: Operations with local community engagement, impact assessments and development programmes</w:t>
            </w:r>
          </w:p>
          <w:p w14:paraId="3DC8812C" w14:textId="77777777" w:rsidR="00C82BC4" w:rsidRPr="00E8754D" w:rsidRDefault="00C82BC4" w:rsidP="00276542">
            <w:pPr>
              <w:spacing w:after="60"/>
              <w:rPr>
                <w:szCs w:val="28"/>
              </w:rPr>
            </w:pPr>
            <w:r w:rsidRPr="00E8754D">
              <w:rPr>
                <w:szCs w:val="28"/>
              </w:rPr>
              <w:t>413-2: Operations with significant actual and potential negative impacts on local communities</w:t>
            </w:r>
          </w:p>
          <w:p w14:paraId="501038DE" w14:textId="77777777" w:rsidR="00C82BC4" w:rsidRPr="00E8754D" w:rsidRDefault="00C82BC4" w:rsidP="00276542">
            <w:pPr>
              <w:spacing w:after="60"/>
              <w:ind w:left="34"/>
              <w:rPr>
                <w:szCs w:val="28"/>
              </w:rPr>
            </w:pPr>
          </w:p>
        </w:tc>
        <w:tc>
          <w:tcPr>
            <w:tcW w:w="2126" w:type="dxa"/>
          </w:tcPr>
          <w:p w14:paraId="19628C38" w14:textId="77777777" w:rsidR="00C82BC4" w:rsidRPr="00E8754D" w:rsidRDefault="00C82BC4" w:rsidP="00276542">
            <w:pPr>
              <w:spacing w:after="60"/>
              <w:ind w:left="54"/>
              <w:rPr>
                <w:szCs w:val="28"/>
              </w:rPr>
            </w:pPr>
          </w:p>
        </w:tc>
      </w:tr>
      <w:tr w:rsidR="00C82BC4" w:rsidRPr="00E8754D" w14:paraId="71EDFCBA" w14:textId="77777777" w:rsidTr="00276542">
        <w:trPr>
          <w:cnfStyle w:val="000000010000" w:firstRow="0" w:lastRow="0" w:firstColumn="0" w:lastColumn="0" w:oddVBand="0" w:evenVBand="0" w:oddHBand="0" w:evenHBand="1" w:firstRowFirstColumn="0" w:firstRowLastColumn="0" w:lastRowFirstColumn="0" w:lastRowLastColumn="0"/>
        </w:trPr>
        <w:tc>
          <w:tcPr>
            <w:tcW w:w="1153" w:type="dxa"/>
            <w:vMerge/>
            <w:shd w:val="clear" w:color="auto" w:fill="auto"/>
          </w:tcPr>
          <w:p w14:paraId="39A4D250" w14:textId="77777777" w:rsidR="00C82BC4" w:rsidRPr="00E8754D" w:rsidRDefault="00C82BC4" w:rsidP="00276542">
            <w:pPr>
              <w:spacing w:after="60"/>
              <w:rPr>
                <w:b/>
                <w:szCs w:val="28"/>
              </w:rPr>
            </w:pPr>
          </w:p>
        </w:tc>
        <w:tc>
          <w:tcPr>
            <w:tcW w:w="1821" w:type="dxa"/>
            <w:gridSpan w:val="3"/>
            <w:shd w:val="clear" w:color="auto" w:fill="auto"/>
          </w:tcPr>
          <w:p w14:paraId="03250EEC" w14:textId="77777777" w:rsidR="00C82BC4" w:rsidRPr="00E8754D" w:rsidRDefault="00C82BC4" w:rsidP="00C82BC4">
            <w:pPr>
              <w:numPr>
                <w:ilvl w:val="0"/>
                <w:numId w:val="7"/>
              </w:numPr>
              <w:spacing w:after="60"/>
              <w:rPr>
                <w:szCs w:val="28"/>
              </w:rPr>
            </w:pPr>
            <w:r w:rsidRPr="00E8754D">
              <w:rPr>
                <w:szCs w:val="28"/>
              </w:rPr>
              <w:t xml:space="preserve">Supplier and consumer </w:t>
            </w:r>
            <w:r w:rsidRPr="00E8754D">
              <w:rPr>
                <w:szCs w:val="28"/>
              </w:rPr>
              <w:lastRenderedPageBreak/>
              <w:t>engagement on sustainability issues</w:t>
            </w:r>
          </w:p>
        </w:tc>
        <w:tc>
          <w:tcPr>
            <w:tcW w:w="1559" w:type="dxa"/>
            <w:tcBorders>
              <w:top w:val="single" w:sz="2" w:space="0" w:color="A6A6A6"/>
              <w:left w:val="single" w:sz="2" w:space="0" w:color="A6A6A6"/>
              <w:bottom w:val="single" w:sz="48" w:space="0" w:color="75A712"/>
              <w:right w:val="single" w:sz="2" w:space="0" w:color="A6A6A6"/>
            </w:tcBorders>
          </w:tcPr>
          <w:p w14:paraId="3FBA2EA1" w14:textId="77777777" w:rsidR="00C82BC4" w:rsidRPr="00E8754D" w:rsidRDefault="00C82BC4" w:rsidP="00276542">
            <w:pPr>
              <w:spacing w:after="60"/>
              <w:rPr>
                <w:b/>
                <w:szCs w:val="28"/>
              </w:rPr>
            </w:pPr>
          </w:p>
        </w:tc>
        <w:tc>
          <w:tcPr>
            <w:tcW w:w="1985" w:type="dxa"/>
            <w:gridSpan w:val="2"/>
          </w:tcPr>
          <w:p w14:paraId="649BA77C" w14:textId="77777777" w:rsidR="00C82BC4" w:rsidRPr="00E8754D" w:rsidRDefault="00C82BC4" w:rsidP="00276542">
            <w:pPr>
              <w:spacing w:after="60"/>
              <w:rPr>
                <w:b/>
                <w:szCs w:val="28"/>
              </w:rPr>
            </w:pPr>
          </w:p>
        </w:tc>
        <w:tc>
          <w:tcPr>
            <w:tcW w:w="1417" w:type="dxa"/>
            <w:gridSpan w:val="3"/>
          </w:tcPr>
          <w:p w14:paraId="42753E73" w14:textId="77777777" w:rsidR="00C82BC4" w:rsidRPr="00E8754D" w:rsidRDefault="00C82BC4" w:rsidP="00276542">
            <w:pPr>
              <w:spacing w:after="60"/>
              <w:rPr>
                <w:b/>
                <w:szCs w:val="28"/>
              </w:rPr>
            </w:pPr>
          </w:p>
        </w:tc>
        <w:tc>
          <w:tcPr>
            <w:tcW w:w="1843" w:type="dxa"/>
            <w:gridSpan w:val="2"/>
            <w:shd w:val="clear" w:color="auto" w:fill="auto"/>
          </w:tcPr>
          <w:p w14:paraId="26E9AC07" w14:textId="77777777" w:rsidR="00C82BC4" w:rsidRPr="00E8754D" w:rsidRDefault="00C82BC4" w:rsidP="00276542">
            <w:pPr>
              <w:spacing w:after="60"/>
              <w:rPr>
                <w:b/>
                <w:szCs w:val="28"/>
              </w:rPr>
            </w:pPr>
            <w:r w:rsidRPr="00E8754D">
              <w:rPr>
                <w:b/>
                <w:szCs w:val="28"/>
              </w:rPr>
              <w:t>416: Customer health and safety</w:t>
            </w:r>
          </w:p>
          <w:p w14:paraId="6D7951BF" w14:textId="77777777" w:rsidR="00C82BC4" w:rsidRPr="00E8754D" w:rsidRDefault="00C82BC4" w:rsidP="00276542">
            <w:pPr>
              <w:spacing w:after="60"/>
              <w:rPr>
                <w:b/>
                <w:szCs w:val="28"/>
              </w:rPr>
            </w:pPr>
            <w:r w:rsidRPr="00E8754D">
              <w:rPr>
                <w:b/>
                <w:szCs w:val="28"/>
              </w:rPr>
              <w:lastRenderedPageBreak/>
              <w:t>417: Marketing and labelling</w:t>
            </w:r>
          </w:p>
          <w:p w14:paraId="6241F7FB" w14:textId="77777777" w:rsidR="00C82BC4" w:rsidRPr="00E8754D" w:rsidRDefault="00C82BC4" w:rsidP="00276542">
            <w:pPr>
              <w:spacing w:after="60"/>
              <w:rPr>
                <w:szCs w:val="28"/>
              </w:rPr>
            </w:pPr>
            <w:r w:rsidRPr="00E8754D">
              <w:rPr>
                <w:szCs w:val="28"/>
              </w:rPr>
              <w:t>417-1: Requirements for product and service information and labelling</w:t>
            </w:r>
          </w:p>
          <w:p w14:paraId="17D35218" w14:textId="77777777" w:rsidR="00C82BC4" w:rsidRPr="00E8754D" w:rsidRDefault="00C82BC4" w:rsidP="00276542">
            <w:pPr>
              <w:spacing w:after="60"/>
              <w:rPr>
                <w:szCs w:val="28"/>
              </w:rPr>
            </w:pPr>
            <w:r w:rsidRPr="00E8754D">
              <w:rPr>
                <w:szCs w:val="28"/>
              </w:rPr>
              <w:t>417-2: Incidents of non-compliance concerning products and service information and labelling</w:t>
            </w:r>
          </w:p>
          <w:p w14:paraId="21012A81" w14:textId="77777777" w:rsidR="00C82BC4" w:rsidRPr="00E8754D" w:rsidRDefault="00C82BC4" w:rsidP="00276542">
            <w:pPr>
              <w:spacing w:after="60"/>
              <w:rPr>
                <w:szCs w:val="28"/>
              </w:rPr>
            </w:pPr>
            <w:r w:rsidRPr="00E8754D">
              <w:rPr>
                <w:szCs w:val="28"/>
              </w:rPr>
              <w:t>417-3: Incidents of non-compliance concerning marketing communications</w:t>
            </w:r>
          </w:p>
          <w:p w14:paraId="44C84ACA" w14:textId="77777777" w:rsidR="00C82BC4" w:rsidRPr="00E8754D" w:rsidRDefault="00C82BC4" w:rsidP="00276542">
            <w:pPr>
              <w:spacing w:after="60"/>
              <w:rPr>
                <w:b/>
                <w:szCs w:val="28"/>
              </w:rPr>
            </w:pPr>
            <w:r w:rsidRPr="00E8754D">
              <w:rPr>
                <w:b/>
                <w:szCs w:val="28"/>
              </w:rPr>
              <w:t>418: Customer policy</w:t>
            </w:r>
          </w:p>
          <w:p w14:paraId="52E9FC80" w14:textId="77777777" w:rsidR="00C82BC4" w:rsidRPr="00E8754D" w:rsidRDefault="00C82BC4" w:rsidP="00276542">
            <w:pPr>
              <w:spacing w:after="60"/>
              <w:ind w:left="34"/>
              <w:rPr>
                <w:b/>
                <w:szCs w:val="28"/>
              </w:rPr>
            </w:pPr>
            <w:r w:rsidRPr="00E8754D">
              <w:rPr>
                <w:szCs w:val="28"/>
              </w:rPr>
              <w:t>418-1: Substantiated complaints concerning breaches of customer privacy and losses of customer data</w:t>
            </w:r>
          </w:p>
        </w:tc>
        <w:tc>
          <w:tcPr>
            <w:tcW w:w="2126" w:type="dxa"/>
          </w:tcPr>
          <w:p w14:paraId="7588A186" w14:textId="77777777" w:rsidR="00C82BC4" w:rsidRPr="00E8754D" w:rsidRDefault="00C82BC4" w:rsidP="00276542">
            <w:pPr>
              <w:spacing w:after="60"/>
              <w:rPr>
                <w:szCs w:val="28"/>
              </w:rPr>
            </w:pPr>
            <w:r w:rsidRPr="00E8754D">
              <w:rPr>
                <w:szCs w:val="28"/>
              </w:rPr>
              <w:lastRenderedPageBreak/>
              <w:t xml:space="preserve">Customer welfare </w:t>
            </w:r>
            <w:r w:rsidRPr="00E8754D">
              <w:rPr>
                <w:rFonts w:ascii="MS Gothic" w:eastAsia="MS Gothic" w:hAnsi="MS Gothic" w:cs="MS Gothic"/>
                <w:szCs w:val="28"/>
              </w:rPr>
              <w:t> </w:t>
            </w:r>
          </w:p>
          <w:p w14:paraId="15A98885" w14:textId="77777777" w:rsidR="00C82BC4" w:rsidRPr="00E8754D" w:rsidRDefault="00C82BC4" w:rsidP="00276542">
            <w:pPr>
              <w:spacing w:after="60"/>
              <w:rPr>
                <w:szCs w:val="28"/>
              </w:rPr>
            </w:pPr>
            <w:r w:rsidRPr="00E8754D">
              <w:rPr>
                <w:szCs w:val="28"/>
              </w:rPr>
              <w:t xml:space="preserve">Access and affordability (of </w:t>
            </w:r>
            <w:r w:rsidRPr="00E8754D">
              <w:rPr>
                <w:szCs w:val="28"/>
              </w:rPr>
              <w:lastRenderedPageBreak/>
              <w:t>products from the health care sector only)</w:t>
            </w:r>
          </w:p>
          <w:p w14:paraId="23E70D17" w14:textId="77777777" w:rsidR="00C82BC4" w:rsidRPr="00E8754D" w:rsidRDefault="00C82BC4" w:rsidP="00276542">
            <w:pPr>
              <w:spacing w:after="60"/>
              <w:rPr>
                <w:b/>
                <w:szCs w:val="28"/>
              </w:rPr>
            </w:pPr>
          </w:p>
        </w:tc>
      </w:tr>
    </w:tbl>
    <w:p w14:paraId="52054F73" w14:textId="77777777" w:rsidR="00C82BC4" w:rsidRPr="00E8754D" w:rsidRDefault="00C82BC4" w:rsidP="00C82BC4">
      <w:pPr>
        <w:spacing w:after="0" w:line="240" w:lineRule="auto"/>
        <w:rPr>
          <w:rFonts w:ascii="Calibri" w:hAnsi="Calibri"/>
          <w:b/>
          <w:bCs/>
          <w:color w:val="0070C0"/>
          <w:sz w:val="28"/>
          <w:szCs w:val="28"/>
          <w:highlight w:val="lightGray"/>
        </w:rPr>
        <w:sectPr w:rsidR="00C82BC4" w:rsidRPr="00E8754D" w:rsidSect="002419F0">
          <w:type w:val="continuous"/>
          <w:pgSz w:w="16840" w:h="11900" w:orient="landscape"/>
          <w:pgMar w:top="1411" w:right="1411" w:bottom="1411" w:left="1411" w:header="11" w:footer="567" w:gutter="0"/>
          <w:cols w:space="708"/>
          <w:docGrid w:linePitch="360"/>
        </w:sectPr>
      </w:pPr>
    </w:p>
    <w:p w14:paraId="30C5CD90" w14:textId="77777777" w:rsidR="00C82BC4" w:rsidRPr="00E8754D" w:rsidRDefault="00C82BC4" w:rsidP="00C82BC4">
      <w:pPr>
        <w:spacing w:after="0" w:line="240" w:lineRule="auto"/>
        <w:rPr>
          <w:rFonts w:ascii="Calibri" w:hAnsi="Calibri"/>
          <w:b/>
          <w:bCs/>
          <w:color w:val="0070C0"/>
          <w:sz w:val="28"/>
          <w:szCs w:val="28"/>
        </w:rPr>
      </w:pPr>
      <w:r w:rsidRPr="00E8754D">
        <w:rPr>
          <w:rFonts w:ascii="Calibri" w:hAnsi="Calibri"/>
          <w:b/>
          <w:bCs/>
          <w:color w:val="0070C0"/>
          <w:sz w:val="28"/>
          <w:szCs w:val="28"/>
        </w:rPr>
        <w:t>Annex 2: Global and national repositories to mine for global 12.6.1 Database</w:t>
      </w:r>
    </w:p>
    <w:p w14:paraId="2F6BDE89" w14:textId="77777777" w:rsidR="00C82BC4" w:rsidRPr="00E8754D" w:rsidRDefault="00C82BC4" w:rsidP="00C82BC4">
      <w:pPr>
        <w:spacing w:after="0" w:line="240" w:lineRule="auto"/>
        <w:rPr>
          <w:rFonts w:ascii="Calibri" w:hAnsi="Calibri"/>
          <w:b/>
          <w:bCs/>
          <w:color w:val="0070C0"/>
          <w:sz w:val="28"/>
          <w:szCs w:val="28"/>
        </w:rPr>
      </w:pPr>
    </w:p>
    <w:tbl>
      <w:tblPr>
        <w:tblW w:w="1530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0"/>
        <w:gridCol w:w="2070"/>
        <w:gridCol w:w="900"/>
        <w:gridCol w:w="990"/>
        <w:gridCol w:w="720"/>
        <w:gridCol w:w="1350"/>
        <w:gridCol w:w="1080"/>
        <w:gridCol w:w="1530"/>
        <w:gridCol w:w="1530"/>
        <w:gridCol w:w="990"/>
        <w:gridCol w:w="1440"/>
        <w:gridCol w:w="1350"/>
      </w:tblGrid>
      <w:tr w:rsidR="00C82BC4" w:rsidRPr="00E8754D" w14:paraId="3849CACC" w14:textId="77777777" w:rsidTr="00276542">
        <w:trPr>
          <w:trHeight w:val="675"/>
        </w:trPr>
        <w:tc>
          <w:tcPr>
            <w:tcW w:w="1350" w:type="dxa"/>
            <w:shd w:val="clear" w:color="auto" w:fill="1C4170" w:themeFill="text2" w:themeFillShade="E6"/>
            <w:vAlign w:val="bottom"/>
            <w:hideMark/>
          </w:tcPr>
          <w:p w14:paraId="584503B6" w14:textId="77777777" w:rsidR="00C82BC4" w:rsidRPr="00E8754D" w:rsidRDefault="00C82BC4" w:rsidP="00276542">
            <w:pPr>
              <w:spacing w:after="0" w:line="240" w:lineRule="auto"/>
              <w:rPr>
                <w:rFonts w:ascii="Calibri" w:eastAsia="Times New Roman" w:hAnsi="Calibri"/>
                <w:b/>
                <w:bCs/>
                <w:color w:val="000000"/>
                <w:sz w:val="14"/>
                <w:szCs w:val="16"/>
              </w:rPr>
            </w:pPr>
            <w:r w:rsidRPr="00E8754D">
              <w:rPr>
                <w:rFonts w:ascii="Calibri" w:eastAsia="Times New Roman" w:hAnsi="Calibri"/>
                <w:b/>
                <w:bCs/>
                <w:color w:val="000000"/>
                <w:sz w:val="14"/>
                <w:szCs w:val="16"/>
              </w:rPr>
              <w:t>Name</w:t>
            </w:r>
          </w:p>
        </w:tc>
        <w:tc>
          <w:tcPr>
            <w:tcW w:w="2070" w:type="dxa"/>
            <w:shd w:val="clear" w:color="auto" w:fill="1C4170" w:themeFill="text2" w:themeFillShade="E6"/>
            <w:vAlign w:val="bottom"/>
            <w:hideMark/>
          </w:tcPr>
          <w:p w14:paraId="6AAC4411" w14:textId="77777777" w:rsidR="00C82BC4" w:rsidRPr="00E8754D" w:rsidRDefault="00C82BC4" w:rsidP="00276542">
            <w:pPr>
              <w:spacing w:after="0" w:line="240" w:lineRule="auto"/>
              <w:rPr>
                <w:rFonts w:ascii="Calibri" w:eastAsia="Times New Roman" w:hAnsi="Calibri"/>
                <w:b/>
                <w:bCs/>
                <w:color w:val="000000"/>
                <w:sz w:val="14"/>
                <w:szCs w:val="16"/>
              </w:rPr>
            </w:pPr>
            <w:r w:rsidRPr="00E8754D">
              <w:rPr>
                <w:rFonts w:ascii="Calibri" w:eastAsia="Times New Roman" w:hAnsi="Calibri"/>
                <w:b/>
                <w:bCs/>
                <w:color w:val="000000"/>
                <w:sz w:val="14"/>
                <w:szCs w:val="16"/>
              </w:rPr>
              <w:t>Web address</w:t>
            </w:r>
          </w:p>
        </w:tc>
        <w:tc>
          <w:tcPr>
            <w:tcW w:w="900" w:type="dxa"/>
            <w:shd w:val="clear" w:color="auto" w:fill="1C4170" w:themeFill="text2" w:themeFillShade="E6"/>
            <w:noWrap/>
            <w:vAlign w:val="bottom"/>
            <w:hideMark/>
          </w:tcPr>
          <w:p w14:paraId="6DBC300B" w14:textId="77777777" w:rsidR="00C82BC4" w:rsidRPr="00E8754D" w:rsidRDefault="00C82BC4" w:rsidP="00276542">
            <w:pPr>
              <w:spacing w:after="0" w:line="240" w:lineRule="auto"/>
              <w:rPr>
                <w:rFonts w:ascii="Calibri" w:eastAsia="Times New Roman" w:hAnsi="Calibri"/>
                <w:b/>
                <w:bCs/>
                <w:color w:val="000000"/>
                <w:sz w:val="14"/>
                <w:szCs w:val="16"/>
              </w:rPr>
            </w:pPr>
            <w:r w:rsidRPr="00E8754D">
              <w:rPr>
                <w:rFonts w:ascii="Calibri" w:eastAsia="Times New Roman" w:hAnsi="Calibri"/>
                <w:b/>
                <w:bCs/>
                <w:color w:val="000000"/>
                <w:sz w:val="14"/>
                <w:szCs w:val="16"/>
              </w:rPr>
              <w:t>Country</w:t>
            </w:r>
          </w:p>
        </w:tc>
        <w:tc>
          <w:tcPr>
            <w:tcW w:w="990" w:type="dxa"/>
            <w:shd w:val="clear" w:color="auto" w:fill="1C4170" w:themeFill="text2" w:themeFillShade="E6"/>
            <w:noWrap/>
            <w:vAlign w:val="bottom"/>
            <w:hideMark/>
          </w:tcPr>
          <w:p w14:paraId="678BF71A" w14:textId="77777777" w:rsidR="00C82BC4" w:rsidRPr="00E8754D" w:rsidRDefault="00C82BC4" w:rsidP="00276542">
            <w:pPr>
              <w:spacing w:after="0" w:line="240" w:lineRule="auto"/>
              <w:rPr>
                <w:rFonts w:ascii="Calibri" w:eastAsia="Times New Roman" w:hAnsi="Calibri"/>
                <w:b/>
                <w:bCs/>
                <w:color w:val="000000"/>
                <w:sz w:val="14"/>
                <w:szCs w:val="16"/>
              </w:rPr>
            </w:pPr>
            <w:r w:rsidRPr="00E8754D">
              <w:rPr>
                <w:rFonts w:ascii="Calibri" w:eastAsia="Times New Roman" w:hAnsi="Calibri"/>
                <w:b/>
                <w:bCs/>
                <w:color w:val="000000"/>
                <w:sz w:val="14"/>
                <w:szCs w:val="16"/>
              </w:rPr>
              <w:t>Focus</w:t>
            </w:r>
          </w:p>
        </w:tc>
        <w:tc>
          <w:tcPr>
            <w:tcW w:w="720" w:type="dxa"/>
            <w:shd w:val="clear" w:color="auto" w:fill="1C4170" w:themeFill="text2" w:themeFillShade="E6"/>
            <w:vAlign w:val="bottom"/>
            <w:hideMark/>
          </w:tcPr>
          <w:p w14:paraId="7F9389DE" w14:textId="77777777" w:rsidR="00C82BC4" w:rsidRPr="00E8754D" w:rsidRDefault="00C82BC4" w:rsidP="00276542">
            <w:pPr>
              <w:spacing w:after="0" w:line="240" w:lineRule="auto"/>
              <w:rPr>
                <w:rFonts w:ascii="Calibri" w:eastAsia="Times New Roman" w:hAnsi="Calibri"/>
                <w:b/>
                <w:bCs/>
                <w:color w:val="000000"/>
                <w:sz w:val="14"/>
                <w:szCs w:val="16"/>
              </w:rPr>
            </w:pPr>
            <w:r w:rsidRPr="00E8754D">
              <w:rPr>
                <w:rFonts w:ascii="Calibri" w:eastAsia="Times New Roman" w:hAnsi="Calibri"/>
                <w:b/>
                <w:bCs/>
                <w:color w:val="000000"/>
                <w:sz w:val="14"/>
                <w:szCs w:val="16"/>
              </w:rPr>
              <w:t>Website language(s)</w:t>
            </w:r>
          </w:p>
        </w:tc>
        <w:tc>
          <w:tcPr>
            <w:tcW w:w="1350" w:type="dxa"/>
            <w:shd w:val="clear" w:color="auto" w:fill="1C4170" w:themeFill="text2" w:themeFillShade="E6"/>
            <w:vAlign w:val="bottom"/>
            <w:hideMark/>
          </w:tcPr>
          <w:p w14:paraId="5A1CF94A" w14:textId="77777777" w:rsidR="00C82BC4" w:rsidRPr="00E8754D" w:rsidRDefault="00C82BC4" w:rsidP="00276542">
            <w:pPr>
              <w:spacing w:after="0" w:line="240" w:lineRule="auto"/>
              <w:rPr>
                <w:rFonts w:ascii="Calibri" w:eastAsia="Times New Roman" w:hAnsi="Calibri"/>
                <w:b/>
                <w:bCs/>
                <w:color w:val="000000"/>
                <w:sz w:val="14"/>
                <w:szCs w:val="16"/>
              </w:rPr>
            </w:pPr>
            <w:r w:rsidRPr="00E8754D">
              <w:rPr>
                <w:rFonts w:ascii="Calibri" w:eastAsia="Times New Roman" w:hAnsi="Calibri"/>
                <w:b/>
                <w:bCs/>
                <w:color w:val="000000"/>
                <w:sz w:val="14"/>
                <w:szCs w:val="16"/>
              </w:rPr>
              <w:t>Report language(s)</w:t>
            </w:r>
          </w:p>
        </w:tc>
        <w:tc>
          <w:tcPr>
            <w:tcW w:w="1080" w:type="dxa"/>
            <w:shd w:val="clear" w:color="auto" w:fill="1C4170" w:themeFill="text2" w:themeFillShade="E6"/>
            <w:noWrap/>
            <w:vAlign w:val="bottom"/>
            <w:hideMark/>
          </w:tcPr>
          <w:p w14:paraId="24947E9A" w14:textId="77777777" w:rsidR="00C82BC4" w:rsidRPr="00E8754D" w:rsidRDefault="00C82BC4" w:rsidP="00276542">
            <w:pPr>
              <w:spacing w:after="0" w:line="240" w:lineRule="auto"/>
              <w:rPr>
                <w:rFonts w:ascii="Calibri" w:eastAsia="Times New Roman" w:hAnsi="Calibri"/>
                <w:b/>
                <w:bCs/>
                <w:color w:val="000000"/>
                <w:sz w:val="14"/>
                <w:szCs w:val="16"/>
              </w:rPr>
            </w:pPr>
            <w:r w:rsidRPr="00E8754D">
              <w:rPr>
                <w:rFonts w:ascii="Calibri" w:eastAsia="Times New Roman" w:hAnsi="Calibri"/>
                <w:b/>
                <w:bCs/>
                <w:color w:val="000000"/>
                <w:sz w:val="14"/>
                <w:szCs w:val="16"/>
              </w:rPr>
              <w:t>Run by</w:t>
            </w:r>
          </w:p>
        </w:tc>
        <w:tc>
          <w:tcPr>
            <w:tcW w:w="1530" w:type="dxa"/>
            <w:shd w:val="clear" w:color="auto" w:fill="1C4170" w:themeFill="text2" w:themeFillShade="E6"/>
            <w:vAlign w:val="bottom"/>
            <w:hideMark/>
          </w:tcPr>
          <w:p w14:paraId="6FC990F1" w14:textId="77777777" w:rsidR="00C82BC4" w:rsidRPr="00E8754D" w:rsidRDefault="00C82BC4" w:rsidP="00276542">
            <w:pPr>
              <w:spacing w:after="0" w:line="240" w:lineRule="auto"/>
              <w:rPr>
                <w:rFonts w:ascii="Calibri" w:eastAsia="Times New Roman" w:hAnsi="Calibri"/>
                <w:b/>
                <w:bCs/>
                <w:color w:val="000000"/>
                <w:sz w:val="14"/>
                <w:szCs w:val="16"/>
              </w:rPr>
            </w:pPr>
            <w:r w:rsidRPr="00E8754D">
              <w:rPr>
                <w:rFonts w:ascii="Calibri" w:eastAsia="Times New Roman" w:hAnsi="Calibri"/>
                <w:b/>
                <w:bCs/>
                <w:color w:val="000000"/>
                <w:sz w:val="14"/>
                <w:szCs w:val="16"/>
              </w:rPr>
              <w:t>Quality criteria applied</w:t>
            </w:r>
          </w:p>
        </w:tc>
        <w:tc>
          <w:tcPr>
            <w:tcW w:w="1530" w:type="dxa"/>
            <w:shd w:val="clear" w:color="auto" w:fill="1C4170" w:themeFill="text2" w:themeFillShade="E6"/>
            <w:vAlign w:val="bottom"/>
            <w:hideMark/>
          </w:tcPr>
          <w:p w14:paraId="22CA53D4" w14:textId="77777777" w:rsidR="00C82BC4" w:rsidRPr="00E8754D" w:rsidRDefault="00C82BC4" w:rsidP="00276542">
            <w:pPr>
              <w:spacing w:after="0" w:line="240" w:lineRule="auto"/>
              <w:rPr>
                <w:rFonts w:ascii="Calibri" w:eastAsia="Times New Roman" w:hAnsi="Calibri"/>
                <w:b/>
                <w:bCs/>
                <w:color w:val="000000"/>
                <w:sz w:val="14"/>
                <w:szCs w:val="16"/>
              </w:rPr>
            </w:pPr>
            <w:r w:rsidRPr="00E8754D">
              <w:rPr>
                <w:rFonts w:ascii="Calibri" w:eastAsia="Times New Roman" w:hAnsi="Calibri"/>
                <w:b/>
                <w:bCs/>
                <w:color w:val="000000"/>
                <w:sz w:val="14"/>
                <w:szCs w:val="16"/>
              </w:rPr>
              <w:t>Separate or Integrated reports (or both)</w:t>
            </w:r>
          </w:p>
        </w:tc>
        <w:tc>
          <w:tcPr>
            <w:tcW w:w="990" w:type="dxa"/>
            <w:shd w:val="clear" w:color="auto" w:fill="1C4170" w:themeFill="text2" w:themeFillShade="E6"/>
            <w:noWrap/>
            <w:vAlign w:val="bottom"/>
            <w:hideMark/>
          </w:tcPr>
          <w:p w14:paraId="46FEC39B" w14:textId="77777777" w:rsidR="00C82BC4" w:rsidRPr="00E8754D" w:rsidRDefault="00C82BC4" w:rsidP="00276542">
            <w:pPr>
              <w:spacing w:after="0" w:line="240" w:lineRule="auto"/>
              <w:rPr>
                <w:rFonts w:ascii="Calibri" w:eastAsia="Times New Roman" w:hAnsi="Calibri"/>
                <w:b/>
                <w:bCs/>
                <w:color w:val="000000"/>
                <w:sz w:val="14"/>
                <w:szCs w:val="16"/>
              </w:rPr>
            </w:pPr>
            <w:r w:rsidRPr="00E8754D">
              <w:rPr>
                <w:rFonts w:ascii="Calibri" w:eastAsia="Times New Roman" w:hAnsi="Calibri"/>
                <w:b/>
                <w:bCs/>
                <w:color w:val="000000"/>
                <w:sz w:val="14"/>
                <w:szCs w:val="16"/>
              </w:rPr>
              <w:t>Access</w:t>
            </w:r>
          </w:p>
        </w:tc>
        <w:tc>
          <w:tcPr>
            <w:tcW w:w="1440" w:type="dxa"/>
            <w:shd w:val="clear" w:color="auto" w:fill="1C4170" w:themeFill="text2" w:themeFillShade="E6"/>
            <w:vAlign w:val="bottom"/>
            <w:hideMark/>
          </w:tcPr>
          <w:p w14:paraId="36A2F81C" w14:textId="77777777" w:rsidR="00C82BC4" w:rsidRPr="00E8754D" w:rsidRDefault="00C82BC4" w:rsidP="00276542">
            <w:pPr>
              <w:spacing w:after="0" w:line="240" w:lineRule="auto"/>
              <w:rPr>
                <w:rFonts w:ascii="Calibri" w:eastAsia="Times New Roman" w:hAnsi="Calibri"/>
                <w:b/>
                <w:bCs/>
                <w:color w:val="000000"/>
                <w:sz w:val="14"/>
                <w:szCs w:val="16"/>
              </w:rPr>
            </w:pPr>
            <w:r w:rsidRPr="00E8754D">
              <w:rPr>
                <w:rFonts w:ascii="Calibri" w:eastAsia="Times New Roman" w:hAnsi="Calibri"/>
                <w:b/>
                <w:bCs/>
                <w:color w:val="000000"/>
                <w:sz w:val="14"/>
                <w:szCs w:val="16"/>
              </w:rPr>
              <w:t>Aggregation on company type/size</w:t>
            </w:r>
          </w:p>
        </w:tc>
        <w:tc>
          <w:tcPr>
            <w:tcW w:w="1350" w:type="dxa"/>
            <w:shd w:val="clear" w:color="auto" w:fill="1C4170" w:themeFill="text2" w:themeFillShade="E6"/>
            <w:vAlign w:val="bottom"/>
            <w:hideMark/>
          </w:tcPr>
          <w:p w14:paraId="25152C1B" w14:textId="77777777" w:rsidR="00C82BC4" w:rsidRPr="00E8754D" w:rsidRDefault="00C82BC4" w:rsidP="00276542">
            <w:pPr>
              <w:spacing w:after="0" w:line="240" w:lineRule="auto"/>
              <w:rPr>
                <w:rFonts w:ascii="Calibri" w:eastAsia="Times New Roman" w:hAnsi="Calibri"/>
                <w:b/>
                <w:bCs/>
                <w:color w:val="000000"/>
                <w:sz w:val="14"/>
                <w:szCs w:val="16"/>
              </w:rPr>
            </w:pPr>
            <w:r w:rsidRPr="00E8754D">
              <w:rPr>
                <w:rFonts w:ascii="Calibri" w:eastAsia="Times New Roman" w:hAnsi="Calibri"/>
                <w:b/>
                <w:bCs/>
                <w:color w:val="000000"/>
                <w:sz w:val="14"/>
                <w:szCs w:val="16"/>
              </w:rPr>
              <w:t>Quantity of reporting companies</w:t>
            </w:r>
          </w:p>
        </w:tc>
      </w:tr>
      <w:tr w:rsidR="00C82BC4" w:rsidRPr="00E8754D" w14:paraId="4F29D370" w14:textId="77777777" w:rsidTr="00276542">
        <w:trPr>
          <w:trHeight w:val="450"/>
        </w:trPr>
        <w:tc>
          <w:tcPr>
            <w:tcW w:w="1350" w:type="dxa"/>
            <w:shd w:val="clear" w:color="auto" w:fill="auto"/>
            <w:vAlign w:val="bottom"/>
            <w:hideMark/>
          </w:tcPr>
          <w:p w14:paraId="01F5B66D"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Corporate Social Responsibility Centre</w:t>
            </w:r>
          </w:p>
        </w:tc>
        <w:tc>
          <w:tcPr>
            <w:tcW w:w="2070" w:type="dxa"/>
            <w:shd w:val="clear" w:color="auto" w:fill="auto"/>
            <w:vAlign w:val="bottom"/>
            <w:hideMark/>
          </w:tcPr>
          <w:p w14:paraId="4A641D8F"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12" w:history="1">
              <w:r w:rsidR="00C82BC4" w:rsidRPr="00E8754D">
                <w:rPr>
                  <w:rFonts w:ascii="Calibri" w:eastAsia="Times New Roman" w:hAnsi="Calibri"/>
                  <w:color w:val="0000FF"/>
                  <w:sz w:val="16"/>
                  <w:szCs w:val="16"/>
                  <w:u w:val="single"/>
                </w:rPr>
                <w:t xml:space="preserve">http://www.csrcp.com/index.php/reporting-data-base/search-reports </w:t>
              </w:r>
            </w:hyperlink>
          </w:p>
        </w:tc>
        <w:tc>
          <w:tcPr>
            <w:tcW w:w="900" w:type="dxa"/>
            <w:shd w:val="clear" w:color="auto" w:fill="auto"/>
            <w:noWrap/>
            <w:vAlign w:val="bottom"/>
            <w:hideMark/>
          </w:tcPr>
          <w:p w14:paraId="7DCEC5FF"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Pakistan</w:t>
            </w:r>
          </w:p>
        </w:tc>
        <w:tc>
          <w:tcPr>
            <w:tcW w:w="990" w:type="dxa"/>
            <w:shd w:val="clear" w:color="auto" w:fill="auto"/>
            <w:noWrap/>
            <w:vAlign w:val="bottom"/>
            <w:hideMark/>
          </w:tcPr>
          <w:p w14:paraId="008ED0AF"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National</w:t>
            </w:r>
          </w:p>
        </w:tc>
        <w:tc>
          <w:tcPr>
            <w:tcW w:w="720" w:type="dxa"/>
            <w:shd w:val="clear" w:color="auto" w:fill="auto"/>
            <w:noWrap/>
            <w:vAlign w:val="bottom"/>
            <w:hideMark/>
          </w:tcPr>
          <w:p w14:paraId="01E88599"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350" w:type="dxa"/>
            <w:shd w:val="clear" w:color="auto" w:fill="auto"/>
            <w:noWrap/>
            <w:vAlign w:val="bottom"/>
            <w:hideMark/>
          </w:tcPr>
          <w:p w14:paraId="5059DEA7"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080" w:type="dxa"/>
            <w:shd w:val="clear" w:color="auto" w:fill="auto"/>
            <w:noWrap/>
            <w:vAlign w:val="bottom"/>
            <w:hideMark/>
          </w:tcPr>
          <w:p w14:paraId="22BF881E"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Other</w:t>
            </w:r>
          </w:p>
        </w:tc>
        <w:tc>
          <w:tcPr>
            <w:tcW w:w="1530" w:type="dxa"/>
            <w:shd w:val="clear" w:color="auto" w:fill="auto"/>
            <w:noWrap/>
            <w:vAlign w:val="bottom"/>
            <w:hideMark/>
          </w:tcPr>
          <w:p w14:paraId="28D5B127"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28F9FF3C"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Separate reports</w:t>
            </w:r>
          </w:p>
        </w:tc>
        <w:tc>
          <w:tcPr>
            <w:tcW w:w="990" w:type="dxa"/>
            <w:shd w:val="clear" w:color="auto" w:fill="auto"/>
            <w:noWrap/>
            <w:vAlign w:val="bottom"/>
            <w:hideMark/>
          </w:tcPr>
          <w:p w14:paraId="19C16103"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Free</w:t>
            </w:r>
          </w:p>
        </w:tc>
        <w:tc>
          <w:tcPr>
            <w:tcW w:w="1440" w:type="dxa"/>
            <w:shd w:val="clear" w:color="auto" w:fill="auto"/>
            <w:noWrap/>
            <w:vAlign w:val="bottom"/>
            <w:hideMark/>
          </w:tcPr>
          <w:p w14:paraId="2AB37D1E"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42D3B73F"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around 50 reports</w:t>
            </w:r>
          </w:p>
        </w:tc>
      </w:tr>
      <w:tr w:rsidR="00C82BC4" w:rsidRPr="00E8754D" w14:paraId="118FB3EF" w14:textId="77777777" w:rsidTr="00276542">
        <w:trPr>
          <w:trHeight w:val="225"/>
        </w:trPr>
        <w:tc>
          <w:tcPr>
            <w:tcW w:w="1350" w:type="dxa"/>
            <w:shd w:val="clear" w:color="auto" w:fill="auto"/>
            <w:vAlign w:val="bottom"/>
            <w:hideMark/>
          </w:tcPr>
          <w:p w14:paraId="12A14A94"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Sustainability Reports</w:t>
            </w:r>
          </w:p>
        </w:tc>
        <w:tc>
          <w:tcPr>
            <w:tcW w:w="2070" w:type="dxa"/>
            <w:shd w:val="clear" w:color="auto" w:fill="auto"/>
            <w:vAlign w:val="bottom"/>
            <w:hideMark/>
          </w:tcPr>
          <w:p w14:paraId="50B6CFE7"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13" w:history="1">
              <w:r w:rsidR="00C82BC4" w:rsidRPr="00E8754D">
                <w:rPr>
                  <w:rFonts w:ascii="Calibri" w:eastAsia="Times New Roman" w:hAnsi="Calibri"/>
                  <w:color w:val="0000FF"/>
                  <w:sz w:val="16"/>
                  <w:szCs w:val="16"/>
                  <w:u w:val="single"/>
                </w:rPr>
                <w:t xml:space="preserve">http://www.sustainability-reports.com/ </w:t>
              </w:r>
            </w:hyperlink>
          </w:p>
        </w:tc>
        <w:tc>
          <w:tcPr>
            <w:tcW w:w="900" w:type="dxa"/>
            <w:shd w:val="clear" w:color="auto" w:fill="auto"/>
            <w:noWrap/>
            <w:vAlign w:val="bottom"/>
            <w:hideMark/>
          </w:tcPr>
          <w:p w14:paraId="1052BD58"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Netherlands</w:t>
            </w:r>
          </w:p>
        </w:tc>
        <w:tc>
          <w:tcPr>
            <w:tcW w:w="990" w:type="dxa"/>
            <w:shd w:val="clear" w:color="auto" w:fill="auto"/>
            <w:noWrap/>
            <w:vAlign w:val="bottom"/>
            <w:hideMark/>
          </w:tcPr>
          <w:p w14:paraId="51368613"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Mostly national</w:t>
            </w:r>
          </w:p>
        </w:tc>
        <w:tc>
          <w:tcPr>
            <w:tcW w:w="720" w:type="dxa"/>
            <w:shd w:val="clear" w:color="auto" w:fill="auto"/>
            <w:noWrap/>
            <w:vAlign w:val="bottom"/>
            <w:hideMark/>
          </w:tcPr>
          <w:p w14:paraId="33C26E14"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350" w:type="dxa"/>
            <w:shd w:val="clear" w:color="auto" w:fill="auto"/>
            <w:noWrap/>
            <w:vAlign w:val="bottom"/>
            <w:hideMark/>
          </w:tcPr>
          <w:p w14:paraId="4505D3AD"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NL, EN, DE, FR</w:t>
            </w:r>
          </w:p>
        </w:tc>
        <w:tc>
          <w:tcPr>
            <w:tcW w:w="1080" w:type="dxa"/>
            <w:shd w:val="clear" w:color="auto" w:fill="auto"/>
            <w:noWrap/>
            <w:vAlign w:val="bottom"/>
            <w:hideMark/>
          </w:tcPr>
          <w:p w14:paraId="0B966898"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Business/sectoral</w:t>
            </w:r>
          </w:p>
        </w:tc>
        <w:tc>
          <w:tcPr>
            <w:tcW w:w="1530" w:type="dxa"/>
            <w:shd w:val="clear" w:color="auto" w:fill="auto"/>
            <w:noWrap/>
            <w:vAlign w:val="bottom"/>
            <w:hideMark/>
          </w:tcPr>
          <w:p w14:paraId="24375368"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79877B7E"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Both</w:t>
            </w:r>
          </w:p>
        </w:tc>
        <w:tc>
          <w:tcPr>
            <w:tcW w:w="990" w:type="dxa"/>
            <w:shd w:val="clear" w:color="auto" w:fill="auto"/>
            <w:noWrap/>
            <w:vAlign w:val="bottom"/>
            <w:hideMark/>
          </w:tcPr>
          <w:p w14:paraId="5D99923F"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Free</w:t>
            </w:r>
          </w:p>
        </w:tc>
        <w:tc>
          <w:tcPr>
            <w:tcW w:w="1440" w:type="dxa"/>
            <w:shd w:val="clear" w:color="auto" w:fill="auto"/>
            <w:noWrap/>
            <w:vAlign w:val="bottom"/>
            <w:hideMark/>
          </w:tcPr>
          <w:p w14:paraId="678C764B"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12A2FB4F"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around 250 reports</w:t>
            </w:r>
          </w:p>
        </w:tc>
      </w:tr>
      <w:tr w:rsidR="00C82BC4" w:rsidRPr="00E8754D" w14:paraId="488984DD" w14:textId="77777777" w:rsidTr="00276542">
        <w:trPr>
          <w:trHeight w:val="225"/>
        </w:trPr>
        <w:tc>
          <w:tcPr>
            <w:tcW w:w="1350" w:type="dxa"/>
            <w:shd w:val="clear" w:color="auto" w:fill="auto"/>
            <w:vAlign w:val="bottom"/>
            <w:hideMark/>
          </w:tcPr>
          <w:p w14:paraId="50F68E12" w14:textId="77777777" w:rsidR="00C82BC4" w:rsidRPr="00E8754D" w:rsidRDefault="00C82BC4" w:rsidP="00276542">
            <w:pPr>
              <w:spacing w:after="0" w:line="240" w:lineRule="auto"/>
              <w:rPr>
                <w:rFonts w:ascii="Calibri" w:eastAsia="Times New Roman" w:hAnsi="Calibri"/>
                <w:b/>
                <w:color w:val="000000"/>
                <w:sz w:val="16"/>
                <w:szCs w:val="16"/>
              </w:rPr>
            </w:pPr>
            <w:proofErr w:type="spellStart"/>
            <w:r w:rsidRPr="00E8754D">
              <w:rPr>
                <w:rFonts w:ascii="Calibri" w:eastAsia="Times New Roman" w:hAnsi="Calibri"/>
                <w:b/>
                <w:color w:val="000000"/>
                <w:sz w:val="16"/>
                <w:szCs w:val="16"/>
              </w:rPr>
              <w:t>Duurzaamheidsverslag</w:t>
            </w:r>
            <w:proofErr w:type="spellEnd"/>
          </w:p>
        </w:tc>
        <w:tc>
          <w:tcPr>
            <w:tcW w:w="2070" w:type="dxa"/>
            <w:shd w:val="clear" w:color="auto" w:fill="auto"/>
            <w:vAlign w:val="bottom"/>
            <w:hideMark/>
          </w:tcPr>
          <w:p w14:paraId="1DB535DD"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14" w:history="1">
              <w:r w:rsidR="00C82BC4" w:rsidRPr="00E8754D">
                <w:rPr>
                  <w:rFonts w:ascii="Calibri" w:eastAsia="Times New Roman" w:hAnsi="Calibri"/>
                  <w:color w:val="0000FF"/>
                  <w:sz w:val="16"/>
                  <w:szCs w:val="16"/>
                  <w:u w:val="single"/>
                </w:rPr>
                <w:t xml:space="preserve">http://www.duurzaamheidsverslag.nl/bedrijf/ </w:t>
              </w:r>
            </w:hyperlink>
          </w:p>
        </w:tc>
        <w:tc>
          <w:tcPr>
            <w:tcW w:w="900" w:type="dxa"/>
            <w:shd w:val="clear" w:color="auto" w:fill="auto"/>
            <w:noWrap/>
            <w:vAlign w:val="bottom"/>
            <w:hideMark/>
          </w:tcPr>
          <w:p w14:paraId="4BE01349"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Netherlands</w:t>
            </w:r>
          </w:p>
        </w:tc>
        <w:tc>
          <w:tcPr>
            <w:tcW w:w="990" w:type="dxa"/>
            <w:shd w:val="clear" w:color="auto" w:fill="auto"/>
            <w:noWrap/>
            <w:vAlign w:val="bottom"/>
            <w:hideMark/>
          </w:tcPr>
          <w:p w14:paraId="6E50B39B"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Mostly national</w:t>
            </w:r>
          </w:p>
        </w:tc>
        <w:tc>
          <w:tcPr>
            <w:tcW w:w="720" w:type="dxa"/>
            <w:shd w:val="clear" w:color="auto" w:fill="auto"/>
            <w:noWrap/>
            <w:vAlign w:val="bottom"/>
            <w:hideMark/>
          </w:tcPr>
          <w:p w14:paraId="29072437"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NL</w:t>
            </w:r>
          </w:p>
        </w:tc>
        <w:tc>
          <w:tcPr>
            <w:tcW w:w="1350" w:type="dxa"/>
            <w:shd w:val="clear" w:color="auto" w:fill="auto"/>
            <w:noWrap/>
            <w:vAlign w:val="bottom"/>
            <w:hideMark/>
          </w:tcPr>
          <w:p w14:paraId="120522D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NL, EN, FR, DE</w:t>
            </w:r>
          </w:p>
        </w:tc>
        <w:tc>
          <w:tcPr>
            <w:tcW w:w="1080" w:type="dxa"/>
            <w:shd w:val="clear" w:color="auto" w:fill="auto"/>
            <w:noWrap/>
            <w:vAlign w:val="bottom"/>
            <w:hideMark/>
          </w:tcPr>
          <w:p w14:paraId="6A15F87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Business/sectoral</w:t>
            </w:r>
          </w:p>
        </w:tc>
        <w:tc>
          <w:tcPr>
            <w:tcW w:w="1530" w:type="dxa"/>
            <w:shd w:val="clear" w:color="auto" w:fill="auto"/>
            <w:noWrap/>
            <w:vAlign w:val="bottom"/>
            <w:hideMark/>
          </w:tcPr>
          <w:p w14:paraId="67EA5BE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24D38E5F"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Both</w:t>
            </w:r>
          </w:p>
        </w:tc>
        <w:tc>
          <w:tcPr>
            <w:tcW w:w="990" w:type="dxa"/>
            <w:shd w:val="clear" w:color="auto" w:fill="auto"/>
            <w:noWrap/>
            <w:vAlign w:val="bottom"/>
            <w:hideMark/>
          </w:tcPr>
          <w:p w14:paraId="63099EDD"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Free</w:t>
            </w:r>
          </w:p>
        </w:tc>
        <w:tc>
          <w:tcPr>
            <w:tcW w:w="1440" w:type="dxa"/>
            <w:shd w:val="clear" w:color="auto" w:fill="auto"/>
            <w:noWrap/>
            <w:vAlign w:val="bottom"/>
            <w:hideMark/>
          </w:tcPr>
          <w:p w14:paraId="032061A6"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0C4EDD39"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around 250 reports</w:t>
            </w:r>
          </w:p>
        </w:tc>
      </w:tr>
      <w:tr w:rsidR="00C82BC4" w:rsidRPr="00E8754D" w14:paraId="6440162E" w14:textId="77777777" w:rsidTr="00276542">
        <w:trPr>
          <w:trHeight w:val="450"/>
        </w:trPr>
        <w:tc>
          <w:tcPr>
            <w:tcW w:w="1350" w:type="dxa"/>
            <w:shd w:val="clear" w:color="auto" w:fill="auto"/>
            <w:vAlign w:val="bottom"/>
            <w:hideMark/>
          </w:tcPr>
          <w:p w14:paraId="5EBAE2BF" w14:textId="77777777" w:rsidR="00C82BC4" w:rsidRPr="00E8754D" w:rsidRDefault="00C82BC4" w:rsidP="00276542">
            <w:pPr>
              <w:spacing w:after="0" w:line="240" w:lineRule="auto"/>
              <w:rPr>
                <w:rFonts w:ascii="Calibri" w:eastAsia="Times New Roman" w:hAnsi="Calibri"/>
                <w:b/>
                <w:color w:val="000000"/>
                <w:sz w:val="16"/>
                <w:szCs w:val="16"/>
              </w:rPr>
            </w:pPr>
            <w:proofErr w:type="spellStart"/>
            <w:r w:rsidRPr="00E8754D">
              <w:rPr>
                <w:rFonts w:ascii="Calibri" w:eastAsia="Times New Roman" w:hAnsi="Calibri"/>
                <w:b/>
                <w:color w:val="000000"/>
                <w:sz w:val="16"/>
                <w:szCs w:val="16"/>
              </w:rPr>
              <w:lastRenderedPageBreak/>
              <w:t>Responsabilitata</w:t>
            </w:r>
            <w:proofErr w:type="spellEnd"/>
            <w:r w:rsidRPr="00E8754D">
              <w:rPr>
                <w:rFonts w:ascii="Calibri" w:eastAsia="Times New Roman" w:hAnsi="Calibri"/>
                <w:b/>
                <w:color w:val="000000"/>
                <w:sz w:val="16"/>
                <w:szCs w:val="16"/>
              </w:rPr>
              <w:t xml:space="preserve"> </w:t>
            </w:r>
            <w:proofErr w:type="spellStart"/>
            <w:r w:rsidRPr="00E8754D">
              <w:rPr>
                <w:rFonts w:ascii="Calibri" w:eastAsia="Times New Roman" w:hAnsi="Calibri"/>
                <w:b/>
                <w:color w:val="000000"/>
                <w:sz w:val="16"/>
                <w:szCs w:val="16"/>
              </w:rPr>
              <w:t>Sociala</w:t>
            </w:r>
            <w:proofErr w:type="spellEnd"/>
          </w:p>
        </w:tc>
        <w:tc>
          <w:tcPr>
            <w:tcW w:w="2070" w:type="dxa"/>
            <w:shd w:val="clear" w:color="auto" w:fill="auto"/>
            <w:vAlign w:val="bottom"/>
            <w:hideMark/>
          </w:tcPr>
          <w:p w14:paraId="4299AD73"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15" w:history="1">
              <w:r w:rsidR="00C82BC4" w:rsidRPr="00E8754D">
                <w:rPr>
                  <w:rFonts w:ascii="Calibri" w:eastAsia="Times New Roman" w:hAnsi="Calibri"/>
                  <w:color w:val="0000FF"/>
                  <w:sz w:val="16"/>
                  <w:szCs w:val="16"/>
                  <w:u w:val="single"/>
                </w:rPr>
                <w:t xml:space="preserve">http://www.responsabilitatesociala.ro/ </w:t>
              </w:r>
            </w:hyperlink>
          </w:p>
        </w:tc>
        <w:tc>
          <w:tcPr>
            <w:tcW w:w="900" w:type="dxa"/>
            <w:shd w:val="clear" w:color="auto" w:fill="auto"/>
            <w:noWrap/>
            <w:vAlign w:val="bottom"/>
            <w:hideMark/>
          </w:tcPr>
          <w:p w14:paraId="1C9FFC7B"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Romania</w:t>
            </w:r>
          </w:p>
        </w:tc>
        <w:tc>
          <w:tcPr>
            <w:tcW w:w="990" w:type="dxa"/>
            <w:shd w:val="clear" w:color="auto" w:fill="auto"/>
            <w:noWrap/>
            <w:vAlign w:val="bottom"/>
            <w:hideMark/>
          </w:tcPr>
          <w:p w14:paraId="40A5BD2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National</w:t>
            </w:r>
          </w:p>
        </w:tc>
        <w:tc>
          <w:tcPr>
            <w:tcW w:w="720" w:type="dxa"/>
            <w:shd w:val="clear" w:color="auto" w:fill="auto"/>
            <w:noWrap/>
            <w:vAlign w:val="bottom"/>
            <w:hideMark/>
          </w:tcPr>
          <w:p w14:paraId="315612B4"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RO</w:t>
            </w:r>
          </w:p>
        </w:tc>
        <w:tc>
          <w:tcPr>
            <w:tcW w:w="1350" w:type="dxa"/>
            <w:shd w:val="clear" w:color="auto" w:fill="auto"/>
            <w:noWrap/>
            <w:vAlign w:val="bottom"/>
            <w:hideMark/>
          </w:tcPr>
          <w:p w14:paraId="4E184A33"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RO</w:t>
            </w:r>
          </w:p>
        </w:tc>
        <w:tc>
          <w:tcPr>
            <w:tcW w:w="1080" w:type="dxa"/>
            <w:shd w:val="clear" w:color="auto" w:fill="auto"/>
            <w:noWrap/>
            <w:vAlign w:val="bottom"/>
            <w:hideMark/>
          </w:tcPr>
          <w:p w14:paraId="14E352F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Other</w:t>
            </w:r>
          </w:p>
        </w:tc>
        <w:tc>
          <w:tcPr>
            <w:tcW w:w="1530" w:type="dxa"/>
            <w:shd w:val="clear" w:color="auto" w:fill="auto"/>
            <w:noWrap/>
            <w:vAlign w:val="bottom"/>
            <w:hideMark/>
          </w:tcPr>
          <w:p w14:paraId="6FF23EF8"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3B66924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Separate reports</w:t>
            </w:r>
          </w:p>
        </w:tc>
        <w:tc>
          <w:tcPr>
            <w:tcW w:w="990" w:type="dxa"/>
            <w:shd w:val="clear" w:color="auto" w:fill="auto"/>
            <w:noWrap/>
            <w:vAlign w:val="bottom"/>
            <w:hideMark/>
          </w:tcPr>
          <w:p w14:paraId="6905794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Free</w:t>
            </w:r>
          </w:p>
        </w:tc>
        <w:tc>
          <w:tcPr>
            <w:tcW w:w="1440" w:type="dxa"/>
            <w:shd w:val="clear" w:color="auto" w:fill="auto"/>
            <w:noWrap/>
            <w:vAlign w:val="bottom"/>
            <w:hideMark/>
          </w:tcPr>
          <w:p w14:paraId="120AF622"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49913F8E"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around 40 companies</w:t>
            </w:r>
          </w:p>
        </w:tc>
      </w:tr>
      <w:tr w:rsidR="00C82BC4" w:rsidRPr="00E8754D" w14:paraId="1F170726" w14:textId="77777777" w:rsidTr="00276542">
        <w:trPr>
          <w:trHeight w:val="675"/>
        </w:trPr>
        <w:tc>
          <w:tcPr>
            <w:tcW w:w="1350" w:type="dxa"/>
            <w:shd w:val="clear" w:color="auto" w:fill="auto"/>
            <w:vAlign w:val="bottom"/>
            <w:hideMark/>
          </w:tcPr>
          <w:p w14:paraId="099FDC9F"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Corporate Register</w:t>
            </w:r>
          </w:p>
        </w:tc>
        <w:tc>
          <w:tcPr>
            <w:tcW w:w="2070" w:type="dxa"/>
            <w:shd w:val="clear" w:color="auto" w:fill="auto"/>
            <w:vAlign w:val="bottom"/>
            <w:hideMark/>
          </w:tcPr>
          <w:p w14:paraId="54DF878B"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16" w:history="1">
              <w:r w:rsidR="00C82BC4" w:rsidRPr="00E8754D">
                <w:rPr>
                  <w:rFonts w:ascii="Calibri" w:eastAsia="Times New Roman" w:hAnsi="Calibri"/>
                  <w:color w:val="0000FF"/>
                  <w:sz w:val="16"/>
                  <w:szCs w:val="16"/>
                  <w:u w:val="single"/>
                </w:rPr>
                <w:t>http://corporateregister.com/</w:t>
              </w:r>
            </w:hyperlink>
          </w:p>
        </w:tc>
        <w:tc>
          <w:tcPr>
            <w:tcW w:w="900" w:type="dxa"/>
            <w:shd w:val="clear" w:color="auto" w:fill="auto"/>
            <w:noWrap/>
            <w:vAlign w:val="bottom"/>
            <w:hideMark/>
          </w:tcPr>
          <w:p w14:paraId="1E5FB9C9"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Global</w:t>
            </w:r>
          </w:p>
        </w:tc>
        <w:tc>
          <w:tcPr>
            <w:tcW w:w="990" w:type="dxa"/>
            <w:shd w:val="clear" w:color="auto" w:fill="auto"/>
            <w:noWrap/>
            <w:vAlign w:val="bottom"/>
            <w:hideMark/>
          </w:tcPr>
          <w:p w14:paraId="59672923"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Global</w:t>
            </w:r>
          </w:p>
        </w:tc>
        <w:tc>
          <w:tcPr>
            <w:tcW w:w="720" w:type="dxa"/>
            <w:shd w:val="clear" w:color="auto" w:fill="auto"/>
            <w:noWrap/>
            <w:vAlign w:val="bottom"/>
            <w:hideMark/>
          </w:tcPr>
          <w:p w14:paraId="65A20ABD"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350" w:type="dxa"/>
            <w:shd w:val="clear" w:color="auto" w:fill="auto"/>
            <w:vAlign w:val="bottom"/>
            <w:hideMark/>
          </w:tcPr>
          <w:p w14:paraId="1482EB8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Multiple, only reports in Latin scripts</w:t>
            </w:r>
          </w:p>
        </w:tc>
        <w:tc>
          <w:tcPr>
            <w:tcW w:w="1080" w:type="dxa"/>
            <w:shd w:val="clear" w:color="auto" w:fill="auto"/>
            <w:noWrap/>
            <w:vAlign w:val="bottom"/>
            <w:hideMark/>
          </w:tcPr>
          <w:p w14:paraId="7D91441F"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Business/sectoral</w:t>
            </w:r>
          </w:p>
        </w:tc>
        <w:tc>
          <w:tcPr>
            <w:tcW w:w="1530" w:type="dxa"/>
            <w:shd w:val="clear" w:color="auto" w:fill="auto"/>
            <w:noWrap/>
            <w:vAlign w:val="bottom"/>
            <w:hideMark/>
          </w:tcPr>
          <w:p w14:paraId="48EF430F"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1DEC8293"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Both</w:t>
            </w:r>
          </w:p>
        </w:tc>
        <w:tc>
          <w:tcPr>
            <w:tcW w:w="990" w:type="dxa"/>
            <w:shd w:val="clear" w:color="auto" w:fill="auto"/>
            <w:noWrap/>
            <w:vAlign w:val="bottom"/>
            <w:hideMark/>
          </w:tcPr>
          <w:p w14:paraId="1559F901"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Partly free</w:t>
            </w:r>
          </w:p>
        </w:tc>
        <w:tc>
          <w:tcPr>
            <w:tcW w:w="1440" w:type="dxa"/>
            <w:shd w:val="clear" w:color="auto" w:fill="auto"/>
            <w:noWrap/>
            <w:vAlign w:val="bottom"/>
            <w:hideMark/>
          </w:tcPr>
          <w:p w14:paraId="37B2464C"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4D3FAE8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83,368 reports of 13,842 organizations</w:t>
            </w:r>
          </w:p>
        </w:tc>
      </w:tr>
      <w:tr w:rsidR="00C82BC4" w:rsidRPr="00E8754D" w14:paraId="07765E8B" w14:textId="77777777" w:rsidTr="00276542">
        <w:trPr>
          <w:trHeight w:val="450"/>
        </w:trPr>
        <w:tc>
          <w:tcPr>
            <w:tcW w:w="1350" w:type="dxa"/>
            <w:shd w:val="clear" w:color="auto" w:fill="auto"/>
            <w:vAlign w:val="bottom"/>
            <w:hideMark/>
          </w:tcPr>
          <w:p w14:paraId="517A06AF"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Online Reports Database</w:t>
            </w:r>
          </w:p>
        </w:tc>
        <w:tc>
          <w:tcPr>
            <w:tcW w:w="2070" w:type="dxa"/>
            <w:shd w:val="clear" w:color="auto" w:fill="auto"/>
            <w:vAlign w:val="bottom"/>
            <w:hideMark/>
          </w:tcPr>
          <w:p w14:paraId="515F4529"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17" w:history="1">
              <w:r w:rsidR="00C82BC4" w:rsidRPr="00E8754D">
                <w:rPr>
                  <w:rFonts w:ascii="Calibri" w:eastAsia="Times New Roman" w:hAnsi="Calibri"/>
                  <w:color w:val="0000FF"/>
                  <w:sz w:val="16"/>
                  <w:szCs w:val="16"/>
                  <w:u w:val="single"/>
                </w:rPr>
                <w:t xml:space="preserve">http://www.online-report.com/report-type/sustainability-report/ </w:t>
              </w:r>
            </w:hyperlink>
          </w:p>
        </w:tc>
        <w:tc>
          <w:tcPr>
            <w:tcW w:w="900" w:type="dxa"/>
            <w:shd w:val="clear" w:color="auto" w:fill="auto"/>
            <w:noWrap/>
            <w:vAlign w:val="bottom"/>
            <w:hideMark/>
          </w:tcPr>
          <w:p w14:paraId="4EED0AB6"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Global</w:t>
            </w:r>
          </w:p>
        </w:tc>
        <w:tc>
          <w:tcPr>
            <w:tcW w:w="990" w:type="dxa"/>
            <w:shd w:val="clear" w:color="auto" w:fill="auto"/>
            <w:noWrap/>
            <w:vAlign w:val="bottom"/>
            <w:hideMark/>
          </w:tcPr>
          <w:p w14:paraId="76C0D9A1"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Mostly Europe</w:t>
            </w:r>
          </w:p>
        </w:tc>
        <w:tc>
          <w:tcPr>
            <w:tcW w:w="720" w:type="dxa"/>
            <w:shd w:val="clear" w:color="auto" w:fill="auto"/>
            <w:noWrap/>
            <w:vAlign w:val="bottom"/>
            <w:hideMark/>
          </w:tcPr>
          <w:p w14:paraId="5F69FCCF"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350" w:type="dxa"/>
            <w:shd w:val="clear" w:color="auto" w:fill="auto"/>
            <w:noWrap/>
            <w:vAlign w:val="bottom"/>
            <w:hideMark/>
          </w:tcPr>
          <w:p w14:paraId="00146CD7"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Mostly EN</w:t>
            </w:r>
          </w:p>
        </w:tc>
        <w:tc>
          <w:tcPr>
            <w:tcW w:w="1080" w:type="dxa"/>
            <w:shd w:val="clear" w:color="auto" w:fill="auto"/>
            <w:noWrap/>
            <w:vAlign w:val="bottom"/>
            <w:hideMark/>
          </w:tcPr>
          <w:p w14:paraId="2AA02D34"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Business/sectoral</w:t>
            </w:r>
          </w:p>
        </w:tc>
        <w:tc>
          <w:tcPr>
            <w:tcW w:w="1530" w:type="dxa"/>
            <w:shd w:val="clear" w:color="auto" w:fill="auto"/>
            <w:noWrap/>
            <w:vAlign w:val="bottom"/>
            <w:hideMark/>
          </w:tcPr>
          <w:p w14:paraId="5DF2E71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4A98B54C"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Both</w:t>
            </w:r>
          </w:p>
        </w:tc>
        <w:tc>
          <w:tcPr>
            <w:tcW w:w="990" w:type="dxa"/>
            <w:shd w:val="clear" w:color="auto" w:fill="auto"/>
            <w:noWrap/>
            <w:vAlign w:val="bottom"/>
            <w:hideMark/>
          </w:tcPr>
          <w:p w14:paraId="5F70112E"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Free</w:t>
            </w:r>
          </w:p>
        </w:tc>
        <w:tc>
          <w:tcPr>
            <w:tcW w:w="1440" w:type="dxa"/>
            <w:shd w:val="clear" w:color="auto" w:fill="auto"/>
            <w:noWrap/>
            <w:vAlign w:val="bottom"/>
            <w:hideMark/>
          </w:tcPr>
          <w:p w14:paraId="694FF31E"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3B2EA4D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Around 700 reports</w:t>
            </w:r>
          </w:p>
        </w:tc>
      </w:tr>
      <w:tr w:rsidR="00C82BC4" w:rsidRPr="00E8754D" w14:paraId="4EBF1123" w14:textId="77777777" w:rsidTr="00276542">
        <w:trPr>
          <w:trHeight w:val="450"/>
        </w:trPr>
        <w:tc>
          <w:tcPr>
            <w:tcW w:w="1350" w:type="dxa"/>
            <w:shd w:val="clear" w:color="auto" w:fill="auto"/>
            <w:vAlign w:val="bottom"/>
            <w:hideMark/>
          </w:tcPr>
          <w:p w14:paraId="6315A1D5"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Global Reporting Initiative</w:t>
            </w:r>
          </w:p>
        </w:tc>
        <w:tc>
          <w:tcPr>
            <w:tcW w:w="2070" w:type="dxa"/>
            <w:shd w:val="clear" w:color="auto" w:fill="auto"/>
            <w:vAlign w:val="bottom"/>
            <w:hideMark/>
          </w:tcPr>
          <w:p w14:paraId="4FEE5014"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18" w:history="1">
              <w:r w:rsidR="00C82BC4" w:rsidRPr="00E8754D">
                <w:rPr>
                  <w:rFonts w:ascii="Calibri" w:eastAsia="Times New Roman" w:hAnsi="Calibri"/>
                  <w:color w:val="0000FF"/>
                  <w:sz w:val="16"/>
                  <w:szCs w:val="16"/>
                  <w:u w:val="single"/>
                </w:rPr>
                <w:t xml:space="preserve">http://database.globalreporting.org/ </w:t>
              </w:r>
            </w:hyperlink>
          </w:p>
        </w:tc>
        <w:tc>
          <w:tcPr>
            <w:tcW w:w="900" w:type="dxa"/>
            <w:shd w:val="clear" w:color="auto" w:fill="auto"/>
            <w:noWrap/>
            <w:vAlign w:val="bottom"/>
            <w:hideMark/>
          </w:tcPr>
          <w:p w14:paraId="0482F818"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Global</w:t>
            </w:r>
          </w:p>
        </w:tc>
        <w:tc>
          <w:tcPr>
            <w:tcW w:w="990" w:type="dxa"/>
            <w:shd w:val="clear" w:color="auto" w:fill="auto"/>
            <w:noWrap/>
            <w:vAlign w:val="bottom"/>
            <w:hideMark/>
          </w:tcPr>
          <w:p w14:paraId="2F74689E"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Global</w:t>
            </w:r>
          </w:p>
        </w:tc>
        <w:tc>
          <w:tcPr>
            <w:tcW w:w="720" w:type="dxa"/>
            <w:shd w:val="clear" w:color="auto" w:fill="auto"/>
            <w:noWrap/>
            <w:vAlign w:val="bottom"/>
            <w:hideMark/>
          </w:tcPr>
          <w:p w14:paraId="1FDE3C3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350" w:type="dxa"/>
            <w:shd w:val="clear" w:color="auto" w:fill="auto"/>
            <w:noWrap/>
            <w:vAlign w:val="bottom"/>
            <w:hideMark/>
          </w:tcPr>
          <w:p w14:paraId="2BB889AF"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 xml:space="preserve">Multiple </w:t>
            </w:r>
          </w:p>
        </w:tc>
        <w:tc>
          <w:tcPr>
            <w:tcW w:w="1080" w:type="dxa"/>
            <w:shd w:val="clear" w:color="auto" w:fill="auto"/>
            <w:noWrap/>
            <w:vAlign w:val="bottom"/>
            <w:hideMark/>
          </w:tcPr>
          <w:p w14:paraId="6186BC8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Other</w:t>
            </w:r>
          </w:p>
        </w:tc>
        <w:tc>
          <w:tcPr>
            <w:tcW w:w="1530" w:type="dxa"/>
            <w:shd w:val="clear" w:color="auto" w:fill="auto"/>
            <w:noWrap/>
            <w:vAlign w:val="bottom"/>
            <w:hideMark/>
          </w:tcPr>
          <w:p w14:paraId="08FBDC4B"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Yes, mixed</w:t>
            </w:r>
          </w:p>
        </w:tc>
        <w:tc>
          <w:tcPr>
            <w:tcW w:w="1530" w:type="dxa"/>
            <w:shd w:val="clear" w:color="auto" w:fill="auto"/>
            <w:noWrap/>
            <w:vAlign w:val="bottom"/>
            <w:hideMark/>
          </w:tcPr>
          <w:p w14:paraId="413EDAC6"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Both</w:t>
            </w:r>
          </w:p>
        </w:tc>
        <w:tc>
          <w:tcPr>
            <w:tcW w:w="990" w:type="dxa"/>
            <w:shd w:val="clear" w:color="auto" w:fill="auto"/>
            <w:noWrap/>
            <w:vAlign w:val="bottom"/>
            <w:hideMark/>
          </w:tcPr>
          <w:p w14:paraId="235BBA3E"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Free</w:t>
            </w:r>
          </w:p>
        </w:tc>
        <w:tc>
          <w:tcPr>
            <w:tcW w:w="1440" w:type="dxa"/>
            <w:shd w:val="clear" w:color="auto" w:fill="auto"/>
            <w:noWrap/>
            <w:vAlign w:val="bottom"/>
            <w:hideMark/>
          </w:tcPr>
          <w:p w14:paraId="1104ADF9"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7B92EDF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10,407 organizations, 39,024 reports</w:t>
            </w:r>
          </w:p>
        </w:tc>
      </w:tr>
      <w:tr w:rsidR="00C82BC4" w:rsidRPr="00E8754D" w14:paraId="21AB2941" w14:textId="77777777" w:rsidTr="00276542">
        <w:trPr>
          <w:trHeight w:val="450"/>
        </w:trPr>
        <w:tc>
          <w:tcPr>
            <w:tcW w:w="1350" w:type="dxa"/>
            <w:shd w:val="clear" w:color="auto" w:fill="auto"/>
            <w:vAlign w:val="bottom"/>
            <w:hideMark/>
          </w:tcPr>
          <w:p w14:paraId="13015CC9"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British Library</w:t>
            </w:r>
          </w:p>
        </w:tc>
        <w:tc>
          <w:tcPr>
            <w:tcW w:w="2070" w:type="dxa"/>
            <w:shd w:val="clear" w:color="auto" w:fill="auto"/>
            <w:vAlign w:val="bottom"/>
            <w:hideMark/>
          </w:tcPr>
          <w:p w14:paraId="3651422B"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19" w:history="1">
              <w:r w:rsidR="00C82BC4" w:rsidRPr="00E8754D">
                <w:rPr>
                  <w:rFonts w:ascii="Calibri" w:eastAsia="Times New Roman" w:hAnsi="Calibri"/>
                  <w:color w:val="0000FF"/>
                  <w:sz w:val="16"/>
                  <w:szCs w:val="16"/>
                  <w:u w:val="single"/>
                </w:rPr>
                <w:t xml:space="preserve">http://www.bl.uk/reshelp/findhelprestype/coannrep/companyreports.html </w:t>
              </w:r>
            </w:hyperlink>
          </w:p>
        </w:tc>
        <w:tc>
          <w:tcPr>
            <w:tcW w:w="900" w:type="dxa"/>
            <w:shd w:val="clear" w:color="auto" w:fill="auto"/>
            <w:noWrap/>
            <w:vAlign w:val="bottom"/>
            <w:hideMark/>
          </w:tcPr>
          <w:p w14:paraId="66643978"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United Kingdom</w:t>
            </w:r>
          </w:p>
        </w:tc>
        <w:tc>
          <w:tcPr>
            <w:tcW w:w="990" w:type="dxa"/>
            <w:shd w:val="clear" w:color="auto" w:fill="auto"/>
            <w:noWrap/>
            <w:vAlign w:val="bottom"/>
            <w:hideMark/>
          </w:tcPr>
          <w:p w14:paraId="2DFDA63C"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National</w:t>
            </w:r>
          </w:p>
        </w:tc>
        <w:tc>
          <w:tcPr>
            <w:tcW w:w="720" w:type="dxa"/>
            <w:shd w:val="clear" w:color="auto" w:fill="auto"/>
            <w:noWrap/>
            <w:vAlign w:val="bottom"/>
            <w:hideMark/>
          </w:tcPr>
          <w:p w14:paraId="76DF0603"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350" w:type="dxa"/>
            <w:shd w:val="clear" w:color="auto" w:fill="auto"/>
            <w:noWrap/>
            <w:vAlign w:val="bottom"/>
            <w:hideMark/>
          </w:tcPr>
          <w:p w14:paraId="64F6A676"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080" w:type="dxa"/>
            <w:shd w:val="clear" w:color="auto" w:fill="auto"/>
            <w:noWrap/>
            <w:vAlign w:val="bottom"/>
            <w:hideMark/>
          </w:tcPr>
          <w:p w14:paraId="655CE2FE"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Government</w:t>
            </w:r>
          </w:p>
        </w:tc>
        <w:tc>
          <w:tcPr>
            <w:tcW w:w="1530" w:type="dxa"/>
            <w:shd w:val="clear" w:color="auto" w:fill="auto"/>
            <w:noWrap/>
            <w:vAlign w:val="bottom"/>
            <w:hideMark/>
          </w:tcPr>
          <w:p w14:paraId="377D1A38"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5563980E"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Both</w:t>
            </w:r>
          </w:p>
        </w:tc>
        <w:tc>
          <w:tcPr>
            <w:tcW w:w="990" w:type="dxa"/>
            <w:shd w:val="clear" w:color="auto" w:fill="auto"/>
            <w:noWrap/>
            <w:vAlign w:val="bottom"/>
            <w:hideMark/>
          </w:tcPr>
          <w:p w14:paraId="68CD3663"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Otherwise restricted</w:t>
            </w:r>
          </w:p>
        </w:tc>
        <w:tc>
          <w:tcPr>
            <w:tcW w:w="1440" w:type="dxa"/>
            <w:shd w:val="clear" w:color="auto" w:fill="auto"/>
            <w:noWrap/>
            <w:vAlign w:val="bottom"/>
            <w:hideMark/>
          </w:tcPr>
          <w:p w14:paraId="23AC63FC"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2784833B"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Unknown</w:t>
            </w:r>
          </w:p>
        </w:tc>
      </w:tr>
      <w:tr w:rsidR="00C82BC4" w:rsidRPr="00E8754D" w14:paraId="4BB65F0F" w14:textId="77777777" w:rsidTr="00276542">
        <w:trPr>
          <w:trHeight w:val="450"/>
        </w:trPr>
        <w:tc>
          <w:tcPr>
            <w:tcW w:w="1350" w:type="dxa"/>
            <w:shd w:val="clear" w:color="auto" w:fill="auto"/>
            <w:vAlign w:val="bottom"/>
            <w:hideMark/>
          </w:tcPr>
          <w:p w14:paraId="3E5A6CA5"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MIT Dewey Annual Reports collection</w:t>
            </w:r>
          </w:p>
        </w:tc>
        <w:tc>
          <w:tcPr>
            <w:tcW w:w="2070" w:type="dxa"/>
            <w:shd w:val="clear" w:color="auto" w:fill="auto"/>
            <w:vAlign w:val="bottom"/>
            <w:hideMark/>
          </w:tcPr>
          <w:p w14:paraId="2E06BB1A"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20" w:history="1">
              <w:r w:rsidR="00C82BC4" w:rsidRPr="00E8754D">
                <w:rPr>
                  <w:rFonts w:ascii="Calibri" w:eastAsia="Times New Roman" w:hAnsi="Calibri"/>
                  <w:color w:val="0000FF"/>
                  <w:sz w:val="16"/>
                  <w:szCs w:val="16"/>
                  <w:u w:val="single"/>
                </w:rPr>
                <w:t xml:space="preserve">http://libguides.mit.edu/c.php?g=176014&amp;p=1160945 </w:t>
              </w:r>
            </w:hyperlink>
          </w:p>
        </w:tc>
        <w:tc>
          <w:tcPr>
            <w:tcW w:w="900" w:type="dxa"/>
            <w:shd w:val="clear" w:color="auto" w:fill="auto"/>
            <w:noWrap/>
            <w:vAlign w:val="bottom"/>
            <w:hideMark/>
          </w:tcPr>
          <w:p w14:paraId="5344A10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United States</w:t>
            </w:r>
          </w:p>
        </w:tc>
        <w:tc>
          <w:tcPr>
            <w:tcW w:w="990" w:type="dxa"/>
            <w:shd w:val="clear" w:color="auto" w:fill="auto"/>
            <w:noWrap/>
            <w:vAlign w:val="bottom"/>
            <w:hideMark/>
          </w:tcPr>
          <w:p w14:paraId="0AE22F16"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National</w:t>
            </w:r>
          </w:p>
        </w:tc>
        <w:tc>
          <w:tcPr>
            <w:tcW w:w="720" w:type="dxa"/>
            <w:shd w:val="clear" w:color="auto" w:fill="auto"/>
            <w:noWrap/>
            <w:vAlign w:val="bottom"/>
            <w:hideMark/>
          </w:tcPr>
          <w:p w14:paraId="2235128C"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350" w:type="dxa"/>
            <w:shd w:val="clear" w:color="auto" w:fill="auto"/>
            <w:noWrap/>
            <w:vAlign w:val="bottom"/>
            <w:hideMark/>
          </w:tcPr>
          <w:p w14:paraId="69153722"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080" w:type="dxa"/>
            <w:shd w:val="clear" w:color="auto" w:fill="auto"/>
            <w:noWrap/>
            <w:vAlign w:val="bottom"/>
            <w:hideMark/>
          </w:tcPr>
          <w:p w14:paraId="6DF10EFB"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Other</w:t>
            </w:r>
          </w:p>
        </w:tc>
        <w:tc>
          <w:tcPr>
            <w:tcW w:w="1530" w:type="dxa"/>
            <w:shd w:val="clear" w:color="auto" w:fill="auto"/>
            <w:noWrap/>
            <w:vAlign w:val="bottom"/>
            <w:hideMark/>
          </w:tcPr>
          <w:p w14:paraId="53D8A82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39B7821C"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Separate reports</w:t>
            </w:r>
          </w:p>
        </w:tc>
        <w:tc>
          <w:tcPr>
            <w:tcW w:w="990" w:type="dxa"/>
            <w:shd w:val="clear" w:color="auto" w:fill="auto"/>
            <w:noWrap/>
            <w:vAlign w:val="bottom"/>
            <w:hideMark/>
          </w:tcPr>
          <w:p w14:paraId="500750E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Free</w:t>
            </w:r>
          </w:p>
        </w:tc>
        <w:tc>
          <w:tcPr>
            <w:tcW w:w="1440" w:type="dxa"/>
            <w:shd w:val="clear" w:color="auto" w:fill="auto"/>
            <w:noWrap/>
            <w:vAlign w:val="bottom"/>
            <w:hideMark/>
          </w:tcPr>
          <w:p w14:paraId="43B68002"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4B59B66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Around 33,000</w:t>
            </w:r>
          </w:p>
        </w:tc>
      </w:tr>
      <w:tr w:rsidR="00C82BC4" w:rsidRPr="00E8754D" w14:paraId="661EBF0C" w14:textId="77777777" w:rsidTr="00276542">
        <w:trPr>
          <w:trHeight w:val="675"/>
        </w:trPr>
        <w:tc>
          <w:tcPr>
            <w:tcW w:w="1350" w:type="dxa"/>
            <w:shd w:val="clear" w:color="auto" w:fill="auto"/>
            <w:vAlign w:val="bottom"/>
            <w:hideMark/>
          </w:tcPr>
          <w:p w14:paraId="2E69A8A7"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Thomson Reuters Eikon</w:t>
            </w:r>
          </w:p>
        </w:tc>
        <w:tc>
          <w:tcPr>
            <w:tcW w:w="2070" w:type="dxa"/>
            <w:shd w:val="clear" w:color="auto" w:fill="auto"/>
            <w:vAlign w:val="bottom"/>
            <w:hideMark/>
          </w:tcPr>
          <w:p w14:paraId="2677DF38"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21" w:history="1">
              <w:r w:rsidR="00C82BC4" w:rsidRPr="00E8754D">
                <w:rPr>
                  <w:rFonts w:ascii="Calibri" w:eastAsia="Times New Roman" w:hAnsi="Calibri"/>
                  <w:color w:val="0000FF"/>
                  <w:sz w:val="16"/>
                  <w:szCs w:val="16"/>
                  <w:u w:val="single"/>
                </w:rPr>
                <w:t>http://financial.thomsonreuters.com/en/products/tools-applications/trading-investment-tools/eikon-trading-software.html</w:t>
              </w:r>
            </w:hyperlink>
          </w:p>
        </w:tc>
        <w:tc>
          <w:tcPr>
            <w:tcW w:w="900" w:type="dxa"/>
            <w:shd w:val="clear" w:color="auto" w:fill="auto"/>
            <w:noWrap/>
            <w:vAlign w:val="bottom"/>
            <w:hideMark/>
          </w:tcPr>
          <w:p w14:paraId="5FBB24EF"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United States</w:t>
            </w:r>
          </w:p>
        </w:tc>
        <w:tc>
          <w:tcPr>
            <w:tcW w:w="990" w:type="dxa"/>
            <w:shd w:val="clear" w:color="auto" w:fill="auto"/>
            <w:noWrap/>
            <w:vAlign w:val="bottom"/>
            <w:hideMark/>
          </w:tcPr>
          <w:p w14:paraId="2984CA81"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Global</w:t>
            </w:r>
          </w:p>
        </w:tc>
        <w:tc>
          <w:tcPr>
            <w:tcW w:w="720" w:type="dxa"/>
            <w:shd w:val="clear" w:color="auto" w:fill="auto"/>
            <w:noWrap/>
            <w:vAlign w:val="bottom"/>
            <w:hideMark/>
          </w:tcPr>
          <w:p w14:paraId="66597CFF"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350" w:type="dxa"/>
            <w:shd w:val="clear" w:color="auto" w:fill="auto"/>
            <w:noWrap/>
            <w:vAlign w:val="bottom"/>
            <w:hideMark/>
          </w:tcPr>
          <w:p w14:paraId="121D1D14"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080" w:type="dxa"/>
            <w:shd w:val="clear" w:color="auto" w:fill="auto"/>
            <w:noWrap/>
            <w:vAlign w:val="bottom"/>
            <w:hideMark/>
          </w:tcPr>
          <w:p w14:paraId="01F144F6"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Business/sectoral</w:t>
            </w:r>
          </w:p>
        </w:tc>
        <w:tc>
          <w:tcPr>
            <w:tcW w:w="1530" w:type="dxa"/>
            <w:shd w:val="clear" w:color="auto" w:fill="auto"/>
            <w:noWrap/>
            <w:vAlign w:val="bottom"/>
            <w:hideMark/>
          </w:tcPr>
          <w:p w14:paraId="1FEF49C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39EE9B9C"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Both</w:t>
            </w:r>
          </w:p>
        </w:tc>
        <w:tc>
          <w:tcPr>
            <w:tcW w:w="990" w:type="dxa"/>
            <w:shd w:val="clear" w:color="auto" w:fill="auto"/>
            <w:noWrap/>
            <w:vAlign w:val="bottom"/>
            <w:hideMark/>
          </w:tcPr>
          <w:p w14:paraId="11D47642"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Paid</w:t>
            </w:r>
          </w:p>
        </w:tc>
        <w:tc>
          <w:tcPr>
            <w:tcW w:w="1440" w:type="dxa"/>
            <w:shd w:val="clear" w:color="auto" w:fill="auto"/>
            <w:noWrap/>
            <w:vAlign w:val="bottom"/>
            <w:hideMark/>
          </w:tcPr>
          <w:p w14:paraId="1EC9798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3246EDD4"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 xml:space="preserve">6000 companies, around 2500 </w:t>
            </w:r>
            <w:proofErr w:type="spellStart"/>
            <w:r w:rsidRPr="00E8754D">
              <w:rPr>
                <w:rFonts w:ascii="Calibri" w:eastAsia="Times New Roman" w:hAnsi="Calibri"/>
                <w:color w:val="000000"/>
                <w:sz w:val="16"/>
                <w:szCs w:val="16"/>
              </w:rPr>
              <w:t>sust</w:t>
            </w:r>
            <w:proofErr w:type="spellEnd"/>
            <w:r w:rsidRPr="00E8754D">
              <w:rPr>
                <w:rFonts w:ascii="Calibri" w:eastAsia="Times New Roman" w:hAnsi="Calibri"/>
                <w:color w:val="000000"/>
                <w:sz w:val="16"/>
                <w:szCs w:val="16"/>
              </w:rPr>
              <w:t xml:space="preserve"> report </w:t>
            </w:r>
            <w:proofErr w:type="gramStart"/>
            <w:r w:rsidRPr="00E8754D">
              <w:rPr>
                <w:rFonts w:ascii="Calibri" w:eastAsia="Times New Roman" w:hAnsi="Calibri"/>
                <w:color w:val="000000"/>
                <w:sz w:val="16"/>
                <w:szCs w:val="16"/>
              </w:rPr>
              <w:t>per  year</w:t>
            </w:r>
            <w:proofErr w:type="gramEnd"/>
          </w:p>
        </w:tc>
      </w:tr>
      <w:tr w:rsidR="00C82BC4" w:rsidRPr="00E8754D" w14:paraId="7A19B902" w14:textId="77777777" w:rsidTr="00276542">
        <w:trPr>
          <w:trHeight w:val="450"/>
        </w:trPr>
        <w:tc>
          <w:tcPr>
            <w:tcW w:w="1350" w:type="dxa"/>
            <w:shd w:val="clear" w:color="auto" w:fill="auto"/>
            <w:vAlign w:val="bottom"/>
            <w:hideMark/>
          </w:tcPr>
          <w:p w14:paraId="449411D1"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Annual Reports</w:t>
            </w:r>
          </w:p>
        </w:tc>
        <w:tc>
          <w:tcPr>
            <w:tcW w:w="2070" w:type="dxa"/>
            <w:shd w:val="clear" w:color="auto" w:fill="auto"/>
            <w:vAlign w:val="bottom"/>
            <w:hideMark/>
          </w:tcPr>
          <w:p w14:paraId="7F7C4C53"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22" w:history="1">
              <w:r w:rsidR="00C82BC4" w:rsidRPr="00E8754D">
                <w:rPr>
                  <w:rFonts w:ascii="Calibri" w:eastAsia="Times New Roman" w:hAnsi="Calibri"/>
                  <w:color w:val="0000FF"/>
                  <w:sz w:val="16"/>
                  <w:szCs w:val="16"/>
                  <w:u w:val="single"/>
                </w:rPr>
                <w:t xml:space="preserve">http://www.annualreports.com/ </w:t>
              </w:r>
            </w:hyperlink>
          </w:p>
        </w:tc>
        <w:tc>
          <w:tcPr>
            <w:tcW w:w="900" w:type="dxa"/>
            <w:shd w:val="clear" w:color="auto" w:fill="auto"/>
            <w:noWrap/>
            <w:vAlign w:val="bottom"/>
            <w:hideMark/>
          </w:tcPr>
          <w:p w14:paraId="5E88FE57"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United States</w:t>
            </w:r>
          </w:p>
        </w:tc>
        <w:tc>
          <w:tcPr>
            <w:tcW w:w="990" w:type="dxa"/>
            <w:shd w:val="clear" w:color="auto" w:fill="auto"/>
            <w:noWrap/>
            <w:vAlign w:val="bottom"/>
            <w:hideMark/>
          </w:tcPr>
          <w:p w14:paraId="489248E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Global</w:t>
            </w:r>
          </w:p>
        </w:tc>
        <w:tc>
          <w:tcPr>
            <w:tcW w:w="720" w:type="dxa"/>
            <w:shd w:val="clear" w:color="auto" w:fill="auto"/>
            <w:noWrap/>
            <w:vAlign w:val="bottom"/>
            <w:hideMark/>
          </w:tcPr>
          <w:p w14:paraId="2F0415C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350" w:type="dxa"/>
            <w:shd w:val="clear" w:color="auto" w:fill="auto"/>
            <w:noWrap/>
            <w:vAlign w:val="bottom"/>
            <w:hideMark/>
          </w:tcPr>
          <w:p w14:paraId="4AC3FB76"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080" w:type="dxa"/>
            <w:shd w:val="clear" w:color="auto" w:fill="auto"/>
            <w:noWrap/>
            <w:vAlign w:val="bottom"/>
            <w:hideMark/>
          </w:tcPr>
          <w:p w14:paraId="5B92AFFD"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Business/sectoral</w:t>
            </w:r>
          </w:p>
        </w:tc>
        <w:tc>
          <w:tcPr>
            <w:tcW w:w="1530" w:type="dxa"/>
            <w:shd w:val="clear" w:color="auto" w:fill="auto"/>
            <w:noWrap/>
            <w:vAlign w:val="bottom"/>
            <w:hideMark/>
          </w:tcPr>
          <w:p w14:paraId="257659C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485DD04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Both</w:t>
            </w:r>
          </w:p>
        </w:tc>
        <w:tc>
          <w:tcPr>
            <w:tcW w:w="990" w:type="dxa"/>
            <w:shd w:val="clear" w:color="auto" w:fill="auto"/>
            <w:noWrap/>
            <w:vAlign w:val="bottom"/>
            <w:hideMark/>
          </w:tcPr>
          <w:p w14:paraId="520AF54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Free</w:t>
            </w:r>
          </w:p>
        </w:tc>
        <w:tc>
          <w:tcPr>
            <w:tcW w:w="1440" w:type="dxa"/>
            <w:shd w:val="clear" w:color="auto" w:fill="auto"/>
            <w:noWrap/>
            <w:vAlign w:val="bottom"/>
            <w:hideMark/>
          </w:tcPr>
          <w:p w14:paraId="096F7577"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13FA0836"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Around 53,000</w:t>
            </w:r>
          </w:p>
        </w:tc>
      </w:tr>
      <w:tr w:rsidR="00C82BC4" w:rsidRPr="00E8754D" w14:paraId="7E0B8ADA" w14:textId="77777777" w:rsidTr="00276542">
        <w:trPr>
          <w:trHeight w:val="450"/>
        </w:trPr>
        <w:tc>
          <w:tcPr>
            <w:tcW w:w="1350" w:type="dxa"/>
            <w:shd w:val="clear" w:color="auto" w:fill="auto"/>
            <w:vAlign w:val="bottom"/>
            <w:hideMark/>
          </w:tcPr>
          <w:p w14:paraId="47DB872C"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Order Annual Reports</w:t>
            </w:r>
          </w:p>
        </w:tc>
        <w:tc>
          <w:tcPr>
            <w:tcW w:w="2070" w:type="dxa"/>
            <w:shd w:val="clear" w:color="auto" w:fill="auto"/>
            <w:vAlign w:val="bottom"/>
            <w:hideMark/>
          </w:tcPr>
          <w:p w14:paraId="4BDD9028"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23" w:history="1">
              <w:r w:rsidR="00C82BC4" w:rsidRPr="00E8754D">
                <w:rPr>
                  <w:rFonts w:ascii="Calibri" w:eastAsia="Times New Roman" w:hAnsi="Calibri"/>
                  <w:color w:val="0000FF"/>
                  <w:sz w:val="16"/>
                  <w:szCs w:val="16"/>
                  <w:u w:val="single"/>
                </w:rPr>
                <w:t xml:space="preserve">https://www.orderannualreports.com/ </w:t>
              </w:r>
            </w:hyperlink>
          </w:p>
        </w:tc>
        <w:tc>
          <w:tcPr>
            <w:tcW w:w="900" w:type="dxa"/>
            <w:shd w:val="clear" w:color="auto" w:fill="auto"/>
            <w:noWrap/>
            <w:vAlign w:val="bottom"/>
            <w:hideMark/>
          </w:tcPr>
          <w:p w14:paraId="0DF01AF6"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United States</w:t>
            </w:r>
          </w:p>
        </w:tc>
        <w:tc>
          <w:tcPr>
            <w:tcW w:w="990" w:type="dxa"/>
            <w:shd w:val="clear" w:color="auto" w:fill="auto"/>
            <w:noWrap/>
            <w:vAlign w:val="bottom"/>
            <w:hideMark/>
          </w:tcPr>
          <w:p w14:paraId="4F470D5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 xml:space="preserve">Global </w:t>
            </w:r>
          </w:p>
        </w:tc>
        <w:tc>
          <w:tcPr>
            <w:tcW w:w="720" w:type="dxa"/>
            <w:shd w:val="clear" w:color="auto" w:fill="auto"/>
            <w:noWrap/>
            <w:vAlign w:val="bottom"/>
            <w:hideMark/>
          </w:tcPr>
          <w:p w14:paraId="73D75808"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350" w:type="dxa"/>
            <w:shd w:val="clear" w:color="auto" w:fill="auto"/>
            <w:noWrap/>
            <w:vAlign w:val="bottom"/>
            <w:hideMark/>
          </w:tcPr>
          <w:p w14:paraId="2759292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080" w:type="dxa"/>
            <w:shd w:val="clear" w:color="auto" w:fill="auto"/>
            <w:noWrap/>
            <w:vAlign w:val="bottom"/>
            <w:hideMark/>
          </w:tcPr>
          <w:p w14:paraId="228CE649"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Business/sectoral</w:t>
            </w:r>
          </w:p>
        </w:tc>
        <w:tc>
          <w:tcPr>
            <w:tcW w:w="1530" w:type="dxa"/>
            <w:shd w:val="clear" w:color="auto" w:fill="auto"/>
            <w:noWrap/>
            <w:vAlign w:val="bottom"/>
            <w:hideMark/>
          </w:tcPr>
          <w:p w14:paraId="126B3093"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353337C4"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Both</w:t>
            </w:r>
          </w:p>
        </w:tc>
        <w:tc>
          <w:tcPr>
            <w:tcW w:w="990" w:type="dxa"/>
            <w:shd w:val="clear" w:color="auto" w:fill="auto"/>
            <w:noWrap/>
            <w:vAlign w:val="bottom"/>
            <w:hideMark/>
          </w:tcPr>
          <w:p w14:paraId="08EF352B"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Otherwise restricted</w:t>
            </w:r>
          </w:p>
        </w:tc>
        <w:tc>
          <w:tcPr>
            <w:tcW w:w="1440" w:type="dxa"/>
            <w:shd w:val="clear" w:color="auto" w:fill="auto"/>
            <w:noWrap/>
            <w:vAlign w:val="bottom"/>
            <w:hideMark/>
          </w:tcPr>
          <w:p w14:paraId="5BD779B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7465BCDE"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Undisclosed</w:t>
            </w:r>
          </w:p>
        </w:tc>
      </w:tr>
      <w:tr w:rsidR="00C82BC4" w:rsidRPr="00E8754D" w14:paraId="162F9205" w14:textId="77777777" w:rsidTr="00276542">
        <w:trPr>
          <w:trHeight w:val="450"/>
        </w:trPr>
        <w:tc>
          <w:tcPr>
            <w:tcW w:w="1350" w:type="dxa"/>
            <w:shd w:val="clear" w:color="auto" w:fill="auto"/>
            <w:vAlign w:val="bottom"/>
            <w:hideMark/>
          </w:tcPr>
          <w:p w14:paraId="1BDAD74A"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Financial Times Company Content Hub</w:t>
            </w:r>
          </w:p>
        </w:tc>
        <w:tc>
          <w:tcPr>
            <w:tcW w:w="2070" w:type="dxa"/>
            <w:shd w:val="clear" w:color="auto" w:fill="auto"/>
            <w:vAlign w:val="bottom"/>
            <w:hideMark/>
          </w:tcPr>
          <w:p w14:paraId="358202BB"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24" w:history="1">
              <w:r w:rsidR="00C82BC4" w:rsidRPr="00E8754D">
                <w:rPr>
                  <w:rFonts w:ascii="Calibri" w:eastAsia="Times New Roman" w:hAnsi="Calibri"/>
                  <w:color w:val="0000FF"/>
                  <w:sz w:val="16"/>
                  <w:szCs w:val="16"/>
                  <w:u w:val="single"/>
                </w:rPr>
                <w:t xml:space="preserve">http://markets.ft.com/research/Markets/Company-Content </w:t>
              </w:r>
            </w:hyperlink>
          </w:p>
        </w:tc>
        <w:tc>
          <w:tcPr>
            <w:tcW w:w="900" w:type="dxa"/>
            <w:shd w:val="clear" w:color="auto" w:fill="auto"/>
            <w:noWrap/>
            <w:vAlign w:val="bottom"/>
            <w:hideMark/>
          </w:tcPr>
          <w:p w14:paraId="57AF9966"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United Kingdom (Nikkei)</w:t>
            </w:r>
          </w:p>
        </w:tc>
        <w:tc>
          <w:tcPr>
            <w:tcW w:w="990" w:type="dxa"/>
            <w:shd w:val="clear" w:color="auto" w:fill="auto"/>
            <w:noWrap/>
            <w:vAlign w:val="bottom"/>
            <w:hideMark/>
          </w:tcPr>
          <w:p w14:paraId="069CB341"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Global</w:t>
            </w:r>
          </w:p>
        </w:tc>
        <w:tc>
          <w:tcPr>
            <w:tcW w:w="720" w:type="dxa"/>
            <w:shd w:val="clear" w:color="auto" w:fill="auto"/>
            <w:noWrap/>
            <w:vAlign w:val="bottom"/>
            <w:hideMark/>
          </w:tcPr>
          <w:p w14:paraId="449565E2"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350" w:type="dxa"/>
            <w:shd w:val="clear" w:color="auto" w:fill="auto"/>
            <w:noWrap/>
            <w:vAlign w:val="bottom"/>
            <w:hideMark/>
          </w:tcPr>
          <w:p w14:paraId="32725B74"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080" w:type="dxa"/>
            <w:shd w:val="clear" w:color="auto" w:fill="auto"/>
            <w:noWrap/>
            <w:vAlign w:val="bottom"/>
            <w:hideMark/>
          </w:tcPr>
          <w:p w14:paraId="682B4E8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Business/sectoral</w:t>
            </w:r>
          </w:p>
        </w:tc>
        <w:tc>
          <w:tcPr>
            <w:tcW w:w="1530" w:type="dxa"/>
            <w:shd w:val="clear" w:color="auto" w:fill="auto"/>
            <w:noWrap/>
            <w:vAlign w:val="bottom"/>
            <w:hideMark/>
          </w:tcPr>
          <w:p w14:paraId="606F6AC7"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2D602BD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Both</w:t>
            </w:r>
          </w:p>
        </w:tc>
        <w:tc>
          <w:tcPr>
            <w:tcW w:w="990" w:type="dxa"/>
            <w:shd w:val="clear" w:color="auto" w:fill="auto"/>
            <w:noWrap/>
            <w:vAlign w:val="bottom"/>
            <w:hideMark/>
          </w:tcPr>
          <w:p w14:paraId="5D7D8408"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Free</w:t>
            </w:r>
          </w:p>
        </w:tc>
        <w:tc>
          <w:tcPr>
            <w:tcW w:w="1440" w:type="dxa"/>
            <w:shd w:val="clear" w:color="auto" w:fill="auto"/>
            <w:noWrap/>
            <w:vAlign w:val="bottom"/>
            <w:hideMark/>
          </w:tcPr>
          <w:p w14:paraId="333F0CF6"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14E0FBFB"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Undisclosed</w:t>
            </w:r>
          </w:p>
        </w:tc>
      </w:tr>
      <w:tr w:rsidR="00C82BC4" w:rsidRPr="00E8754D" w14:paraId="281C1D11" w14:textId="77777777" w:rsidTr="00276542">
        <w:trPr>
          <w:trHeight w:val="225"/>
        </w:trPr>
        <w:tc>
          <w:tcPr>
            <w:tcW w:w="1350" w:type="dxa"/>
            <w:shd w:val="clear" w:color="auto" w:fill="auto"/>
            <w:vAlign w:val="bottom"/>
            <w:hideMark/>
          </w:tcPr>
          <w:p w14:paraId="3A018862"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Northcote</w:t>
            </w:r>
          </w:p>
        </w:tc>
        <w:tc>
          <w:tcPr>
            <w:tcW w:w="2070" w:type="dxa"/>
            <w:shd w:val="clear" w:color="auto" w:fill="auto"/>
            <w:vAlign w:val="bottom"/>
            <w:hideMark/>
          </w:tcPr>
          <w:p w14:paraId="67D9E4C7"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25" w:history="1">
              <w:r w:rsidR="00C82BC4" w:rsidRPr="00E8754D">
                <w:rPr>
                  <w:rFonts w:ascii="Calibri" w:eastAsia="Times New Roman" w:hAnsi="Calibri"/>
                  <w:color w:val="0000FF"/>
                  <w:sz w:val="16"/>
                  <w:szCs w:val="16"/>
                  <w:u w:val="single"/>
                </w:rPr>
                <w:t xml:space="preserve">http://www.northcote.co.uk/ </w:t>
              </w:r>
            </w:hyperlink>
          </w:p>
        </w:tc>
        <w:tc>
          <w:tcPr>
            <w:tcW w:w="900" w:type="dxa"/>
            <w:shd w:val="clear" w:color="auto" w:fill="auto"/>
            <w:noWrap/>
            <w:vAlign w:val="bottom"/>
            <w:hideMark/>
          </w:tcPr>
          <w:p w14:paraId="2D2A839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 xml:space="preserve">United Kingdom </w:t>
            </w:r>
          </w:p>
        </w:tc>
        <w:tc>
          <w:tcPr>
            <w:tcW w:w="990" w:type="dxa"/>
            <w:shd w:val="clear" w:color="auto" w:fill="auto"/>
            <w:noWrap/>
            <w:vAlign w:val="bottom"/>
            <w:hideMark/>
          </w:tcPr>
          <w:p w14:paraId="5306A413"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National</w:t>
            </w:r>
          </w:p>
        </w:tc>
        <w:tc>
          <w:tcPr>
            <w:tcW w:w="720" w:type="dxa"/>
            <w:shd w:val="clear" w:color="auto" w:fill="auto"/>
            <w:noWrap/>
            <w:vAlign w:val="bottom"/>
            <w:hideMark/>
          </w:tcPr>
          <w:p w14:paraId="40D1488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350" w:type="dxa"/>
            <w:shd w:val="clear" w:color="auto" w:fill="auto"/>
            <w:noWrap/>
            <w:vAlign w:val="bottom"/>
            <w:hideMark/>
          </w:tcPr>
          <w:p w14:paraId="37D8B598"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080" w:type="dxa"/>
            <w:shd w:val="clear" w:color="auto" w:fill="auto"/>
            <w:noWrap/>
            <w:vAlign w:val="bottom"/>
            <w:hideMark/>
          </w:tcPr>
          <w:p w14:paraId="0FBB4B6F"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Business/sectoral</w:t>
            </w:r>
          </w:p>
        </w:tc>
        <w:tc>
          <w:tcPr>
            <w:tcW w:w="1530" w:type="dxa"/>
            <w:shd w:val="clear" w:color="auto" w:fill="auto"/>
            <w:noWrap/>
            <w:vAlign w:val="bottom"/>
            <w:hideMark/>
          </w:tcPr>
          <w:p w14:paraId="1F49922E"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6479B2AB"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Both</w:t>
            </w:r>
          </w:p>
        </w:tc>
        <w:tc>
          <w:tcPr>
            <w:tcW w:w="990" w:type="dxa"/>
            <w:shd w:val="clear" w:color="auto" w:fill="auto"/>
            <w:noWrap/>
            <w:vAlign w:val="bottom"/>
            <w:hideMark/>
          </w:tcPr>
          <w:p w14:paraId="2BC840A9"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Otherwise restricted</w:t>
            </w:r>
          </w:p>
        </w:tc>
        <w:tc>
          <w:tcPr>
            <w:tcW w:w="1440" w:type="dxa"/>
            <w:shd w:val="clear" w:color="auto" w:fill="auto"/>
            <w:noWrap/>
            <w:vAlign w:val="bottom"/>
            <w:hideMark/>
          </w:tcPr>
          <w:p w14:paraId="3C655482"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1667D326"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Undisclosed</w:t>
            </w:r>
          </w:p>
        </w:tc>
      </w:tr>
      <w:tr w:rsidR="00C82BC4" w:rsidRPr="00E8754D" w14:paraId="4779157A" w14:textId="77777777" w:rsidTr="00276542">
        <w:trPr>
          <w:trHeight w:val="450"/>
        </w:trPr>
        <w:tc>
          <w:tcPr>
            <w:tcW w:w="1350" w:type="dxa"/>
            <w:shd w:val="clear" w:color="auto" w:fill="auto"/>
            <w:vAlign w:val="bottom"/>
            <w:hideMark/>
          </w:tcPr>
          <w:p w14:paraId="5993DADC"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Annual Reports at Academic Business Libraries</w:t>
            </w:r>
          </w:p>
        </w:tc>
        <w:tc>
          <w:tcPr>
            <w:tcW w:w="2070" w:type="dxa"/>
            <w:shd w:val="clear" w:color="auto" w:fill="auto"/>
            <w:vAlign w:val="bottom"/>
            <w:hideMark/>
          </w:tcPr>
          <w:p w14:paraId="184000EB"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26" w:history="1">
              <w:r w:rsidR="00C82BC4" w:rsidRPr="00E8754D">
                <w:rPr>
                  <w:rFonts w:ascii="Calibri" w:eastAsia="Times New Roman" w:hAnsi="Calibri"/>
                  <w:color w:val="0000FF"/>
                  <w:sz w:val="16"/>
                  <w:szCs w:val="16"/>
                  <w:u w:val="single"/>
                </w:rPr>
                <w:t xml:space="preserve">https://apps.lib.purdue.edu/abldars/index.php </w:t>
              </w:r>
            </w:hyperlink>
          </w:p>
        </w:tc>
        <w:tc>
          <w:tcPr>
            <w:tcW w:w="900" w:type="dxa"/>
            <w:shd w:val="clear" w:color="auto" w:fill="auto"/>
            <w:noWrap/>
            <w:vAlign w:val="bottom"/>
            <w:hideMark/>
          </w:tcPr>
          <w:p w14:paraId="6A6FE66C"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United States</w:t>
            </w:r>
          </w:p>
        </w:tc>
        <w:tc>
          <w:tcPr>
            <w:tcW w:w="990" w:type="dxa"/>
            <w:shd w:val="clear" w:color="auto" w:fill="auto"/>
            <w:noWrap/>
            <w:vAlign w:val="bottom"/>
            <w:hideMark/>
          </w:tcPr>
          <w:p w14:paraId="61E7C022"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National</w:t>
            </w:r>
          </w:p>
        </w:tc>
        <w:tc>
          <w:tcPr>
            <w:tcW w:w="720" w:type="dxa"/>
            <w:shd w:val="clear" w:color="auto" w:fill="auto"/>
            <w:noWrap/>
            <w:vAlign w:val="bottom"/>
            <w:hideMark/>
          </w:tcPr>
          <w:p w14:paraId="12C2BEB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350" w:type="dxa"/>
            <w:shd w:val="clear" w:color="auto" w:fill="auto"/>
            <w:noWrap/>
            <w:vAlign w:val="bottom"/>
            <w:hideMark/>
          </w:tcPr>
          <w:p w14:paraId="541ADDE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080" w:type="dxa"/>
            <w:shd w:val="clear" w:color="auto" w:fill="auto"/>
            <w:noWrap/>
            <w:vAlign w:val="bottom"/>
            <w:hideMark/>
          </w:tcPr>
          <w:p w14:paraId="25BEB617"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Government</w:t>
            </w:r>
          </w:p>
        </w:tc>
        <w:tc>
          <w:tcPr>
            <w:tcW w:w="1530" w:type="dxa"/>
            <w:shd w:val="clear" w:color="auto" w:fill="auto"/>
            <w:noWrap/>
            <w:vAlign w:val="bottom"/>
            <w:hideMark/>
          </w:tcPr>
          <w:p w14:paraId="205C506C"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1085FE54"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Separate reports</w:t>
            </w:r>
          </w:p>
        </w:tc>
        <w:tc>
          <w:tcPr>
            <w:tcW w:w="990" w:type="dxa"/>
            <w:shd w:val="clear" w:color="auto" w:fill="auto"/>
            <w:noWrap/>
            <w:vAlign w:val="bottom"/>
            <w:hideMark/>
          </w:tcPr>
          <w:p w14:paraId="7F7A8DBD"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Otherwise restricted</w:t>
            </w:r>
          </w:p>
        </w:tc>
        <w:tc>
          <w:tcPr>
            <w:tcW w:w="1440" w:type="dxa"/>
            <w:shd w:val="clear" w:color="auto" w:fill="auto"/>
            <w:noWrap/>
            <w:vAlign w:val="bottom"/>
            <w:hideMark/>
          </w:tcPr>
          <w:p w14:paraId="1B9C98D4"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619FB89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Unknown</w:t>
            </w:r>
          </w:p>
        </w:tc>
      </w:tr>
      <w:tr w:rsidR="00C82BC4" w:rsidRPr="00E8754D" w14:paraId="186EC7DD" w14:textId="77777777" w:rsidTr="00276542">
        <w:trPr>
          <w:trHeight w:val="675"/>
        </w:trPr>
        <w:tc>
          <w:tcPr>
            <w:tcW w:w="1350" w:type="dxa"/>
            <w:shd w:val="clear" w:color="auto" w:fill="auto"/>
            <w:vAlign w:val="bottom"/>
            <w:hideMark/>
          </w:tcPr>
          <w:p w14:paraId="0B39D200"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The Public Register</w:t>
            </w:r>
          </w:p>
        </w:tc>
        <w:tc>
          <w:tcPr>
            <w:tcW w:w="2070" w:type="dxa"/>
            <w:shd w:val="clear" w:color="auto" w:fill="auto"/>
            <w:vAlign w:val="bottom"/>
            <w:hideMark/>
          </w:tcPr>
          <w:p w14:paraId="4439F3F6"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27" w:history="1">
              <w:r w:rsidR="00C82BC4" w:rsidRPr="00E8754D">
                <w:rPr>
                  <w:rFonts w:ascii="Calibri" w:eastAsia="Times New Roman" w:hAnsi="Calibri"/>
                  <w:color w:val="0000FF"/>
                  <w:sz w:val="16"/>
                  <w:szCs w:val="16"/>
                  <w:u w:val="single"/>
                </w:rPr>
                <w:t xml:space="preserve">http://www.prars.com/search/alpha/A </w:t>
              </w:r>
            </w:hyperlink>
          </w:p>
        </w:tc>
        <w:tc>
          <w:tcPr>
            <w:tcW w:w="900" w:type="dxa"/>
            <w:shd w:val="clear" w:color="auto" w:fill="auto"/>
            <w:noWrap/>
            <w:vAlign w:val="bottom"/>
            <w:hideMark/>
          </w:tcPr>
          <w:p w14:paraId="7E50F36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United States</w:t>
            </w:r>
          </w:p>
        </w:tc>
        <w:tc>
          <w:tcPr>
            <w:tcW w:w="990" w:type="dxa"/>
            <w:shd w:val="clear" w:color="auto" w:fill="auto"/>
            <w:noWrap/>
            <w:vAlign w:val="bottom"/>
            <w:hideMark/>
          </w:tcPr>
          <w:p w14:paraId="02971B8E"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North America</w:t>
            </w:r>
          </w:p>
        </w:tc>
        <w:tc>
          <w:tcPr>
            <w:tcW w:w="720" w:type="dxa"/>
            <w:shd w:val="clear" w:color="auto" w:fill="auto"/>
            <w:noWrap/>
            <w:vAlign w:val="bottom"/>
            <w:hideMark/>
          </w:tcPr>
          <w:p w14:paraId="7A08B561"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350" w:type="dxa"/>
            <w:shd w:val="clear" w:color="auto" w:fill="auto"/>
            <w:noWrap/>
            <w:vAlign w:val="bottom"/>
            <w:hideMark/>
          </w:tcPr>
          <w:p w14:paraId="3B233D2E"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080" w:type="dxa"/>
            <w:shd w:val="clear" w:color="auto" w:fill="auto"/>
            <w:noWrap/>
            <w:vAlign w:val="bottom"/>
            <w:hideMark/>
          </w:tcPr>
          <w:p w14:paraId="51EEF0B1"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Business/sectoral</w:t>
            </w:r>
          </w:p>
        </w:tc>
        <w:tc>
          <w:tcPr>
            <w:tcW w:w="1530" w:type="dxa"/>
            <w:shd w:val="clear" w:color="auto" w:fill="auto"/>
            <w:noWrap/>
            <w:vAlign w:val="bottom"/>
            <w:hideMark/>
          </w:tcPr>
          <w:p w14:paraId="56948E1E"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1C1CEA3F"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Both</w:t>
            </w:r>
          </w:p>
        </w:tc>
        <w:tc>
          <w:tcPr>
            <w:tcW w:w="990" w:type="dxa"/>
            <w:shd w:val="clear" w:color="auto" w:fill="auto"/>
            <w:noWrap/>
            <w:vAlign w:val="bottom"/>
            <w:hideMark/>
          </w:tcPr>
          <w:p w14:paraId="1C532218"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Otherwise restricted</w:t>
            </w:r>
          </w:p>
        </w:tc>
        <w:tc>
          <w:tcPr>
            <w:tcW w:w="1440" w:type="dxa"/>
            <w:shd w:val="clear" w:color="auto" w:fill="auto"/>
            <w:noWrap/>
            <w:vAlign w:val="bottom"/>
            <w:hideMark/>
          </w:tcPr>
          <w:p w14:paraId="3C4FB6D4"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5925C12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&gt;400</w:t>
            </w:r>
          </w:p>
        </w:tc>
      </w:tr>
      <w:tr w:rsidR="00C82BC4" w:rsidRPr="00E8754D" w14:paraId="2F595A06" w14:textId="77777777" w:rsidTr="00276542">
        <w:trPr>
          <w:trHeight w:val="450"/>
        </w:trPr>
        <w:tc>
          <w:tcPr>
            <w:tcW w:w="1350" w:type="dxa"/>
            <w:shd w:val="clear" w:color="auto" w:fill="auto"/>
            <w:vAlign w:val="bottom"/>
            <w:hideMark/>
          </w:tcPr>
          <w:p w14:paraId="6CF61797"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GRI Sustainability Disclosure Database</w:t>
            </w:r>
          </w:p>
        </w:tc>
        <w:tc>
          <w:tcPr>
            <w:tcW w:w="2070" w:type="dxa"/>
            <w:shd w:val="clear" w:color="auto" w:fill="auto"/>
            <w:vAlign w:val="bottom"/>
            <w:hideMark/>
          </w:tcPr>
          <w:p w14:paraId="37F3DF70"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28" w:history="1">
              <w:r w:rsidR="00C82BC4" w:rsidRPr="00E8754D">
                <w:rPr>
                  <w:rFonts w:ascii="Calibri" w:eastAsia="Times New Roman" w:hAnsi="Calibri"/>
                  <w:color w:val="0000FF"/>
                  <w:sz w:val="16"/>
                  <w:szCs w:val="16"/>
                  <w:u w:val="single"/>
                </w:rPr>
                <w:t xml:space="preserve">http://database.globalreporting.org/ </w:t>
              </w:r>
            </w:hyperlink>
          </w:p>
        </w:tc>
        <w:tc>
          <w:tcPr>
            <w:tcW w:w="900" w:type="dxa"/>
            <w:shd w:val="clear" w:color="auto" w:fill="auto"/>
            <w:noWrap/>
            <w:vAlign w:val="bottom"/>
            <w:hideMark/>
          </w:tcPr>
          <w:p w14:paraId="21CF8E9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Global</w:t>
            </w:r>
          </w:p>
        </w:tc>
        <w:tc>
          <w:tcPr>
            <w:tcW w:w="990" w:type="dxa"/>
            <w:shd w:val="clear" w:color="auto" w:fill="auto"/>
            <w:noWrap/>
            <w:vAlign w:val="bottom"/>
            <w:hideMark/>
          </w:tcPr>
          <w:p w14:paraId="329E654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Global</w:t>
            </w:r>
          </w:p>
        </w:tc>
        <w:tc>
          <w:tcPr>
            <w:tcW w:w="720" w:type="dxa"/>
            <w:shd w:val="clear" w:color="auto" w:fill="auto"/>
            <w:noWrap/>
            <w:vAlign w:val="bottom"/>
            <w:hideMark/>
          </w:tcPr>
          <w:p w14:paraId="01A09C5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350" w:type="dxa"/>
            <w:shd w:val="clear" w:color="auto" w:fill="auto"/>
            <w:noWrap/>
            <w:vAlign w:val="bottom"/>
            <w:hideMark/>
          </w:tcPr>
          <w:p w14:paraId="099A1132"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various</w:t>
            </w:r>
          </w:p>
        </w:tc>
        <w:tc>
          <w:tcPr>
            <w:tcW w:w="1080" w:type="dxa"/>
            <w:shd w:val="clear" w:color="auto" w:fill="auto"/>
            <w:noWrap/>
            <w:vAlign w:val="bottom"/>
            <w:hideMark/>
          </w:tcPr>
          <w:p w14:paraId="7692540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Other</w:t>
            </w:r>
          </w:p>
        </w:tc>
        <w:tc>
          <w:tcPr>
            <w:tcW w:w="1530" w:type="dxa"/>
            <w:shd w:val="clear" w:color="auto" w:fill="auto"/>
            <w:noWrap/>
            <w:vAlign w:val="bottom"/>
            <w:hideMark/>
          </w:tcPr>
          <w:p w14:paraId="66AD691D"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25A66F5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Separate reports</w:t>
            </w:r>
          </w:p>
        </w:tc>
        <w:tc>
          <w:tcPr>
            <w:tcW w:w="990" w:type="dxa"/>
            <w:shd w:val="clear" w:color="auto" w:fill="auto"/>
            <w:noWrap/>
            <w:vAlign w:val="bottom"/>
            <w:hideMark/>
          </w:tcPr>
          <w:p w14:paraId="7D0AA629"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Free</w:t>
            </w:r>
          </w:p>
        </w:tc>
        <w:tc>
          <w:tcPr>
            <w:tcW w:w="1440" w:type="dxa"/>
            <w:shd w:val="clear" w:color="auto" w:fill="auto"/>
            <w:noWrap/>
            <w:vAlign w:val="bottom"/>
            <w:hideMark/>
          </w:tcPr>
          <w:p w14:paraId="1C956443"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2A34317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&gt;38,000</w:t>
            </w:r>
          </w:p>
        </w:tc>
      </w:tr>
      <w:tr w:rsidR="00C82BC4" w:rsidRPr="00E8754D" w14:paraId="78FE98D7" w14:textId="77777777" w:rsidTr="00276542">
        <w:trPr>
          <w:trHeight w:val="450"/>
        </w:trPr>
        <w:tc>
          <w:tcPr>
            <w:tcW w:w="1350" w:type="dxa"/>
            <w:shd w:val="clear" w:color="auto" w:fill="auto"/>
            <w:vAlign w:val="bottom"/>
            <w:hideMark/>
          </w:tcPr>
          <w:p w14:paraId="11DF64D6"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lastRenderedPageBreak/>
              <w:t>NSE Infobase Corporate Social Responsibility Database</w:t>
            </w:r>
          </w:p>
        </w:tc>
        <w:tc>
          <w:tcPr>
            <w:tcW w:w="2070" w:type="dxa"/>
            <w:shd w:val="clear" w:color="auto" w:fill="auto"/>
            <w:vAlign w:val="bottom"/>
            <w:hideMark/>
          </w:tcPr>
          <w:p w14:paraId="422C1240"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29" w:history="1">
              <w:r w:rsidR="00C82BC4" w:rsidRPr="00E8754D">
                <w:rPr>
                  <w:rFonts w:ascii="Calibri" w:eastAsia="Times New Roman" w:hAnsi="Calibri"/>
                  <w:color w:val="0000FF"/>
                  <w:sz w:val="16"/>
                  <w:szCs w:val="16"/>
                  <w:u w:val="single"/>
                </w:rPr>
                <w:t xml:space="preserve">http://www.nseinfobase.com/single-product15.aspx </w:t>
              </w:r>
            </w:hyperlink>
          </w:p>
        </w:tc>
        <w:tc>
          <w:tcPr>
            <w:tcW w:w="900" w:type="dxa"/>
            <w:shd w:val="clear" w:color="auto" w:fill="auto"/>
            <w:noWrap/>
            <w:vAlign w:val="bottom"/>
            <w:hideMark/>
          </w:tcPr>
          <w:p w14:paraId="2FC4F70B"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India</w:t>
            </w:r>
          </w:p>
        </w:tc>
        <w:tc>
          <w:tcPr>
            <w:tcW w:w="990" w:type="dxa"/>
            <w:shd w:val="clear" w:color="auto" w:fill="auto"/>
            <w:noWrap/>
            <w:vAlign w:val="bottom"/>
            <w:hideMark/>
          </w:tcPr>
          <w:p w14:paraId="32463A03"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India</w:t>
            </w:r>
          </w:p>
        </w:tc>
        <w:tc>
          <w:tcPr>
            <w:tcW w:w="720" w:type="dxa"/>
            <w:shd w:val="clear" w:color="auto" w:fill="auto"/>
            <w:noWrap/>
            <w:vAlign w:val="bottom"/>
            <w:hideMark/>
          </w:tcPr>
          <w:p w14:paraId="4B2C56D6"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350" w:type="dxa"/>
            <w:shd w:val="clear" w:color="auto" w:fill="auto"/>
            <w:noWrap/>
            <w:vAlign w:val="bottom"/>
            <w:hideMark/>
          </w:tcPr>
          <w:p w14:paraId="7F0C3019"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080" w:type="dxa"/>
            <w:shd w:val="clear" w:color="auto" w:fill="auto"/>
            <w:noWrap/>
            <w:vAlign w:val="bottom"/>
            <w:hideMark/>
          </w:tcPr>
          <w:p w14:paraId="119E1F8D"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Business/sectoral</w:t>
            </w:r>
          </w:p>
        </w:tc>
        <w:tc>
          <w:tcPr>
            <w:tcW w:w="1530" w:type="dxa"/>
            <w:shd w:val="clear" w:color="auto" w:fill="auto"/>
            <w:noWrap/>
            <w:vAlign w:val="bottom"/>
            <w:hideMark/>
          </w:tcPr>
          <w:p w14:paraId="7A2D306C"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32A79506"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Separate reports</w:t>
            </w:r>
          </w:p>
        </w:tc>
        <w:tc>
          <w:tcPr>
            <w:tcW w:w="990" w:type="dxa"/>
            <w:shd w:val="clear" w:color="auto" w:fill="auto"/>
            <w:noWrap/>
            <w:vAlign w:val="bottom"/>
            <w:hideMark/>
          </w:tcPr>
          <w:p w14:paraId="620CCF5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Paid</w:t>
            </w:r>
          </w:p>
        </w:tc>
        <w:tc>
          <w:tcPr>
            <w:tcW w:w="1440" w:type="dxa"/>
            <w:shd w:val="clear" w:color="auto" w:fill="auto"/>
            <w:noWrap/>
            <w:vAlign w:val="bottom"/>
            <w:hideMark/>
          </w:tcPr>
          <w:p w14:paraId="207AED03" w14:textId="77777777" w:rsidR="00C82BC4" w:rsidRPr="00E8754D" w:rsidRDefault="00C82BC4" w:rsidP="00276542">
            <w:pPr>
              <w:spacing w:after="0" w:line="240" w:lineRule="auto"/>
              <w:rPr>
                <w:rFonts w:ascii="Times New Roman" w:eastAsia="Times New Roman" w:hAnsi="Times New Roman"/>
                <w:sz w:val="20"/>
                <w:szCs w:val="20"/>
              </w:rPr>
            </w:pPr>
          </w:p>
        </w:tc>
        <w:tc>
          <w:tcPr>
            <w:tcW w:w="1350" w:type="dxa"/>
            <w:shd w:val="clear" w:color="auto" w:fill="auto"/>
            <w:vAlign w:val="bottom"/>
            <w:hideMark/>
          </w:tcPr>
          <w:p w14:paraId="26E34C9B" w14:textId="77777777" w:rsidR="00C82BC4" w:rsidRPr="00E8754D" w:rsidRDefault="00C82BC4" w:rsidP="00276542">
            <w:pPr>
              <w:spacing w:after="0" w:line="240" w:lineRule="auto"/>
              <w:rPr>
                <w:rFonts w:ascii="Times New Roman" w:eastAsia="Times New Roman" w:hAnsi="Times New Roman"/>
                <w:sz w:val="20"/>
                <w:szCs w:val="20"/>
              </w:rPr>
            </w:pPr>
          </w:p>
        </w:tc>
      </w:tr>
      <w:tr w:rsidR="00C82BC4" w:rsidRPr="00E8754D" w14:paraId="7AB29E75" w14:textId="77777777" w:rsidTr="00276542">
        <w:trPr>
          <w:trHeight w:val="450"/>
        </w:trPr>
        <w:tc>
          <w:tcPr>
            <w:tcW w:w="1350" w:type="dxa"/>
            <w:shd w:val="clear" w:color="auto" w:fill="auto"/>
            <w:vAlign w:val="bottom"/>
            <w:hideMark/>
          </w:tcPr>
          <w:p w14:paraId="5A3A7BB2"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NSE Infobase Annual Reports Database</w:t>
            </w:r>
          </w:p>
        </w:tc>
        <w:tc>
          <w:tcPr>
            <w:tcW w:w="2070" w:type="dxa"/>
            <w:shd w:val="clear" w:color="auto" w:fill="auto"/>
            <w:vAlign w:val="bottom"/>
            <w:hideMark/>
          </w:tcPr>
          <w:p w14:paraId="10A844CB"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30" w:history="1">
              <w:r w:rsidR="00C82BC4" w:rsidRPr="00E8754D">
                <w:rPr>
                  <w:rFonts w:ascii="Calibri" w:eastAsia="Times New Roman" w:hAnsi="Calibri"/>
                  <w:color w:val="0000FF"/>
                  <w:sz w:val="16"/>
                  <w:szCs w:val="16"/>
                  <w:u w:val="single"/>
                </w:rPr>
                <w:t xml:space="preserve">http://www.nseinfobase.com/single-product6.aspx </w:t>
              </w:r>
            </w:hyperlink>
          </w:p>
        </w:tc>
        <w:tc>
          <w:tcPr>
            <w:tcW w:w="900" w:type="dxa"/>
            <w:shd w:val="clear" w:color="auto" w:fill="auto"/>
            <w:noWrap/>
            <w:vAlign w:val="bottom"/>
            <w:hideMark/>
          </w:tcPr>
          <w:p w14:paraId="2263CD28"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India</w:t>
            </w:r>
          </w:p>
        </w:tc>
        <w:tc>
          <w:tcPr>
            <w:tcW w:w="990" w:type="dxa"/>
            <w:shd w:val="clear" w:color="auto" w:fill="auto"/>
            <w:noWrap/>
            <w:vAlign w:val="bottom"/>
            <w:hideMark/>
          </w:tcPr>
          <w:p w14:paraId="69C22DD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India</w:t>
            </w:r>
          </w:p>
        </w:tc>
        <w:tc>
          <w:tcPr>
            <w:tcW w:w="720" w:type="dxa"/>
            <w:shd w:val="clear" w:color="auto" w:fill="auto"/>
            <w:noWrap/>
            <w:vAlign w:val="bottom"/>
            <w:hideMark/>
          </w:tcPr>
          <w:p w14:paraId="5965F87C"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350" w:type="dxa"/>
            <w:shd w:val="clear" w:color="auto" w:fill="auto"/>
            <w:noWrap/>
            <w:vAlign w:val="bottom"/>
            <w:hideMark/>
          </w:tcPr>
          <w:p w14:paraId="37FA834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080" w:type="dxa"/>
            <w:shd w:val="clear" w:color="auto" w:fill="auto"/>
            <w:noWrap/>
            <w:vAlign w:val="bottom"/>
            <w:hideMark/>
          </w:tcPr>
          <w:p w14:paraId="208B8A59"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Business/sectoral</w:t>
            </w:r>
          </w:p>
        </w:tc>
        <w:tc>
          <w:tcPr>
            <w:tcW w:w="1530" w:type="dxa"/>
            <w:shd w:val="clear" w:color="auto" w:fill="auto"/>
            <w:noWrap/>
            <w:vAlign w:val="bottom"/>
            <w:hideMark/>
          </w:tcPr>
          <w:p w14:paraId="2447315B"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5A3D2C4D"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Separate reports</w:t>
            </w:r>
          </w:p>
        </w:tc>
        <w:tc>
          <w:tcPr>
            <w:tcW w:w="990" w:type="dxa"/>
            <w:shd w:val="clear" w:color="auto" w:fill="auto"/>
            <w:noWrap/>
            <w:vAlign w:val="bottom"/>
            <w:hideMark/>
          </w:tcPr>
          <w:p w14:paraId="77D9614F" w14:textId="77777777" w:rsidR="00C82BC4" w:rsidRPr="00E8754D" w:rsidRDefault="00C82BC4" w:rsidP="00276542">
            <w:pPr>
              <w:spacing w:after="0" w:line="240" w:lineRule="auto"/>
              <w:rPr>
                <w:rFonts w:ascii="Calibri" w:eastAsia="Times New Roman" w:hAnsi="Calibri"/>
                <w:color w:val="000000"/>
                <w:sz w:val="16"/>
                <w:szCs w:val="16"/>
              </w:rPr>
            </w:pPr>
          </w:p>
        </w:tc>
        <w:tc>
          <w:tcPr>
            <w:tcW w:w="1440" w:type="dxa"/>
            <w:shd w:val="clear" w:color="auto" w:fill="auto"/>
            <w:noWrap/>
            <w:vAlign w:val="bottom"/>
            <w:hideMark/>
          </w:tcPr>
          <w:p w14:paraId="6976FDA5" w14:textId="77777777" w:rsidR="00C82BC4" w:rsidRPr="00E8754D" w:rsidRDefault="00C82BC4" w:rsidP="00276542">
            <w:pPr>
              <w:spacing w:after="0" w:line="240" w:lineRule="auto"/>
              <w:rPr>
                <w:rFonts w:ascii="Times New Roman" w:eastAsia="Times New Roman" w:hAnsi="Times New Roman"/>
                <w:sz w:val="20"/>
                <w:szCs w:val="20"/>
              </w:rPr>
            </w:pPr>
          </w:p>
        </w:tc>
        <w:tc>
          <w:tcPr>
            <w:tcW w:w="1350" w:type="dxa"/>
            <w:shd w:val="clear" w:color="auto" w:fill="auto"/>
            <w:vAlign w:val="bottom"/>
            <w:hideMark/>
          </w:tcPr>
          <w:p w14:paraId="14ED9D27" w14:textId="77777777" w:rsidR="00C82BC4" w:rsidRPr="00E8754D" w:rsidRDefault="00C82BC4" w:rsidP="00276542">
            <w:pPr>
              <w:spacing w:after="0" w:line="240" w:lineRule="auto"/>
              <w:rPr>
                <w:rFonts w:ascii="Times New Roman" w:eastAsia="Times New Roman" w:hAnsi="Times New Roman"/>
                <w:sz w:val="20"/>
                <w:szCs w:val="20"/>
              </w:rPr>
            </w:pPr>
          </w:p>
        </w:tc>
      </w:tr>
      <w:tr w:rsidR="00C82BC4" w:rsidRPr="00E8754D" w14:paraId="1D70F665" w14:textId="77777777" w:rsidTr="00276542">
        <w:trPr>
          <w:trHeight w:val="450"/>
        </w:trPr>
        <w:tc>
          <w:tcPr>
            <w:tcW w:w="1350" w:type="dxa"/>
            <w:shd w:val="clear" w:color="auto" w:fill="auto"/>
            <w:vAlign w:val="bottom"/>
            <w:hideMark/>
          </w:tcPr>
          <w:p w14:paraId="3175DEAC"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Online Reports Database</w:t>
            </w:r>
          </w:p>
        </w:tc>
        <w:tc>
          <w:tcPr>
            <w:tcW w:w="2070" w:type="dxa"/>
            <w:shd w:val="clear" w:color="auto" w:fill="auto"/>
            <w:vAlign w:val="bottom"/>
            <w:hideMark/>
          </w:tcPr>
          <w:p w14:paraId="11EC432E"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31" w:history="1">
              <w:r w:rsidR="00C82BC4" w:rsidRPr="00E8754D">
                <w:rPr>
                  <w:rFonts w:ascii="Calibri" w:eastAsia="Times New Roman" w:hAnsi="Calibri"/>
                  <w:color w:val="0000FF"/>
                  <w:sz w:val="16"/>
                  <w:szCs w:val="16"/>
                  <w:u w:val="single"/>
                </w:rPr>
                <w:t xml:space="preserve">https://www.online-report.com/ </w:t>
              </w:r>
            </w:hyperlink>
          </w:p>
        </w:tc>
        <w:tc>
          <w:tcPr>
            <w:tcW w:w="900" w:type="dxa"/>
            <w:shd w:val="clear" w:color="auto" w:fill="auto"/>
            <w:noWrap/>
            <w:vAlign w:val="bottom"/>
            <w:hideMark/>
          </w:tcPr>
          <w:p w14:paraId="2FD9F542"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Austria/Italy</w:t>
            </w:r>
          </w:p>
        </w:tc>
        <w:tc>
          <w:tcPr>
            <w:tcW w:w="990" w:type="dxa"/>
            <w:shd w:val="clear" w:color="auto" w:fill="auto"/>
            <w:noWrap/>
            <w:vAlign w:val="bottom"/>
            <w:hideMark/>
          </w:tcPr>
          <w:p w14:paraId="57A2ABA2"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Mostly Europe</w:t>
            </w:r>
          </w:p>
        </w:tc>
        <w:tc>
          <w:tcPr>
            <w:tcW w:w="720" w:type="dxa"/>
            <w:shd w:val="clear" w:color="auto" w:fill="auto"/>
            <w:noWrap/>
            <w:vAlign w:val="bottom"/>
            <w:hideMark/>
          </w:tcPr>
          <w:p w14:paraId="169F4AB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350" w:type="dxa"/>
            <w:shd w:val="clear" w:color="auto" w:fill="auto"/>
            <w:noWrap/>
            <w:vAlign w:val="bottom"/>
            <w:hideMark/>
          </w:tcPr>
          <w:p w14:paraId="7801C7F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Mostly EN</w:t>
            </w:r>
          </w:p>
        </w:tc>
        <w:tc>
          <w:tcPr>
            <w:tcW w:w="1080" w:type="dxa"/>
            <w:shd w:val="clear" w:color="auto" w:fill="auto"/>
            <w:noWrap/>
            <w:vAlign w:val="bottom"/>
            <w:hideMark/>
          </w:tcPr>
          <w:p w14:paraId="776109C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Business/sectoral</w:t>
            </w:r>
          </w:p>
        </w:tc>
        <w:tc>
          <w:tcPr>
            <w:tcW w:w="1530" w:type="dxa"/>
            <w:shd w:val="clear" w:color="auto" w:fill="auto"/>
            <w:noWrap/>
            <w:vAlign w:val="bottom"/>
            <w:hideMark/>
          </w:tcPr>
          <w:p w14:paraId="60C0CFDD"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5FF33084"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Both</w:t>
            </w:r>
          </w:p>
        </w:tc>
        <w:tc>
          <w:tcPr>
            <w:tcW w:w="990" w:type="dxa"/>
            <w:shd w:val="clear" w:color="auto" w:fill="auto"/>
            <w:noWrap/>
            <w:vAlign w:val="bottom"/>
            <w:hideMark/>
          </w:tcPr>
          <w:p w14:paraId="0F9932FD"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Free</w:t>
            </w:r>
          </w:p>
        </w:tc>
        <w:tc>
          <w:tcPr>
            <w:tcW w:w="1440" w:type="dxa"/>
            <w:shd w:val="clear" w:color="auto" w:fill="auto"/>
            <w:noWrap/>
            <w:vAlign w:val="bottom"/>
            <w:hideMark/>
          </w:tcPr>
          <w:p w14:paraId="0345D121"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2874A1D3"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 xml:space="preserve">469 annual reports, 104 </w:t>
            </w:r>
            <w:proofErr w:type="spellStart"/>
            <w:r w:rsidRPr="00E8754D">
              <w:rPr>
                <w:rFonts w:ascii="Calibri" w:eastAsia="Times New Roman" w:hAnsi="Calibri"/>
                <w:color w:val="000000"/>
                <w:sz w:val="16"/>
                <w:szCs w:val="16"/>
              </w:rPr>
              <w:t>sust</w:t>
            </w:r>
            <w:proofErr w:type="spellEnd"/>
            <w:r w:rsidRPr="00E8754D">
              <w:rPr>
                <w:rFonts w:ascii="Calibri" w:eastAsia="Times New Roman" w:hAnsi="Calibri"/>
                <w:color w:val="000000"/>
                <w:sz w:val="16"/>
                <w:szCs w:val="16"/>
              </w:rPr>
              <w:t xml:space="preserve"> reports</w:t>
            </w:r>
          </w:p>
        </w:tc>
      </w:tr>
      <w:tr w:rsidR="00C82BC4" w:rsidRPr="00E8754D" w14:paraId="2D67E4B3" w14:textId="77777777" w:rsidTr="00276542">
        <w:trPr>
          <w:trHeight w:val="900"/>
        </w:trPr>
        <w:tc>
          <w:tcPr>
            <w:tcW w:w="1350" w:type="dxa"/>
            <w:shd w:val="clear" w:color="auto" w:fill="auto"/>
            <w:vAlign w:val="bottom"/>
            <w:hideMark/>
          </w:tcPr>
          <w:p w14:paraId="11A949E6"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CSR Hub</w:t>
            </w:r>
          </w:p>
        </w:tc>
        <w:tc>
          <w:tcPr>
            <w:tcW w:w="2070" w:type="dxa"/>
            <w:shd w:val="clear" w:color="auto" w:fill="auto"/>
            <w:vAlign w:val="bottom"/>
            <w:hideMark/>
          </w:tcPr>
          <w:p w14:paraId="2684C1CA"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32" w:history="1">
              <w:r w:rsidR="00C82BC4" w:rsidRPr="00E8754D">
                <w:rPr>
                  <w:rFonts w:ascii="Calibri" w:eastAsia="Times New Roman" w:hAnsi="Calibri"/>
                  <w:color w:val="0000FF"/>
                  <w:sz w:val="16"/>
                  <w:szCs w:val="16"/>
                  <w:u w:val="single"/>
                </w:rPr>
                <w:t xml:space="preserve">https://www.csrhub.com/ </w:t>
              </w:r>
            </w:hyperlink>
          </w:p>
        </w:tc>
        <w:tc>
          <w:tcPr>
            <w:tcW w:w="900" w:type="dxa"/>
            <w:shd w:val="clear" w:color="auto" w:fill="auto"/>
            <w:noWrap/>
            <w:vAlign w:val="bottom"/>
            <w:hideMark/>
          </w:tcPr>
          <w:p w14:paraId="4E0B35ED"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Global</w:t>
            </w:r>
          </w:p>
        </w:tc>
        <w:tc>
          <w:tcPr>
            <w:tcW w:w="990" w:type="dxa"/>
            <w:shd w:val="clear" w:color="auto" w:fill="auto"/>
            <w:noWrap/>
            <w:vAlign w:val="bottom"/>
            <w:hideMark/>
          </w:tcPr>
          <w:p w14:paraId="1F20B33F"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Global</w:t>
            </w:r>
          </w:p>
        </w:tc>
        <w:tc>
          <w:tcPr>
            <w:tcW w:w="720" w:type="dxa"/>
            <w:shd w:val="clear" w:color="auto" w:fill="auto"/>
            <w:noWrap/>
            <w:vAlign w:val="bottom"/>
            <w:hideMark/>
          </w:tcPr>
          <w:p w14:paraId="44892BD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350" w:type="dxa"/>
            <w:shd w:val="clear" w:color="auto" w:fill="auto"/>
            <w:noWrap/>
            <w:vAlign w:val="bottom"/>
            <w:hideMark/>
          </w:tcPr>
          <w:p w14:paraId="5D629FAE"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080" w:type="dxa"/>
            <w:shd w:val="clear" w:color="auto" w:fill="auto"/>
            <w:noWrap/>
            <w:vAlign w:val="bottom"/>
            <w:hideMark/>
          </w:tcPr>
          <w:p w14:paraId="2B94BD3D"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Business/sectoral</w:t>
            </w:r>
          </w:p>
        </w:tc>
        <w:tc>
          <w:tcPr>
            <w:tcW w:w="1530" w:type="dxa"/>
            <w:shd w:val="clear" w:color="auto" w:fill="auto"/>
            <w:noWrap/>
            <w:vAlign w:val="bottom"/>
            <w:hideMark/>
          </w:tcPr>
          <w:p w14:paraId="042C9DA3"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3EA82CD7"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Both</w:t>
            </w:r>
          </w:p>
        </w:tc>
        <w:tc>
          <w:tcPr>
            <w:tcW w:w="990" w:type="dxa"/>
            <w:shd w:val="clear" w:color="auto" w:fill="auto"/>
            <w:noWrap/>
            <w:vAlign w:val="bottom"/>
            <w:hideMark/>
          </w:tcPr>
          <w:p w14:paraId="54CCF78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Paid</w:t>
            </w:r>
          </w:p>
        </w:tc>
        <w:tc>
          <w:tcPr>
            <w:tcW w:w="1440" w:type="dxa"/>
            <w:shd w:val="clear" w:color="auto" w:fill="auto"/>
            <w:noWrap/>
            <w:vAlign w:val="bottom"/>
            <w:hideMark/>
          </w:tcPr>
          <w:p w14:paraId="56415541"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23707C93"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&gt;17000 companies rated</w:t>
            </w:r>
          </w:p>
        </w:tc>
      </w:tr>
      <w:tr w:rsidR="00C82BC4" w:rsidRPr="00E8754D" w14:paraId="7F57CF96" w14:textId="77777777" w:rsidTr="00276542">
        <w:trPr>
          <w:trHeight w:val="450"/>
        </w:trPr>
        <w:tc>
          <w:tcPr>
            <w:tcW w:w="1350" w:type="dxa"/>
            <w:shd w:val="clear" w:color="auto" w:fill="auto"/>
            <w:vAlign w:val="bottom"/>
            <w:hideMark/>
          </w:tcPr>
          <w:p w14:paraId="05BD83F1" w14:textId="77777777" w:rsidR="00C82BC4" w:rsidRPr="00E8754D" w:rsidRDefault="00C82BC4" w:rsidP="00276542">
            <w:pPr>
              <w:spacing w:after="0" w:line="240" w:lineRule="auto"/>
              <w:rPr>
                <w:rFonts w:ascii="Calibri" w:eastAsia="Times New Roman" w:hAnsi="Calibri"/>
                <w:b/>
                <w:color w:val="000000"/>
                <w:sz w:val="16"/>
                <w:szCs w:val="16"/>
              </w:rPr>
            </w:pPr>
            <w:proofErr w:type="spellStart"/>
            <w:r w:rsidRPr="00E8754D">
              <w:rPr>
                <w:rFonts w:ascii="Calibri" w:eastAsia="Times New Roman" w:hAnsi="Calibri"/>
                <w:b/>
                <w:color w:val="000000"/>
                <w:sz w:val="16"/>
                <w:szCs w:val="16"/>
              </w:rPr>
              <w:t>Raporty</w:t>
            </w:r>
            <w:proofErr w:type="spellEnd"/>
            <w:r w:rsidRPr="00E8754D">
              <w:rPr>
                <w:rFonts w:ascii="Calibri" w:eastAsia="Times New Roman" w:hAnsi="Calibri"/>
                <w:b/>
                <w:color w:val="000000"/>
                <w:sz w:val="16"/>
                <w:szCs w:val="16"/>
              </w:rPr>
              <w:t xml:space="preserve"> </w:t>
            </w:r>
            <w:proofErr w:type="spellStart"/>
            <w:r w:rsidRPr="00E8754D">
              <w:rPr>
                <w:rFonts w:ascii="Calibri" w:eastAsia="Times New Roman" w:hAnsi="Calibri"/>
                <w:b/>
                <w:color w:val="000000"/>
                <w:sz w:val="16"/>
                <w:szCs w:val="16"/>
              </w:rPr>
              <w:t>Społecze</w:t>
            </w:r>
            <w:proofErr w:type="spellEnd"/>
          </w:p>
        </w:tc>
        <w:tc>
          <w:tcPr>
            <w:tcW w:w="2070" w:type="dxa"/>
            <w:shd w:val="clear" w:color="auto" w:fill="auto"/>
            <w:vAlign w:val="bottom"/>
            <w:hideMark/>
          </w:tcPr>
          <w:p w14:paraId="527B7104"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33" w:history="1">
              <w:r w:rsidR="00C82BC4" w:rsidRPr="00E8754D">
                <w:rPr>
                  <w:rFonts w:ascii="Calibri" w:eastAsia="Times New Roman" w:hAnsi="Calibri"/>
                  <w:color w:val="0000FF"/>
                  <w:sz w:val="16"/>
                  <w:szCs w:val="16"/>
                  <w:u w:val="single"/>
                </w:rPr>
                <w:t xml:space="preserve">http://raportyspoleczne.pl/biblioteka-raportow/ </w:t>
              </w:r>
            </w:hyperlink>
          </w:p>
        </w:tc>
        <w:tc>
          <w:tcPr>
            <w:tcW w:w="900" w:type="dxa"/>
            <w:shd w:val="clear" w:color="auto" w:fill="auto"/>
            <w:noWrap/>
            <w:vAlign w:val="bottom"/>
            <w:hideMark/>
          </w:tcPr>
          <w:p w14:paraId="64AB96B2"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Poland</w:t>
            </w:r>
          </w:p>
        </w:tc>
        <w:tc>
          <w:tcPr>
            <w:tcW w:w="990" w:type="dxa"/>
            <w:shd w:val="clear" w:color="auto" w:fill="auto"/>
            <w:noWrap/>
            <w:vAlign w:val="bottom"/>
            <w:hideMark/>
          </w:tcPr>
          <w:p w14:paraId="25C1084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National</w:t>
            </w:r>
          </w:p>
        </w:tc>
        <w:tc>
          <w:tcPr>
            <w:tcW w:w="720" w:type="dxa"/>
            <w:shd w:val="clear" w:color="auto" w:fill="auto"/>
            <w:noWrap/>
            <w:vAlign w:val="bottom"/>
            <w:hideMark/>
          </w:tcPr>
          <w:p w14:paraId="79665411"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PL</w:t>
            </w:r>
          </w:p>
        </w:tc>
        <w:tc>
          <w:tcPr>
            <w:tcW w:w="1350" w:type="dxa"/>
            <w:shd w:val="clear" w:color="auto" w:fill="auto"/>
            <w:noWrap/>
            <w:vAlign w:val="bottom"/>
            <w:hideMark/>
          </w:tcPr>
          <w:p w14:paraId="65B401B1"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PL</w:t>
            </w:r>
          </w:p>
        </w:tc>
        <w:tc>
          <w:tcPr>
            <w:tcW w:w="1080" w:type="dxa"/>
            <w:shd w:val="clear" w:color="auto" w:fill="auto"/>
            <w:noWrap/>
            <w:vAlign w:val="bottom"/>
            <w:hideMark/>
          </w:tcPr>
          <w:p w14:paraId="45B1C45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Mixed</w:t>
            </w:r>
          </w:p>
        </w:tc>
        <w:tc>
          <w:tcPr>
            <w:tcW w:w="1530" w:type="dxa"/>
            <w:shd w:val="clear" w:color="auto" w:fill="auto"/>
            <w:noWrap/>
            <w:vAlign w:val="bottom"/>
            <w:hideMark/>
          </w:tcPr>
          <w:p w14:paraId="4FC5D356"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734957A4"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Separate reports</w:t>
            </w:r>
          </w:p>
        </w:tc>
        <w:tc>
          <w:tcPr>
            <w:tcW w:w="990" w:type="dxa"/>
            <w:shd w:val="clear" w:color="auto" w:fill="auto"/>
            <w:noWrap/>
            <w:vAlign w:val="bottom"/>
            <w:hideMark/>
          </w:tcPr>
          <w:p w14:paraId="5FB420C4"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Free</w:t>
            </w:r>
          </w:p>
        </w:tc>
        <w:tc>
          <w:tcPr>
            <w:tcW w:w="1440" w:type="dxa"/>
            <w:shd w:val="clear" w:color="auto" w:fill="auto"/>
            <w:noWrap/>
            <w:vAlign w:val="bottom"/>
            <w:hideMark/>
          </w:tcPr>
          <w:p w14:paraId="1C59F884"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429F965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231 reports</w:t>
            </w:r>
          </w:p>
        </w:tc>
      </w:tr>
      <w:tr w:rsidR="00C82BC4" w:rsidRPr="00E8754D" w14:paraId="4F50997E" w14:textId="77777777" w:rsidTr="00276542">
        <w:trPr>
          <w:trHeight w:val="450"/>
        </w:trPr>
        <w:tc>
          <w:tcPr>
            <w:tcW w:w="1350" w:type="dxa"/>
            <w:shd w:val="clear" w:color="auto" w:fill="auto"/>
            <w:vAlign w:val="bottom"/>
            <w:hideMark/>
          </w:tcPr>
          <w:p w14:paraId="66C3A5FA"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Integrated Reporting Examples Database</w:t>
            </w:r>
          </w:p>
        </w:tc>
        <w:tc>
          <w:tcPr>
            <w:tcW w:w="2070" w:type="dxa"/>
            <w:shd w:val="clear" w:color="auto" w:fill="auto"/>
            <w:vAlign w:val="bottom"/>
            <w:hideMark/>
          </w:tcPr>
          <w:p w14:paraId="7AC344A7"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34" w:history="1">
              <w:r w:rsidR="00C82BC4" w:rsidRPr="00E8754D">
                <w:rPr>
                  <w:rFonts w:ascii="Calibri" w:eastAsia="Times New Roman" w:hAnsi="Calibri"/>
                  <w:color w:val="0000FF"/>
                  <w:sz w:val="16"/>
                  <w:szCs w:val="16"/>
                  <w:u w:val="single"/>
                </w:rPr>
                <w:t xml:space="preserve">http://examples.integratedreporting.org/home </w:t>
              </w:r>
            </w:hyperlink>
          </w:p>
        </w:tc>
        <w:tc>
          <w:tcPr>
            <w:tcW w:w="900" w:type="dxa"/>
            <w:shd w:val="clear" w:color="auto" w:fill="auto"/>
            <w:noWrap/>
            <w:vAlign w:val="bottom"/>
            <w:hideMark/>
          </w:tcPr>
          <w:p w14:paraId="302DBCE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United Kingdom</w:t>
            </w:r>
          </w:p>
        </w:tc>
        <w:tc>
          <w:tcPr>
            <w:tcW w:w="990" w:type="dxa"/>
            <w:shd w:val="clear" w:color="auto" w:fill="auto"/>
            <w:noWrap/>
            <w:vAlign w:val="bottom"/>
            <w:hideMark/>
          </w:tcPr>
          <w:p w14:paraId="65B46B57"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Global</w:t>
            </w:r>
          </w:p>
        </w:tc>
        <w:tc>
          <w:tcPr>
            <w:tcW w:w="720" w:type="dxa"/>
            <w:shd w:val="clear" w:color="auto" w:fill="auto"/>
            <w:noWrap/>
            <w:vAlign w:val="bottom"/>
            <w:hideMark/>
          </w:tcPr>
          <w:p w14:paraId="5586D3C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350" w:type="dxa"/>
            <w:shd w:val="clear" w:color="auto" w:fill="auto"/>
            <w:noWrap/>
            <w:vAlign w:val="bottom"/>
            <w:hideMark/>
          </w:tcPr>
          <w:p w14:paraId="30766337"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080" w:type="dxa"/>
            <w:shd w:val="clear" w:color="auto" w:fill="auto"/>
            <w:noWrap/>
            <w:vAlign w:val="bottom"/>
            <w:hideMark/>
          </w:tcPr>
          <w:p w14:paraId="48C8EF2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Other</w:t>
            </w:r>
          </w:p>
        </w:tc>
        <w:tc>
          <w:tcPr>
            <w:tcW w:w="1530" w:type="dxa"/>
            <w:shd w:val="clear" w:color="auto" w:fill="auto"/>
            <w:noWrap/>
            <w:vAlign w:val="bottom"/>
            <w:hideMark/>
          </w:tcPr>
          <w:p w14:paraId="5F8A76A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5DF74201"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Integrated reports</w:t>
            </w:r>
          </w:p>
        </w:tc>
        <w:tc>
          <w:tcPr>
            <w:tcW w:w="990" w:type="dxa"/>
            <w:shd w:val="clear" w:color="auto" w:fill="auto"/>
            <w:noWrap/>
            <w:vAlign w:val="bottom"/>
            <w:hideMark/>
          </w:tcPr>
          <w:p w14:paraId="71AC0FEE"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Free</w:t>
            </w:r>
          </w:p>
        </w:tc>
        <w:tc>
          <w:tcPr>
            <w:tcW w:w="1440" w:type="dxa"/>
            <w:shd w:val="clear" w:color="auto" w:fill="auto"/>
            <w:noWrap/>
            <w:vAlign w:val="bottom"/>
            <w:hideMark/>
          </w:tcPr>
          <w:p w14:paraId="70EC090E"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2A2457FF"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 xml:space="preserve">Few hundred </w:t>
            </w:r>
          </w:p>
        </w:tc>
      </w:tr>
      <w:tr w:rsidR="00C82BC4" w:rsidRPr="00E8754D" w14:paraId="529264EC" w14:textId="77777777" w:rsidTr="00276542">
        <w:trPr>
          <w:trHeight w:val="450"/>
        </w:trPr>
        <w:tc>
          <w:tcPr>
            <w:tcW w:w="1350" w:type="dxa"/>
            <w:shd w:val="clear" w:color="auto" w:fill="auto"/>
            <w:vAlign w:val="bottom"/>
            <w:hideMark/>
          </w:tcPr>
          <w:p w14:paraId="621D5807"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IRAS Reports database</w:t>
            </w:r>
          </w:p>
        </w:tc>
        <w:tc>
          <w:tcPr>
            <w:tcW w:w="2070" w:type="dxa"/>
            <w:shd w:val="clear" w:color="auto" w:fill="auto"/>
            <w:vAlign w:val="bottom"/>
            <w:hideMark/>
          </w:tcPr>
          <w:p w14:paraId="1AC6FBE8"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35" w:history="1">
              <w:r w:rsidR="00C82BC4" w:rsidRPr="00E8754D">
                <w:rPr>
                  <w:rFonts w:ascii="Calibri" w:eastAsia="Times New Roman" w:hAnsi="Calibri"/>
                  <w:color w:val="0000FF"/>
                  <w:sz w:val="16"/>
                  <w:szCs w:val="16"/>
                  <w:u w:val="single"/>
                </w:rPr>
                <w:t xml:space="preserve">http://www.iras.co.za/frmResources.aspx?SubPageID=15 </w:t>
              </w:r>
            </w:hyperlink>
          </w:p>
        </w:tc>
        <w:tc>
          <w:tcPr>
            <w:tcW w:w="900" w:type="dxa"/>
            <w:shd w:val="clear" w:color="auto" w:fill="auto"/>
            <w:noWrap/>
            <w:vAlign w:val="bottom"/>
            <w:hideMark/>
          </w:tcPr>
          <w:p w14:paraId="5EBAB451"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South Africa</w:t>
            </w:r>
          </w:p>
        </w:tc>
        <w:tc>
          <w:tcPr>
            <w:tcW w:w="990" w:type="dxa"/>
            <w:shd w:val="clear" w:color="auto" w:fill="auto"/>
            <w:noWrap/>
            <w:vAlign w:val="bottom"/>
            <w:hideMark/>
          </w:tcPr>
          <w:p w14:paraId="3BA47ABE"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National</w:t>
            </w:r>
          </w:p>
        </w:tc>
        <w:tc>
          <w:tcPr>
            <w:tcW w:w="720" w:type="dxa"/>
            <w:shd w:val="clear" w:color="auto" w:fill="auto"/>
            <w:noWrap/>
            <w:vAlign w:val="bottom"/>
            <w:hideMark/>
          </w:tcPr>
          <w:p w14:paraId="30059368"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350" w:type="dxa"/>
            <w:shd w:val="clear" w:color="auto" w:fill="auto"/>
            <w:noWrap/>
            <w:vAlign w:val="bottom"/>
            <w:hideMark/>
          </w:tcPr>
          <w:p w14:paraId="60F4C217"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080" w:type="dxa"/>
            <w:shd w:val="clear" w:color="auto" w:fill="auto"/>
            <w:noWrap/>
            <w:vAlign w:val="bottom"/>
            <w:hideMark/>
          </w:tcPr>
          <w:p w14:paraId="28C6C6DF"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Business/sectoral</w:t>
            </w:r>
          </w:p>
        </w:tc>
        <w:tc>
          <w:tcPr>
            <w:tcW w:w="1530" w:type="dxa"/>
            <w:shd w:val="clear" w:color="auto" w:fill="auto"/>
            <w:noWrap/>
            <w:vAlign w:val="bottom"/>
            <w:hideMark/>
          </w:tcPr>
          <w:p w14:paraId="6CC81CAB"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5400CD26"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Both</w:t>
            </w:r>
          </w:p>
        </w:tc>
        <w:tc>
          <w:tcPr>
            <w:tcW w:w="990" w:type="dxa"/>
            <w:shd w:val="clear" w:color="auto" w:fill="auto"/>
            <w:noWrap/>
            <w:vAlign w:val="bottom"/>
            <w:hideMark/>
          </w:tcPr>
          <w:p w14:paraId="3DCAFC8D"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Otherwise restricted</w:t>
            </w:r>
          </w:p>
        </w:tc>
        <w:tc>
          <w:tcPr>
            <w:tcW w:w="1440" w:type="dxa"/>
            <w:shd w:val="clear" w:color="auto" w:fill="auto"/>
            <w:noWrap/>
            <w:vAlign w:val="bottom"/>
            <w:hideMark/>
          </w:tcPr>
          <w:p w14:paraId="2F478D9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670F573B"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 xml:space="preserve">few hundred </w:t>
            </w:r>
          </w:p>
        </w:tc>
      </w:tr>
      <w:tr w:rsidR="00C82BC4" w:rsidRPr="00E8754D" w14:paraId="434CD0AE" w14:textId="77777777" w:rsidTr="00276542">
        <w:trPr>
          <w:trHeight w:val="450"/>
        </w:trPr>
        <w:tc>
          <w:tcPr>
            <w:tcW w:w="1350" w:type="dxa"/>
            <w:shd w:val="clear" w:color="auto" w:fill="auto"/>
            <w:vAlign w:val="bottom"/>
            <w:hideMark/>
          </w:tcPr>
          <w:p w14:paraId="5536A08D"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Materials and Quantitative Indicators Database</w:t>
            </w:r>
          </w:p>
        </w:tc>
        <w:tc>
          <w:tcPr>
            <w:tcW w:w="2070" w:type="dxa"/>
            <w:shd w:val="clear" w:color="auto" w:fill="auto"/>
            <w:vAlign w:val="bottom"/>
            <w:hideMark/>
          </w:tcPr>
          <w:p w14:paraId="2BBA33DD"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36" w:history="1">
              <w:r w:rsidR="00C82BC4" w:rsidRPr="00E8754D">
                <w:rPr>
                  <w:rFonts w:ascii="Calibri" w:eastAsia="Times New Roman" w:hAnsi="Calibri"/>
                  <w:color w:val="0000FF"/>
                  <w:sz w:val="16"/>
                  <w:szCs w:val="16"/>
                  <w:u w:val="single"/>
                </w:rPr>
                <w:t xml:space="preserve">http://www.sustainabilityreport.cn/ </w:t>
              </w:r>
            </w:hyperlink>
          </w:p>
        </w:tc>
        <w:tc>
          <w:tcPr>
            <w:tcW w:w="900" w:type="dxa"/>
            <w:shd w:val="clear" w:color="auto" w:fill="auto"/>
            <w:noWrap/>
            <w:vAlign w:val="bottom"/>
            <w:hideMark/>
          </w:tcPr>
          <w:p w14:paraId="21647BAE"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China</w:t>
            </w:r>
          </w:p>
        </w:tc>
        <w:tc>
          <w:tcPr>
            <w:tcW w:w="990" w:type="dxa"/>
            <w:shd w:val="clear" w:color="auto" w:fill="auto"/>
            <w:noWrap/>
            <w:vAlign w:val="bottom"/>
            <w:hideMark/>
          </w:tcPr>
          <w:p w14:paraId="26E9863F"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National</w:t>
            </w:r>
          </w:p>
        </w:tc>
        <w:tc>
          <w:tcPr>
            <w:tcW w:w="720" w:type="dxa"/>
            <w:shd w:val="clear" w:color="auto" w:fill="auto"/>
            <w:noWrap/>
            <w:vAlign w:val="bottom"/>
            <w:hideMark/>
          </w:tcPr>
          <w:p w14:paraId="67CFF607"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CN</w:t>
            </w:r>
          </w:p>
        </w:tc>
        <w:tc>
          <w:tcPr>
            <w:tcW w:w="1350" w:type="dxa"/>
            <w:shd w:val="clear" w:color="auto" w:fill="auto"/>
            <w:noWrap/>
            <w:vAlign w:val="bottom"/>
            <w:hideMark/>
          </w:tcPr>
          <w:p w14:paraId="301E4DE6"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CN</w:t>
            </w:r>
          </w:p>
        </w:tc>
        <w:tc>
          <w:tcPr>
            <w:tcW w:w="1080" w:type="dxa"/>
            <w:shd w:val="clear" w:color="auto" w:fill="auto"/>
            <w:noWrap/>
            <w:vAlign w:val="bottom"/>
            <w:hideMark/>
          </w:tcPr>
          <w:p w14:paraId="159F44D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Business/sectoral</w:t>
            </w:r>
          </w:p>
        </w:tc>
        <w:tc>
          <w:tcPr>
            <w:tcW w:w="1530" w:type="dxa"/>
            <w:shd w:val="clear" w:color="auto" w:fill="auto"/>
            <w:noWrap/>
            <w:vAlign w:val="bottom"/>
            <w:hideMark/>
          </w:tcPr>
          <w:p w14:paraId="1A211FF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03D2EB4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Separate reports</w:t>
            </w:r>
          </w:p>
        </w:tc>
        <w:tc>
          <w:tcPr>
            <w:tcW w:w="990" w:type="dxa"/>
            <w:shd w:val="clear" w:color="auto" w:fill="auto"/>
            <w:noWrap/>
            <w:vAlign w:val="bottom"/>
            <w:hideMark/>
          </w:tcPr>
          <w:p w14:paraId="4D986891"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Free</w:t>
            </w:r>
          </w:p>
        </w:tc>
        <w:tc>
          <w:tcPr>
            <w:tcW w:w="1440" w:type="dxa"/>
            <w:shd w:val="clear" w:color="auto" w:fill="auto"/>
            <w:noWrap/>
            <w:vAlign w:val="bottom"/>
            <w:hideMark/>
          </w:tcPr>
          <w:p w14:paraId="6AF06CD9"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248CA96F"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3722 companies, 11128 reports</w:t>
            </w:r>
          </w:p>
        </w:tc>
      </w:tr>
      <w:tr w:rsidR="00C82BC4" w:rsidRPr="00E8754D" w14:paraId="5225B256" w14:textId="77777777" w:rsidTr="00276542">
        <w:trPr>
          <w:trHeight w:val="900"/>
        </w:trPr>
        <w:tc>
          <w:tcPr>
            <w:tcW w:w="1350" w:type="dxa"/>
            <w:shd w:val="clear" w:color="auto" w:fill="auto"/>
            <w:vAlign w:val="bottom"/>
            <w:hideMark/>
          </w:tcPr>
          <w:p w14:paraId="74EE7661" w14:textId="77777777" w:rsidR="00C82BC4" w:rsidRPr="00E8754D" w:rsidRDefault="00C82BC4" w:rsidP="00276542">
            <w:pPr>
              <w:spacing w:after="0" w:line="240" w:lineRule="auto"/>
              <w:rPr>
                <w:rFonts w:ascii="Calibri" w:eastAsia="Times New Roman" w:hAnsi="Calibri"/>
                <w:b/>
                <w:sz w:val="16"/>
                <w:szCs w:val="16"/>
              </w:rPr>
            </w:pPr>
            <w:proofErr w:type="spellStart"/>
            <w:r w:rsidRPr="00E8754D">
              <w:rPr>
                <w:rFonts w:ascii="Calibri" w:eastAsia="Times New Roman" w:hAnsi="Calibri"/>
                <w:b/>
                <w:sz w:val="16"/>
                <w:szCs w:val="16"/>
              </w:rPr>
              <w:t>Deutscher</w:t>
            </w:r>
            <w:proofErr w:type="spellEnd"/>
            <w:r w:rsidRPr="00E8754D">
              <w:rPr>
                <w:rFonts w:ascii="Calibri" w:eastAsia="Times New Roman" w:hAnsi="Calibri"/>
                <w:b/>
                <w:sz w:val="16"/>
                <w:szCs w:val="16"/>
              </w:rPr>
              <w:t xml:space="preserve"> </w:t>
            </w:r>
            <w:proofErr w:type="spellStart"/>
            <w:r w:rsidRPr="00E8754D">
              <w:rPr>
                <w:rFonts w:ascii="Calibri" w:eastAsia="Times New Roman" w:hAnsi="Calibri"/>
                <w:b/>
                <w:sz w:val="16"/>
                <w:szCs w:val="16"/>
              </w:rPr>
              <w:t>Nachhaltigkeitskodex</w:t>
            </w:r>
            <w:proofErr w:type="spellEnd"/>
          </w:p>
        </w:tc>
        <w:tc>
          <w:tcPr>
            <w:tcW w:w="2070" w:type="dxa"/>
            <w:shd w:val="clear" w:color="auto" w:fill="auto"/>
            <w:vAlign w:val="bottom"/>
            <w:hideMark/>
          </w:tcPr>
          <w:p w14:paraId="7B4058E7"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37" w:history="1">
              <w:r w:rsidR="00C82BC4" w:rsidRPr="00E8754D">
                <w:rPr>
                  <w:rFonts w:ascii="Calibri" w:eastAsia="Times New Roman" w:hAnsi="Calibri"/>
                  <w:color w:val="0000FF"/>
                  <w:sz w:val="16"/>
                  <w:szCs w:val="16"/>
                  <w:u w:val="single"/>
                </w:rPr>
                <w:t>http://www.deutscher-nachhaltigkeitskodex.de/en/database/database.html</w:t>
              </w:r>
            </w:hyperlink>
          </w:p>
        </w:tc>
        <w:tc>
          <w:tcPr>
            <w:tcW w:w="900" w:type="dxa"/>
            <w:shd w:val="clear" w:color="auto" w:fill="auto"/>
            <w:noWrap/>
            <w:vAlign w:val="bottom"/>
            <w:hideMark/>
          </w:tcPr>
          <w:p w14:paraId="6E9F84E2"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Germany</w:t>
            </w:r>
          </w:p>
        </w:tc>
        <w:tc>
          <w:tcPr>
            <w:tcW w:w="990" w:type="dxa"/>
            <w:shd w:val="clear" w:color="auto" w:fill="auto"/>
            <w:noWrap/>
            <w:vAlign w:val="bottom"/>
            <w:hideMark/>
          </w:tcPr>
          <w:p w14:paraId="78B9D2C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National</w:t>
            </w:r>
          </w:p>
        </w:tc>
        <w:tc>
          <w:tcPr>
            <w:tcW w:w="720" w:type="dxa"/>
            <w:shd w:val="clear" w:color="auto" w:fill="auto"/>
            <w:noWrap/>
            <w:vAlign w:val="bottom"/>
            <w:hideMark/>
          </w:tcPr>
          <w:p w14:paraId="0BD70B4F"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DE, EN</w:t>
            </w:r>
          </w:p>
        </w:tc>
        <w:tc>
          <w:tcPr>
            <w:tcW w:w="1350" w:type="dxa"/>
            <w:shd w:val="clear" w:color="auto" w:fill="auto"/>
            <w:noWrap/>
            <w:vAlign w:val="bottom"/>
            <w:hideMark/>
          </w:tcPr>
          <w:p w14:paraId="53D99D68"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DE, EN</w:t>
            </w:r>
          </w:p>
        </w:tc>
        <w:tc>
          <w:tcPr>
            <w:tcW w:w="1080" w:type="dxa"/>
            <w:shd w:val="clear" w:color="auto" w:fill="auto"/>
            <w:noWrap/>
            <w:vAlign w:val="bottom"/>
            <w:hideMark/>
          </w:tcPr>
          <w:p w14:paraId="5E78721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Government</w:t>
            </w:r>
          </w:p>
        </w:tc>
        <w:tc>
          <w:tcPr>
            <w:tcW w:w="1530" w:type="dxa"/>
            <w:shd w:val="clear" w:color="auto" w:fill="auto"/>
            <w:noWrap/>
            <w:vAlign w:val="bottom"/>
            <w:hideMark/>
          </w:tcPr>
          <w:p w14:paraId="4DBE28AF"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Yes, mixed</w:t>
            </w:r>
          </w:p>
        </w:tc>
        <w:tc>
          <w:tcPr>
            <w:tcW w:w="1530" w:type="dxa"/>
            <w:shd w:val="clear" w:color="auto" w:fill="auto"/>
            <w:noWrap/>
            <w:vAlign w:val="bottom"/>
            <w:hideMark/>
          </w:tcPr>
          <w:p w14:paraId="132BA83B"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Separate reports</w:t>
            </w:r>
          </w:p>
        </w:tc>
        <w:tc>
          <w:tcPr>
            <w:tcW w:w="990" w:type="dxa"/>
            <w:shd w:val="clear" w:color="auto" w:fill="auto"/>
            <w:noWrap/>
            <w:vAlign w:val="bottom"/>
            <w:hideMark/>
          </w:tcPr>
          <w:p w14:paraId="0CE18D12"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Free</w:t>
            </w:r>
          </w:p>
        </w:tc>
        <w:tc>
          <w:tcPr>
            <w:tcW w:w="1440" w:type="dxa"/>
            <w:shd w:val="clear" w:color="auto" w:fill="auto"/>
            <w:noWrap/>
            <w:vAlign w:val="bottom"/>
            <w:hideMark/>
          </w:tcPr>
          <w:p w14:paraId="43ED9067"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0BC9A759"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 xml:space="preserve">few hundred </w:t>
            </w:r>
          </w:p>
        </w:tc>
      </w:tr>
      <w:tr w:rsidR="00C82BC4" w:rsidRPr="00E8754D" w14:paraId="35049D6A" w14:textId="77777777" w:rsidTr="00276542">
        <w:trPr>
          <w:trHeight w:val="225"/>
        </w:trPr>
        <w:tc>
          <w:tcPr>
            <w:tcW w:w="1350" w:type="dxa"/>
            <w:shd w:val="clear" w:color="auto" w:fill="auto"/>
            <w:vAlign w:val="bottom"/>
            <w:hideMark/>
          </w:tcPr>
          <w:p w14:paraId="0B375F24"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Nachhaltigheitsberichte.at</w:t>
            </w:r>
          </w:p>
        </w:tc>
        <w:tc>
          <w:tcPr>
            <w:tcW w:w="2070" w:type="dxa"/>
            <w:shd w:val="clear" w:color="auto" w:fill="auto"/>
            <w:vAlign w:val="bottom"/>
            <w:hideMark/>
          </w:tcPr>
          <w:p w14:paraId="6649B002"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38" w:history="1">
              <w:r w:rsidR="00C82BC4" w:rsidRPr="00E8754D">
                <w:rPr>
                  <w:rFonts w:ascii="Calibri" w:eastAsia="Times New Roman" w:hAnsi="Calibri"/>
                  <w:color w:val="0000FF"/>
                  <w:sz w:val="16"/>
                  <w:szCs w:val="16"/>
                  <w:u w:val="single"/>
                </w:rPr>
                <w:t>http://www.nachhaltigkeitsberichte.at/</w:t>
              </w:r>
            </w:hyperlink>
          </w:p>
        </w:tc>
        <w:tc>
          <w:tcPr>
            <w:tcW w:w="900" w:type="dxa"/>
            <w:shd w:val="clear" w:color="auto" w:fill="auto"/>
            <w:noWrap/>
            <w:vAlign w:val="bottom"/>
            <w:hideMark/>
          </w:tcPr>
          <w:p w14:paraId="33F224F4"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 xml:space="preserve">Austria </w:t>
            </w:r>
          </w:p>
        </w:tc>
        <w:tc>
          <w:tcPr>
            <w:tcW w:w="990" w:type="dxa"/>
            <w:shd w:val="clear" w:color="auto" w:fill="auto"/>
            <w:noWrap/>
            <w:vAlign w:val="bottom"/>
            <w:hideMark/>
          </w:tcPr>
          <w:p w14:paraId="6B807184"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National</w:t>
            </w:r>
          </w:p>
        </w:tc>
        <w:tc>
          <w:tcPr>
            <w:tcW w:w="720" w:type="dxa"/>
            <w:shd w:val="clear" w:color="auto" w:fill="auto"/>
            <w:noWrap/>
            <w:vAlign w:val="bottom"/>
            <w:hideMark/>
          </w:tcPr>
          <w:p w14:paraId="398FBCBB"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 xml:space="preserve">DE </w:t>
            </w:r>
          </w:p>
        </w:tc>
        <w:tc>
          <w:tcPr>
            <w:tcW w:w="1350" w:type="dxa"/>
            <w:shd w:val="clear" w:color="auto" w:fill="auto"/>
            <w:noWrap/>
            <w:vAlign w:val="bottom"/>
            <w:hideMark/>
          </w:tcPr>
          <w:p w14:paraId="5A481B7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 xml:space="preserve">DE </w:t>
            </w:r>
          </w:p>
        </w:tc>
        <w:tc>
          <w:tcPr>
            <w:tcW w:w="1080" w:type="dxa"/>
            <w:shd w:val="clear" w:color="auto" w:fill="auto"/>
            <w:noWrap/>
            <w:vAlign w:val="bottom"/>
            <w:hideMark/>
          </w:tcPr>
          <w:p w14:paraId="1B5178CC"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Other</w:t>
            </w:r>
          </w:p>
        </w:tc>
        <w:tc>
          <w:tcPr>
            <w:tcW w:w="1530" w:type="dxa"/>
            <w:shd w:val="clear" w:color="auto" w:fill="auto"/>
            <w:noWrap/>
            <w:vAlign w:val="bottom"/>
            <w:hideMark/>
          </w:tcPr>
          <w:p w14:paraId="1F93ED2C"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Yes, mixed</w:t>
            </w:r>
          </w:p>
        </w:tc>
        <w:tc>
          <w:tcPr>
            <w:tcW w:w="1530" w:type="dxa"/>
            <w:shd w:val="clear" w:color="auto" w:fill="auto"/>
            <w:noWrap/>
            <w:vAlign w:val="bottom"/>
            <w:hideMark/>
          </w:tcPr>
          <w:p w14:paraId="08FE7A4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Separate reports</w:t>
            </w:r>
          </w:p>
        </w:tc>
        <w:tc>
          <w:tcPr>
            <w:tcW w:w="990" w:type="dxa"/>
            <w:shd w:val="clear" w:color="auto" w:fill="auto"/>
            <w:noWrap/>
            <w:vAlign w:val="bottom"/>
            <w:hideMark/>
          </w:tcPr>
          <w:p w14:paraId="25A54EE8"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Free</w:t>
            </w:r>
          </w:p>
        </w:tc>
        <w:tc>
          <w:tcPr>
            <w:tcW w:w="1440" w:type="dxa"/>
            <w:shd w:val="clear" w:color="auto" w:fill="auto"/>
            <w:noWrap/>
            <w:vAlign w:val="bottom"/>
            <w:hideMark/>
          </w:tcPr>
          <w:p w14:paraId="51D0E9B4"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56A28CE9"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less than a hundred</w:t>
            </w:r>
          </w:p>
        </w:tc>
      </w:tr>
      <w:tr w:rsidR="00C82BC4" w:rsidRPr="00E8754D" w14:paraId="5C510567" w14:textId="77777777" w:rsidTr="00276542">
        <w:trPr>
          <w:trHeight w:val="450"/>
        </w:trPr>
        <w:tc>
          <w:tcPr>
            <w:tcW w:w="1350" w:type="dxa"/>
            <w:shd w:val="clear" w:color="auto" w:fill="auto"/>
            <w:vAlign w:val="bottom"/>
            <w:hideMark/>
          </w:tcPr>
          <w:p w14:paraId="0D17AC06" w14:textId="77777777" w:rsidR="00C82BC4" w:rsidRPr="00E8754D" w:rsidRDefault="00C82BC4" w:rsidP="00276542">
            <w:pPr>
              <w:spacing w:after="0" w:line="240" w:lineRule="auto"/>
              <w:rPr>
                <w:rFonts w:ascii="Calibri" w:eastAsia="Times New Roman" w:hAnsi="Calibri"/>
                <w:b/>
                <w:color w:val="000000"/>
                <w:sz w:val="16"/>
                <w:szCs w:val="16"/>
              </w:rPr>
            </w:pPr>
            <w:proofErr w:type="spellStart"/>
            <w:r w:rsidRPr="00E8754D">
              <w:rPr>
                <w:rFonts w:ascii="Calibri" w:eastAsia="Times New Roman" w:hAnsi="Calibri"/>
                <w:b/>
                <w:color w:val="000000"/>
                <w:sz w:val="16"/>
                <w:szCs w:val="16"/>
              </w:rPr>
              <w:t>Unternehmen</w:t>
            </w:r>
            <w:proofErr w:type="spellEnd"/>
            <w:r w:rsidRPr="00E8754D">
              <w:rPr>
                <w:rFonts w:ascii="Calibri" w:eastAsia="Times New Roman" w:hAnsi="Calibri"/>
                <w:b/>
                <w:color w:val="000000"/>
                <w:sz w:val="16"/>
                <w:szCs w:val="16"/>
              </w:rPr>
              <w:t xml:space="preserve"> </w:t>
            </w:r>
            <w:proofErr w:type="spellStart"/>
            <w:r w:rsidRPr="00E8754D">
              <w:rPr>
                <w:rFonts w:ascii="Calibri" w:eastAsia="Times New Roman" w:hAnsi="Calibri"/>
                <w:b/>
                <w:color w:val="000000"/>
                <w:sz w:val="16"/>
                <w:szCs w:val="16"/>
              </w:rPr>
              <w:t>Verantwortung</w:t>
            </w:r>
            <w:proofErr w:type="spellEnd"/>
            <w:r w:rsidRPr="00E8754D">
              <w:rPr>
                <w:rFonts w:ascii="Calibri" w:eastAsia="Times New Roman" w:hAnsi="Calibri"/>
                <w:b/>
                <w:color w:val="000000"/>
                <w:sz w:val="16"/>
                <w:szCs w:val="16"/>
              </w:rPr>
              <w:t xml:space="preserve"> Gesellschaft </w:t>
            </w:r>
            <w:proofErr w:type="spellStart"/>
            <w:r w:rsidRPr="00E8754D">
              <w:rPr>
                <w:rFonts w:ascii="Calibri" w:eastAsia="Times New Roman" w:hAnsi="Calibri"/>
                <w:b/>
                <w:color w:val="000000"/>
                <w:sz w:val="16"/>
                <w:szCs w:val="16"/>
              </w:rPr>
              <w:t>e.V</w:t>
            </w:r>
            <w:proofErr w:type="spellEnd"/>
            <w:r w:rsidRPr="00E8754D">
              <w:rPr>
                <w:rFonts w:ascii="Calibri" w:eastAsia="Times New Roman" w:hAnsi="Calibri"/>
                <w:b/>
                <w:color w:val="000000"/>
                <w:sz w:val="16"/>
                <w:szCs w:val="16"/>
              </w:rPr>
              <w:t>.</w:t>
            </w:r>
          </w:p>
        </w:tc>
        <w:tc>
          <w:tcPr>
            <w:tcW w:w="2070" w:type="dxa"/>
            <w:shd w:val="clear" w:color="auto" w:fill="auto"/>
            <w:vAlign w:val="bottom"/>
            <w:hideMark/>
          </w:tcPr>
          <w:p w14:paraId="602F24B7"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39" w:history="1">
              <w:r w:rsidR="00C82BC4" w:rsidRPr="00E8754D">
                <w:rPr>
                  <w:rFonts w:ascii="Calibri" w:eastAsia="Times New Roman" w:hAnsi="Calibri"/>
                  <w:color w:val="0000FF"/>
                  <w:sz w:val="16"/>
                  <w:szCs w:val="16"/>
                  <w:u w:val="single"/>
                </w:rPr>
                <w:t>http://www.csr-vision.net</w:t>
              </w:r>
            </w:hyperlink>
          </w:p>
        </w:tc>
        <w:tc>
          <w:tcPr>
            <w:tcW w:w="900" w:type="dxa"/>
            <w:shd w:val="clear" w:color="auto" w:fill="auto"/>
            <w:noWrap/>
            <w:vAlign w:val="bottom"/>
            <w:hideMark/>
          </w:tcPr>
          <w:p w14:paraId="0BA065B6"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Germany</w:t>
            </w:r>
          </w:p>
        </w:tc>
        <w:tc>
          <w:tcPr>
            <w:tcW w:w="990" w:type="dxa"/>
            <w:shd w:val="clear" w:color="auto" w:fill="auto"/>
            <w:noWrap/>
            <w:vAlign w:val="bottom"/>
            <w:hideMark/>
          </w:tcPr>
          <w:p w14:paraId="236AB9CE"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National</w:t>
            </w:r>
          </w:p>
        </w:tc>
        <w:tc>
          <w:tcPr>
            <w:tcW w:w="720" w:type="dxa"/>
            <w:shd w:val="clear" w:color="auto" w:fill="auto"/>
            <w:noWrap/>
            <w:vAlign w:val="bottom"/>
            <w:hideMark/>
          </w:tcPr>
          <w:p w14:paraId="5066E0A3"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DE</w:t>
            </w:r>
          </w:p>
        </w:tc>
        <w:tc>
          <w:tcPr>
            <w:tcW w:w="1350" w:type="dxa"/>
            <w:shd w:val="clear" w:color="auto" w:fill="auto"/>
            <w:noWrap/>
            <w:vAlign w:val="bottom"/>
            <w:hideMark/>
          </w:tcPr>
          <w:p w14:paraId="15C4AE06"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DE</w:t>
            </w:r>
          </w:p>
        </w:tc>
        <w:tc>
          <w:tcPr>
            <w:tcW w:w="1080" w:type="dxa"/>
            <w:shd w:val="clear" w:color="auto" w:fill="auto"/>
            <w:noWrap/>
            <w:vAlign w:val="bottom"/>
            <w:hideMark/>
          </w:tcPr>
          <w:p w14:paraId="3554E9BB"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Other</w:t>
            </w:r>
          </w:p>
        </w:tc>
        <w:tc>
          <w:tcPr>
            <w:tcW w:w="1530" w:type="dxa"/>
            <w:shd w:val="clear" w:color="auto" w:fill="auto"/>
            <w:noWrap/>
            <w:vAlign w:val="bottom"/>
            <w:hideMark/>
          </w:tcPr>
          <w:p w14:paraId="159784B3"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70CA91B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Separate reports</w:t>
            </w:r>
          </w:p>
        </w:tc>
        <w:tc>
          <w:tcPr>
            <w:tcW w:w="990" w:type="dxa"/>
            <w:shd w:val="clear" w:color="auto" w:fill="auto"/>
            <w:noWrap/>
            <w:vAlign w:val="bottom"/>
            <w:hideMark/>
          </w:tcPr>
          <w:p w14:paraId="26459072"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Free</w:t>
            </w:r>
          </w:p>
        </w:tc>
        <w:tc>
          <w:tcPr>
            <w:tcW w:w="1440" w:type="dxa"/>
            <w:shd w:val="clear" w:color="auto" w:fill="auto"/>
            <w:noWrap/>
            <w:vAlign w:val="bottom"/>
            <w:hideMark/>
          </w:tcPr>
          <w:p w14:paraId="55C33343"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3C9286F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less than a hundred</w:t>
            </w:r>
          </w:p>
        </w:tc>
      </w:tr>
      <w:tr w:rsidR="00C82BC4" w:rsidRPr="00E8754D" w14:paraId="5AF6C592" w14:textId="77777777" w:rsidTr="00276542">
        <w:trPr>
          <w:trHeight w:val="450"/>
        </w:trPr>
        <w:tc>
          <w:tcPr>
            <w:tcW w:w="1350" w:type="dxa"/>
            <w:shd w:val="clear" w:color="auto" w:fill="auto"/>
            <w:vAlign w:val="bottom"/>
            <w:hideMark/>
          </w:tcPr>
          <w:p w14:paraId="2B491F6E" w14:textId="77777777" w:rsidR="00C82BC4" w:rsidRPr="00E8754D" w:rsidRDefault="00C82BC4" w:rsidP="00276542">
            <w:pPr>
              <w:spacing w:after="0" w:line="240" w:lineRule="auto"/>
              <w:rPr>
                <w:rFonts w:ascii="Calibri" w:eastAsia="Times New Roman" w:hAnsi="Calibri"/>
                <w:b/>
                <w:color w:val="000000"/>
                <w:sz w:val="16"/>
                <w:szCs w:val="16"/>
              </w:rPr>
            </w:pPr>
            <w:proofErr w:type="spellStart"/>
            <w:r w:rsidRPr="00E8754D">
              <w:rPr>
                <w:rFonts w:ascii="Calibri" w:eastAsia="Times New Roman" w:hAnsi="Calibri"/>
                <w:b/>
                <w:color w:val="000000"/>
                <w:sz w:val="16"/>
                <w:szCs w:val="16"/>
              </w:rPr>
              <w:t>Lebensart</w:t>
            </w:r>
            <w:proofErr w:type="spellEnd"/>
            <w:r w:rsidRPr="00E8754D">
              <w:rPr>
                <w:rFonts w:ascii="Calibri" w:eastAsia="Times New Roman" w:hAnsi="Calibri"/>
                <w:b/>
                <w:color w:val="000000"/>
                <w:sz w:val="16"/>
                <w:szCs w:val="16"/>
              </w:rPr>
              <w:t xml:space="preserve"> </w:t>
            </w:r>
            <w:proofErr w:type="spellStart"/>
            <w:r w:rsidRPr="00E8754D">
              <w:rPr>
                <w:rFonts w:ascii="Calibri" w:eastAsia="Times New Roman" w:hAnsi="Calibri"/>
                <w:b/>
                <w:color w:val="000000"/>
                <w:sz w:val="16"/>
                <w:szCs w:val="16"/>
              </w:rPr>
              <w:t>VerlagsGmbH</w:t>
            </w:r>
            <w:proofErr w:type="spellEnd"/>
          </w:p>
        </w:tc>
        <w:tc>
          <w:tcPr>
            <w:tcW w:w="2070" w:type="dxa"/>
            <w:shd w:val="clear" w:color="auto" w:fill="auto"/>
            <w:vAlign w:val="bottom"/>
            <w:hideMark/>
          </w:tcPr>
          <w:p w14:paraId="2F477EBA"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40" w:history="1">
              <w:r w:rsidR="00C82BC4" w:rsidRPr="00E8754D">
                <w:rPr>
                  <w:rFonts w:ascii="Calibri" w:eastAsia="Times New Roman" w:hAnsi="Calibri"/>
                  <w:color w:val="0000FF"/>
                  <w:sz w:val="16"/>
                  <w:szCs w:val="16"/>
                  <w:u w:val="single"/>
                </w:rPr>
                <w:t>http://www.businessart.at/nachhaltigkeitsberichte</w:t>
              </w:r>
            </w:hyperlink>
          </w:p>
        </w:tc>
        <w:tc>
          <w:tcPr>
            <w:tcW w:w="900" w:type="dxa"/>
            <w:shd w:val="clear" w:color="auto" w:fill="auto"/>
            <w:noWrap/>
            <w:vAlign w:val="bottom"/>
            <w:hideMark/>
          </w:tcPr>
          <w:p w14:paraId="64D56F26"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Austria</w:t>
            </w:r>
          </w:p>
        </w:tc>
        <w:tc>
          <w:tcPr>
            <w:tcW w:w="990" w:type="dxa"/>
            <w:shd w:val="clear" w:color="auto" w:fill="auto"/>
            <w:noWrap/>
            <w:vAlign w:val="bottom"/>
            <w:hideMark/>
          </w:tcPr>
          <w:p w14:paraId="6B15ECE1"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National</w:t>
            </w:r>
          </w:p>
        </w:tc>
        <w:tc>
          <w:tcPr>
            <w:tcW w:w="720" w:type="dxa"/>
            <w:shd w:val="clear" w:color="auto" w:fill="auto"/>
            <w:noWrap/>
            <w:vAlign w:val="bottom"/>
            <w:hideMark/>
          </w:tcPr>
          <w:p w14:paraId="432D590B"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DE</w:t>
            </w:r>
          </w:p>
        </w:tc>
        <w:tc>
          <w:tcPr>
            <w:tcW w:w="1350" w:type="dxa"/>
            <w:shd w:val="clear" w:color="auto" w:fill="auto"/>
            <w:noWrap/>
            <w:vAlign w:val="bottom"/>
            <w:hideMark/>
          </w:tcPr>
          <w:p w14:paraId="3DBDC4A7"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DE</w:t>
            </w:r>
          </w:p>
        </w:tc>
        <w:tc>
          <w:tcPr>
            <w:tcW w:w="1080" w:type="dxa"/>
            <w:shd w:val="clear" w:color="auto" w:fill="auto"/>
            <w:noWrap/>
            <w:vAlign w:val="bottom"/>
            <w:hideMark/>
          </w:tcPr>
          <w:p w14:paraId="342E0359"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Other</w:t>
            </w:r>
          </w:p>
        </w:tc>
        <w:tc>
          <w:tcPr>
            <w:tcW w:w="1530" w:type="dxa"/>
            <w:shd w:val="clear" w:color="auto" w:fill="auto"/>
            <w:noWrap/>
            <w:vAlign w:val="bottom"/>
            <w:hideMark/>
          </w:tcPr>
          <w:p w14:paraId="64434E83"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530" w:type="dxa"/>
            <w:shd w:val="clear" w:color="auto" w:fill="auto"/>
            <w:noWrap/>
            <w:vAlign w:val="bottom"/>
            <w:hideMark/>
          </w:tcPr>
          <w:p w14:paraId="0527E7FC"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Separate reports</w:t>
            </w:r>
          </w:p>
        </w:tc>
        <w:tc>
          <w:tcPr>
            <w:tcW w:w="990" w:type="dxa"/>
            <w:shd w:val="clear" w:color="auto" w:fill="auto"/>
            <w:noWrap/>
            <w:vAlign w:val="bottom"/>
            <w:hideMark/>
          </w:tcPr>
          <w:p w14:paraId="66FB73B4"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Free</w:t>
            </w:r>
          </w:p>
        </w:tc>
        <w:tc>
          <w:tcPr>
            <w:tcW w:w="1440" w:type="dxa"/>
            <w:shd w:val="clear" w:color="auto" w:fill="auto"/>
            <w:noWrap/>
            <w:vAlign w:val="bottom"/>
            <w:hideMark/>
          </w:tcPr>
          <w:p w14:paraId="5792B354"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31F68FC8"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around a hundred</w:t>
            </w:r>
          </w:p>
        </w:tc>
      </w:tr>
      <w:tr w:rsidR="00C82BC4" w:rsidRPr="00E8754D" w14:paraId="5E079714" w14:textId="77777777" w:rsidTr="00276542">
        <w:trPr>
          <w:trHeight w:val="450"/>
        </w:trPr>
        <w:tc>
          <w:tcPr>
            <w:tcW w:w="1350" w:type="dxa"/>
            <w:shd w:val="clear" w:color="auto" w:fill="auto"/>
            <w:vAlign w:val="bottom"/>
            <w:hideMark/>
          </w:tcPr>
          <w:p w14:paraId="48064AAE"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 xml:space="preserve">BCSD Portugal </w:t>
            </w:r>
          </w:p>
        </w:tc>
        <w:tc>
          <w:tcPr>
            <w:tcW w:w="2070" w:type="dxa"/>
            <w:shd w:val="clear" w:color="auto" w:fill="auto"/>
            <w:vAlign w:val="bottom"/>
            <w:hideMark/>
          </w:tcPr>
          <w:p w14:paraId="346BCA7B" w14:textId="77777777" w:rsidR="00C82BC4" w:rsidRPr="00E8754D" w:rsidRDefault="00C82BC4" w:rsidP="00276542">
            <w:pPr>
              <w:spacing w:after="0" w:line="240" w:lineRule="auto"/>
              <w:rPr>
                <w:rFonts w:ascii="Calibri" w:eastAsia="Times New Roman" w:hAnsi="Calibri"/>
                <w:color w:val="0000FF"/>
                <w:sz w:val="16"/>
                <w:szCs w:val="16"/>
                <w:u w:val="single"/>
              </w:rPr>
            </w:pPr>
            <w:r w:rsidRPr="00E8754D">
              <w:rPr>
                <w:rFonts w:ascii="Calibri" w:eastAsia="Times New Roman" w:hAnsi="Calibri"/>
                <w:color w:val="0000FF"/>
                <w:sz w:val="16"/>
                <w:szCs w:val="16"/>
                <w:u w:val="single"/>
              </w:rPr>
              <w:t>http://www.bcsdportugal.org/publicacoes/relatorios</w:t>
            </w:r>
          </w:p>
        </w:tc>
        <w:tc>
          <w:tcPr>
            <w:tcW w:w="900" w:type="dxa"/>
            <w:shd w:val="clear" w:color="auto" w:fill="auto"/>
            <w:noWrap/>
            <w:vAlign w:val="bottom"/>
            <w:hideMark/>
          </w:tcPr>
          <w:p w14:paraId="26439F49"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Portugal</w:t>
            </w:r>
          </w:p>
        </w:tc>
        <w:tc>
          <w:tcPr>
            <w:tcW w:w="990" w:type="dxa"/>
            <w:shd w:val="clear" w:color="auto" w:fill="auto"/>
            <w:noWrap/>
            <w:vAlign w:val="bottom"/>
            <w:hideMark/>
          </w:tcPr>
          <w:p w14:paraId="0B427BC1"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National</w:t>
            </w:r>
          </w:p>
        </w:tc>
        <w:tc>
          <w:tcPr>
            <w:tcW w:w="720" w:type="dxa"/>
            <w:shd w:val="clear" w:color="auto" w:fill="auto"/>
            <w:noWrap/>
            <w:vAlign w:val="bottom"/>
            <w:hideMark/>
          </w:tcPr>
          <w:p w14:paraId="1092527D"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PT</w:t>
            </w:r>
          </w:p>
        </w:tc>
        <w:tc>
          <w:tcPr>
            <w:tcW w:w="1350" w:type="dxa"/>
            <w:shd w:val="clear" w:color="auto" w:fill="auto"/>
            <w:noWrap/>
            <w:vAlign w:val="bottom"/>
            <w:hideMark/>
          </w:tcPr>
          <w:p w14:paraId="587341CD"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PT</w:t>
            </w:r>
          </w:p>
        </w:tc>
        <w:tc>
          <w:tcPr>
            <w:tcW w:w="1080" w:type="dxa"/>
            <w:shd w:val="clear" w:color="auto" w:fill="auto"/>
            <w:noWrap/>
            <w:vAlign w:val="bottom"/>
            <w:hideMark/>
          </w:tcPr>
          <w:p w14:paraId="58B03EBF"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Mixed</w:t>
            </w:r>
          </w:p>
        </w:tc>
        <w:tc>
          <w:tcPr>
            <w:tcW w:w="1530" w:type="dxa"/>
            <w:shd w:val="clear" w:color="auto" w:fill="auto"/>
            <w:noWrap/>
            <w:vAlign w:val="bottom"/>
            <w:hideMark/>
          </w:tcPr>
          <w:p w14:paraId="7C640717"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Yes, mixed</w:t>
            </w:r>
          </w:p>
        </w:tc>
        <w:tc>
          <w:tcPr>
            <w:tcW w:w="1530" w:type="dxa"/>
            <w:shd w:val="clear" w:color="auto" w:fill="auto"/>
            <w:noWrap/>
            <w:vAlign w:val="bottom"/>
            <w:hideMark/>
          </w:tcPr>
          <w:p w14:paraId="2470F82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Separate reports</w:t>
            </w:r>
          </w:p>
        </w:tc>
        <w:tc>
          <w:tcPr>
            <w:tcW w:w="990" w:type="dxa"/>
            <w:shd w:val="clear" w:color="auto" w:fill="auto"/>
            <w:noWrap/>
            <w:vAlign w:val="bottom"/>
            <w:hideMark/>
          </w:tcPr>
          <w:p w14:paraId="1CED3203"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Free</w:t>
            </w:r>
          </w:p>
        </w:tc>
        <w:tc>
          <w:tcPr>
            <w:tcW w:w="1440" w:type="dxa"/>
            <w:shd w:val="clear" w:color="auto" w:fill="auto"/>
            <w:noWrap/>
            <w:vAlign w:val="bottom"/>
            <w:hideMark/>
          </w:tcPr>
          <w:p w14:paraId="52A44CE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0426C2B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less than a hundred</w:t>
            </w:r>
          </w:p>
        </w:tc>
      </w:tr>
      <w:tr w:rsidR="00C82BC4" w:rsidRPr="00E8754D" w14:paraId="167331F5" w14:textId="77777777" w:rsidTr="00276542">
        <w:trPr>
          <w:trHeight w:val="552"/>
        </w:trPr>
        <w:tc>
          <w:tcPr>
            <w:tcW w:w="1350" w:type="dxa"/>
            <w:shd w:val="clear" w:color="auto" w:fill="auto"/>
            <w:vAlign w:val="bottom"/>
            <w:hideMark/>
          </w:tcPr>
          <w:p w14:paraId="643BBC7F"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 xml:space="preserve">EIDER </w:t>
            </w:r>
          </w:p>
        </w:tc>
        <w:tc>
          <w:tcPr>
            <w:tcW w:w="2070" w:type="dxa"/>
            <w:shd w:val="clear" w:color="auto" w:fill="auto"/>
            <w:vAlign w:val="bottom"/>
            <w:hideMark/>
          </w:tcPr>
          <w:p w14:paraId="62BB32FF" w14:textId="77777777" w:rsidR="00C82BC4" w:rsidRPr="00E8754D" w:rsidRDefault="00C82BC4" w:rsidP="00276542">
            <w:pPr>
              <w:spacing w:after="0" w:line="240" w:lineRule="auto"/>
              <w:rPr>
                <w:rFonts w:ascii="Calibri" w:eastAsia="Times New Roman" w:hAnsi="Calibri"/>
                <w:color w:val="0000FF"/>
                <w:sz w:val="16"/>
                <w:szCs w:val="16"/>
                <w:u w:val="single"/>
              </w:rPr>
            </w:pPr>
            <w:r w:rsidRPr="00E8754D">
              <w:rPr>
                <w:rFonts w:ascii="Calibri" w:eastAsia="Times New Roman" w:hAnsi="Calibri"/>
                <w:color w:val="0000FF"/>
                <w:sz w:val="16"/>
                <w:szCs w:val="16"/>
                <w:u w:val="single"/>
              </w:rPr>
              <w:t>http://www.stats.environnement.developpement-durable.gouv.fr/Eider/</w:t>
            </w:r>
          </w:p>
        </w:tc>
        <w:tc>
          <w:tcPr>
            <w:tcW w:w="900" w:type="dxa"/>
            <w:shd w:val="clear" w:color="auto" w:fill="auto"/>
            <w:noWrap/>
            <w:vAlign w:val="bottom"/>
            <w:hideMark/>
          </w:tcPr>
          <w:p w14:paraId="42A038D4"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France</w:t>
            </w:r>
          </w:p>
        </w:tc>
        <w:tc>
          <w:tcPr>
            <w:tcW w:w="990" w:type="dxa"/>
            <w:shd w:val="clear" w:color="auto" w:fill="auto"/>
            <w:noWrap/>
            <w:vAlign w:val="bottom"/>
            <w:hideMark/>
          </w:tcPr>
          <w:p w14:paraId="17B0EED7"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National/regional</w:t>
            </w:r>
          </w:p>
        </w:tc>
        <w:tc>
          <w:tcPr>
            <w:tcW w:w="720" w:type="dxa"/>
            <w:shd w:val="clear" w:color="auto" w:fill="auto"/>
            <w:noWrap/>
            <w:vAlign w:val="bottom"/>
            <w:hideMark/>
          </w:tcPr>
          <w:p w14:paraId="79C76F11"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w:t>
            </w:r>
          </w:p>
        </w:tc>
        <w:tc>
          <w:tcPr>
            <w:tcW w:w="1350" w:type="dxa"/>
            <w:shd w:val="clear" w:color="auto" w:fill="auto"/>
            <w:noWrap/>
            <w:vAlign w:val="bottom"/>
            <w:hideMark/>
          </w:tcPr>
          <w:p w14:paraId="72FCCB8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w:t>
            </w:r>
          </w:p>
        </w:tc>
        <w:tc>
          <w:tcPr>
            <w:tcW w:w="1080" w:type="dxa"/>
            <w:shd w:val="clear" w:color="auto" w:fill="auto"/>
            <w:noWrap/>
            <w:vAlign w:val="bottom"/>
            <w:hideMark/>
          </w:tcPr>
          <w:p w14:paraId="6718A054"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Government</w:t>
            </w:r>
          </w:p>
        </w:tc>
        <w:tc>
          <w:tcPr>
            <w:tcW w:w="1530" w:type="dxa"/>
            <w:shd w:val="clear" w:color="auto" w:fill="auto"/>
            <w:noWrap/>
            <w:vAlign w:val="bottom"/>
            <w:hideMark/>
          </w:tcPr>
          <w:p w14:paraId="36CBAFD3"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Yes, mixed</w:t>
            </w:r>
          </w:p>
        </w:tc>
        <w:tc>
          <w:tcPr>
            <w:tcW w:w="1530" w:type="dxa"/>
            <w:shd w:val="clear" w:color="auto" w:fill="auto"/>
            <w:noWrap/>
            <w:vAlign w:val="bottom"/>
            <w:hideMark/>
          </w:tcPr>
          <w:p w14:paraId="3F250E6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Both</w:t>
            </w:r>
          </w:p>
        </w:tc>
        <w:tc>
          <w:tcPr>
            <w:tcW w:w="990" w:type="dxa"/>
            <w:shd w:val="clear" w:color="auto" w:fill="auto"/>
            <w:noWrap/>
            <w:vAlign w:val="bottom"/>
            <w:hideMark/>
          </w:tcPr>
          <w:p w14:paraId="0BA6CD68"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Free</w:t>
            </w:r>
          </w:p>
        </w:tc>
        <w:tc>
          <w:tcPr>
            <w:tcW w:w="1440" w:type="dxa"/>
            <w:shd w:val="clear" w:color="auto" w:fill="auto"/>
            <w:noWrap/>
            <w:vAlign w:val="bottom"/>
            <w:hideMark/>
          </w:tcPr>
          <w:p w14:paraId="1922BA8B"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645B1CF8"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&gt;5,000</w:t>
            </w:r>
          </w:p>
        </w:tc>
      </w:tr>
      <w:tr w:rsidR="00C82BC4" w:rsidRPr="00E8754D" w14:paraId="35CF344B" w14:textId="77777777" w:rsidTr="00276542">
        <w:trPr>
          <w:trHeight w:val="675"/>
        </w:trPr>
        <w:tc>
          <w:tcPr>
            <w:tcW w:w="1350" w:type="dxa"/>
            <w:shd w:val="clear" w:color="auto" w:fill="auto"/>
            <w:vAlign w:val="bottom"/>
            <w:hideMark/>
          </w:tcPr>
          <w:p w14:paraId="5C505201"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lastRenderedPageBreak/>
              <w:t>RSE et PED</w:t>
            </w:r>
          </w:p>
        </w:tc>
        <w:tc>
          <w:tcPr>
            <w:tcW w:w="2070" w:type="dxa"/>
            <w:shd w:val="clear" w:color="auto" w:fill="auto"/>
            <w:vAlign w:val="bottom"/>
            <w:hideMark/>
          </w:tcPr>
          <w:p w14:paraId="1066CD94" w14:textId="77777777" w:rsidR="00C82BC4" w:rsidRPr="00E8754D" w:rsidRDefault="00C82BC4" w:rsidP="00276542">
            <w:pPr>
              <w:spacing w:after="0" w:line="240" w:lineRule="auto"/>
              <w:rPr>
                <w:rFonts w:ascii="Calibri" w:eastAsia="Times New Roman" w:hAnsi="Calibri"/>
                <w:color w:val="0000FF"/>
                <w:sz w:val="16"/>
                <w:szCs w:val="16"/>
                <w:u w:val="single"/>
              </w:rPr>
            </w:pPr>
            <w:r w:rsidRPr="00E8754D">
              <w:rPr>
                <w:rFonts w:ascii="Calibri" w:eastAsia="Times New Roman" w:hAnsi="Calibri"/>
                <w:color w:val="0000FF"/>
                <w:sz w:val="16"/>
                <w:szCs w:val="16"/>
                <w:u w:val="single"/>
              </w:rPr>
              <w:t>http://www.rse-et-ped.info/rse/4-rapports-annuels-rse/</w:t>
            </w:r>
          </w:p>
        </w:tc>
        <w:tc>
          <w:tcPr>
            <w:tcW w:w="900" w:type="dxa"/>
            <w:shd w:val="clear" w:color="auto" w:fill="auto"/>
            <w:noWrap/>
            <w:vAlign w:val="bottom"/>
            <w:hideMark/>
          </w:tcPr>
          <w:p w14:paraId="52E958BE"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France</w:t>
            </w:r>
          </w:p>
        </w:tc>
        <w:tc>
          <w:tcPr>
            <w:tcW w:w="990" w:type="dxa"/>
            <w:shd w:val="clear" w:color="auto" w:fill="auto"/>
            <w:vAlign w:val="bottom"/>
            <w:hideMark/>
          </w:tcPr>
          <w:p w14:paraId="5CFE50C8"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Global (developing countries)</w:t>
            </w:r>
          </w:p>
        </w:tc>
        <w:tc>
          <w:tcPr>
            <w:tcW w:w="720" w:type="dxa"/>
            <w:shd w:val="clear" w:color="auto" w:fill="auto"/>
            <w:noWrap/>
            <w:vAlign w:val="bottom"/>
            <w:hideMark/>
          </w:tcPr>
          <w:p w14:paraId="236DE7BE"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w:t>
            </w:r>
          </w:p>
        </w:tc>
        <w:tc>
          <w:tcPr>
            <w:tcW w:w="1350" w:type="dxa"/>
            <w:shd w:val="clear" w:color="auto" w:fill="auto"/>
            <w:noWrap/>
            <w:vAlign w:val="bottom"/>
            <w:hideMark/>
          </w:tcPr>
          <w:p w14:paraId="4A602AC1"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w:t>
            </w:r>
          </w:p>
        </w:tc>
        <w:tc>
          <w:tcPr>
            <w:tcW w:w="1080" w:type="dxa"/>
            <w:shd w:val="clear" w:color="auto" w:fill="auto"/>
            <w:noWrap/>
            <w:vAlign w:val="bottom"/>
            <w:hideMark/>
          </w:tcPr>
          <w:p w14:paraId="665519EF"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Mixed</w:t>
            </w:r>
          </w:p>
        </w:tc>
        <w:tc>
          <w:tcPr>
            <w:tcW w:w="1530" w:type="dxa"/>
            <w:shd w:val="clear" w:color="auto" w:fill="auto"/>
            <w:noWrap/>
            <w:vAlign w:val="bottom"/>
            <w:hideMark/>
          </w:tcPr>
          <w:p w14:paraId="69D0CE46"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Yes, mixed</w:t>
            </w:r>
          </w:p>
        </w:tc>
        <w:tc>
          <w:tcPr>
            <w:tcW w:w="1530" w:type="dxa"/>
            <w:shd w:val="clear" w:color="auto" w:fill="auto"/>
            <w:noWrap/>
            <w:vAlign w:val="bottom"/>
            <w:hideMark/>
          </w:tcPr>
          <w:p w14:paraId="0A863537"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Both</w:t>
            </w:r>
          </w:p>
        </w:tc>
        <w:tc>
          <w:tcPr>
            <w:tcW w:w="990" w:type="dxa"/>
            <w:shd w:val="clear" w:color="auto" w:fill="auto"/>
            <w:noWrap/>
            <w:vAlign w:val="bottom"/>
            <w:hideMark/>
          </w:tcPr>
          <w:p w14:paraId="59B43407"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Free</w:t>
            </w:r>
          </w:p>
        </w:tc>
        <w:tc>
          <w:tcPr>
            <w:tcW w:w="1440" w:type="dxa"/>
            <w:shd w:val="clear" w:color="auto" w:fill="auto"/>
            <w:noWrap/>
            <w:vAlign w:val="bottom"/>
            <w:hideMark/>
          </w:tcPr>
          <w:p w14:paraId="713CE175"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hideMark/>
          </w:tcPr>
          <w:p w14:paraId="47A23B71"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Undisclosed</w:t>
            </w:r>
          </w:p>
        </w:tc>
      </w:tr>
      <w:tr w:rsidR="00C82BC4" w:rsidRPr="00E8754D" w14:paraId="6C3DDCDC" w14:textId="77777777" w:rsidTr="00276542">
        <w:trPr>
          <w:trHeight w:val="675"/>
        </w:trPr>
        <w:tc>
          <w:tcPr>
            <w:tcW w:w="1350" w:type="dxa"/>
            <w:shd w:val="clear" w:color="auto" w:fill="auto"/>
            <w:vAlign w:val="bottom"/>
          </w:tcPr>
          <w:p w14:paraId="6915FDB5" w14:textId="77777777" w:rsidR="00C82BC4" w:rsidRPr="00E8754D" w:rsidRDefault="00C82BC4" w:rsidP="00276542">
            <w:pPr>
              <w:spacing w:after="0" w:line="240" w:lineRule="auto"/>
              <w:rPr>
                <w:rFonts w:ascii="Calibri" w:eastAsia="Times New Roman" w:hAnsi="Calibri"/>
                <w:b/>
                <w:color w:val="000000"/>
                <w:sz w:val="16"/>
                <w:szCs w:val="16"/>
              </w:rPr>
            </w:pPr>
            <w:r w:rsidRPr="00E8754D">
              <w:rPr>
                <w:rFonts w:ascii="Calibri" w:eastAsia="Times New Roman" w:hAnsi="Calibri"/>
                <w:b/>
                <w:color w:val="000000"/>
                <w:sz w:val="16"/>
                <w:szCs w:val="16"/>
              </w:rPr>
              <w:t>EDGAR (Electronic Data Gathering, Analysis, and Retrieval) U.S. Securities and Exchange Commission (SEC)</w:t>
            </w:r>
          </w:p>
        </w:tc>
        <w:tc>
          <w:tcPr>
            <w:tcW w:w="2070" w:type="dxa"/>
            <w:shd w:val="clear" w:color="auto" w:fill="auto"/>
            <w:vAlign w:val="bottom"/>
          </w:tcPr>
          <w:p w14:paraId="0BB2E824" w14:textId="77777777" w:rsidR="00C82BC4" w:rsidRPr="00E8754D" w:rsidRDefault="00B02A4F" w:rsidP="00276542">
            <w:pPr>
              <w:spacing w:after="0" w:line="240" w:lineRule="auto"/>
              <w:rPr>
                <w:rFonts w:ascii="Calibri" w:eastAsia="Times New Roman" w:hAnsi="Calibri"/>
                <w:color w:val="0000FF"/>
                <w:sz w:val="16"/>
                <w:szCs w:val="16"/>
                <w:u w:val="single"/>
              </w:rPr>
            </w:pPr>
            <w:hyperlink r:id="rId41" w:history="1">
              <w:r w:rsidR="00C82BC4" w:rsidRPr="00E8754D">
                <w:rPr>
                  <w:rFonts w:ascii="Calibri" w:eastAsia="Times New Roman" w:hAnsi="Calibri"/>
                  <w:color w:val="0000FF"/>
                  <w:sz w:val="16"/>
                  <w:szCs w:val="16"/>
                  <w:u w:val="single"/>
                </w:rPr>
                <w:t>https://www.sec.gov/edgar/searchedgar/companysearch.html</w:t>
              </w:r>
            </w:hyperlink>
          </w:p>
        </w:tc>
        <w:tc>
          <w:tcPr>
            <w:tcW w:w="900" w:type="dxa"/>
            <w:shd w:val="clear" w:color="auto" w:fill="auto"/>
            <w:noWrap/>
            <w:vAlign w:val="bottom"/>
          </w:tcPr>
          <w:p w14:paraId="69806951"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USA</w:t>
            </w:r>
          </w:p>
        </w:tc>
        <w:tc>
          <w:tcPr>
            <w:tcW w:w="990" w:type="dxa"/>
            <w:shd w:val="clear" w:color="auto" w:fill="auto"/>
            <w:vAlign w:val="bottom"/>
          </w:tcPr>
          <w:p w14:paraId="7E554A20"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National</w:t>
            </w:r>
          </w:p>
        </w:tc>
        <w:tc>
          <w:tcPr>
            <w:tcW w:w="720" w:type="dxa"/>
            <w:shd w:val="clear" w:color="auto" w:fill="auto"/>
            <w:noWrap/>
            <w:vAlign w:val="bottom"/>
          </w:tcPr>
          <w:p w14:paraId="29099793"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350" w:type="dxa"/>
            <w:shd w:val="clear" w:color="auto" w:fill="auto"/>
            <w:noWrap/>
            <w:vAlign w:val="bottom"/>
          </w:tcPr>
          <w:p w14:paraId="7008B63F"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EN</w:t>
            </w:r>
          </w:p>
        </w:tc>
        <w:tc>
          <w:tcPr>
            <w:tcW w:w="1080" w:type="dxa"/>
            <w:shd w:val="clear" w:color="auto" w:fill="auto"/>
            <w:noWrap/>
            <w:vAlign w:val="bottom"/>
          </w:tcPr>
          <w:p w14:paraId="1944728B"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Government</w:t>
            </w:r>
          </w:p>
        </w:tc>
        <w:tc>
          <w:tcPr>
            <w:tcW w:w="1530" w:type="dxa"/>
            <w:shd w:val="clear" w:color="auto" w:fill="auto"/>
            <w:noWrap/>
            <w:vAlign w:val="bottom"/>
          </w:tcPr>
          <w:p w14:paraId="71EB0873"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Yes</w:t>
            </w:r>
          </w:p>
        </w:tc>
        <w:tc>
          <w:tcPr>
            <w:tcW w:w="1530" w:type="dxa"/>
            <w:shd w:val="clear" w:color="auto" w:fill="auto"/>
            <w:noWrap/>
            <w:vAlign w:val="bottom"/>
          </w:tcPr>
          <w:p w14:paraId="60B00854"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Both</w:t>
            </w:r>
          </w:p>
        </w:tc>
        <w:tc>
          <w:tcPr>
            <w:tcW w:w="990" w:type="dxa"/>
            <w:shd w:val="clear" w:color="auto" w:fill="auto"/>
            <w:noWrap/>
            <w:vAlign w:val="bottom"/>
          </w:tcPr>
          <w:p w14:paraId="5C3C75B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Free</w:t>
            </w:r>
          </w:p>
        </w:tc>
        <w:tc>
          <w:tcPr>
            <w:tcW w:w="1440" w:type="dxa"/>
            <w:shd w:val="clear" w:color="auto" w:fill="auto"/>
            <w:noWrap/>
            <w:vAlign w:val="bottom"/>
          </w:tcPr>
          <w:p w14:paraId="167D3A0A"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No</w:t>
            </w:r>
          </w:p>
        </w:tc>
        <w:tc>
          <w:tcPr>
            <w:tcW w:w="1350" w:type="dxa"/>
            <w:shd w:val="clear" w:color="auto" w:fill="auto"/>
            <w:vAlign w:val="bottom"/>
          </w:tcPr>
          <w:p w14:paraId="5D284076" w14:textId="77777777" w:rsidR="00C82BC4" w:rsidRPr="00E8754D" w:rsidRDefault="00C82BC4" w:rsidP="00276542">
            <w:pPr>
              <w:spacing w:after="0" w:line="240" w:lineRule="auto"/>
              <w:rPr>
                <w:rFonts w:ascii="Calibri" w:eastAsia="Times New Roman" w:hAnsi="Calibri"/>
                <w:color w:val="000000"/>
                <w:sz w:val="16"/>
                <w:szCs w:val="16"/>
              </w:rPr>
            </w:pPr>
            <w:r w:rsidRPr="00E8754D">
              <w:rPr>
                <w:rFonts w:ascii="Calibri" w:eastAsia="Times New Roman" w:hAnsi="Calibri"/>
                <w:color w:val="000000"/>
                <w:sz w:val="16"/>
                <w:szCs w:val="16"/>
              </w:rPr>
              <w:t>21 million filings from companies</w:t>
            </w:r>
          </w:p>
        </w:tc>
      </w:tr>
    </w:tbl>
    <w:p w14:paraId="1C4ED6A4" w14:textId="77777777" w:rsidR="00C82BC4" w:rsidRPr="00E8754D" w:rsidRDefault="00C82BC4" w:rsidP="00C82BC4">
      <w:pPr>
        <w:shd w:val="clear" w:color="auto" w:fill="FFFFFF"/>
        <w:spacing w:after="0"/>
        <w:jc w:val="both"/>
        <w:rPr>
          <w:rFonts w:eastAsia="Times New Roman" w:cs="Times New Roman"/>
          <w:color w:val="4A4A4A"/>
          <w:sz w:val="21"/>
          <w:szCs w:val="21"/>
          <w:lang w:eastAsia="en-GB"/>
        </w:rPr>
      </w:pPr>
    </w:p>
    <w:p w14:paraId="0461B7A6" w14:textId="77777777" w:rsidR="009F182C" w:rsidRDefault="009F182C"/>
    <w:sectPr w:rsidR="009F182C" w:rsidSect="002419F0">
      <w:headerReference w:type="default" r:id="rId42"/>
      <w:type w:val="continuous"/>
      <w:pgSz w:w="16840" w:h="11900" w:orient="landscape"/>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F599F" w14:textId="77777777" w:rsidR="00B02A4F" w:rsidRDefault="00B02A4F" w:rsidP="00573C0B">
      <w:pPr>
        <w:spacing w:after="0" w:line="240" w:lineRule="auto"/>
      </w:pPr>
      <w:r>
        <w:separator/>
      </w:r>
    </w:p>
  </w:endnote>
  <w:endnote w:type="continuationSeparator" w:id="0">
    <w:p w14:paraId="115E1F4A" w14:textId="77777777" w:rsidR="00B02A4F" w:rsidRDefault="00B02A4F" w:rsidP="00573C0B">
      <w:pPr>
        <w:spacing w:after="0" w:line="240" w:lineRule="auto"/>
      </w:pPr>
      <w:r>
        <w:continuationSeparator/>
      </w:r>
    </w:p>
  </w:endnote>
  <w:endnote w:type="continuationNotice" w:id="1">
    <w:p w14:paraId="3F64077A" w14:textId="77777777" w:rsidR="00B02A4F" w:rsidRDefault="00B02A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swiss"/>
    <w:pitch w:val="variable"/>
    <w:sig w:usb0="E1000AEF" w:usb1="5000A1FF" w:usb2="00000000" w:usb3="00000000" w:csb0="000001BF" w:csb1="00000000"/>
  </w:font>
  <w:font w:name="Univers 45 Light">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CC623" w14:textId="77777777" w:rsidR="00B02A4F" w:rsidRDefault="00B02A4F" w:rsidP="00573C0B">
      <w:pPr>
        <w:spacing w:after="0" w:line="240" w:lineRule="auto"/>
      </w:pPr>
      <w:r>
        <w:separator/>
      </w:r>
    </w:p>
  </w:footnote>
  <w:footnote w:type="continuationSeparator" w:id="0">
    <w:p w14:paraId="16BFAFFB" w14:textId="77777777" w:rsidR="00B02A4F" w:rsidRDefault="00B02A4F" w:rsidP="00573C0B">
      <w:pPr>
        <w:spacing w:after="0" w:line="240" w:lineRule="auto"/>
      </w:pPr>
      <w:r>
        <w:continuationSeparator/>
      </w:r>
    </w:p>
  </w:footnote>
  <w:footnote w:type="continuationNotice" w:id="1">
    <w:p w14:paraId="69C0B0DF" w14:textId="77777777" w:rsidR="00B02A4F" w:rsidRDefault="00B02A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1BB53" w14:textId="54E61A35" w:rsidR="00BD4B02" w:rsidRPr="00BD4B02" w:rsidRDefault="00BD4B02" w:rsidP="00BD4B02">
    <w:pPr>
      <w:pStyle w:val="Header"/>
      <w:jc w:val="right"/>
      <w:rPr>
        <w:color w:val="404040" w:themeColor="text1" w:themeTint="BF"/>
        <w:sz w:val="18"/>
        <w:szCs w:val="18"/>
      </w:rPr>
    </w:pPr>
    <w:r w:rsidRPr="00757E8A">
      <w:rPr>
        <w:color w:val="404040" w:themeColor="text1" w:themeTint="BF"/>
        <w:sz w:val="18"/>
        <w:szCs w:val="18"/>
      </w:rPr>
      <w:t>Last updated:</w:t>
    </w:r>
    <w:r>
      <w:rPr>
        <w:color w:val="404040" w:themeColor="text1" w:themeTint="BF"/>
        <w:sz w:val="18"/>
        <w:szCs w:val="18"/>
      </w:rPr>
      <w:t xml:space="preserve"> </w:t>
    </w:r>
    <w:r w:rsidR="0005311E">
      <w:rPr>
        <w:color w:val="404040" w:themeColor="text1" w:themeTint="BF"/>
        <w:sz w:val="18"/>
        <w:szCs w:val="18"/>
      </w:rPr>
      <w:t>March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27F77BCC" w:rsidR="00077F46" w:rsidRPr="00757E8A" w:rsidRDefault="00077F46" w:rsidP="00077F46">
    <w:pPr>
      <w:pStyle w:val="Header"/>
      <w:jc w:val="right"/>
      <w:rPr>
        <w:color w:val="404040" w:themeColor="text1" w:themeTint="BF"/>
        <w:sz w:val="18"/>
        <w:szCs w:val="18"/>
      </w:rPr>
    </w:pPr>
    <w:bookmarkStart w:id="10" w:name="_Hlk506197003"/>
    <w:bookmarkStart w:id="11" w:name="_Hlk506197004"/>
    <w:bookmarkStart w:id="12" w:name="_Hlk506197005"/>
    <w:bookmarkStart w:id="13" w:name="_Hlk516233502"/>
    <w:bookmarkStart w:id="14" w:name="_Hlk516233503"/>
    <w:bookmarkStart w:id="15" w:name="_Hlk516233504"/>
    <w:r w:rsidRPr="00757E8A">
      <w:rPr>
        <w:color w:val="404040" w:themeColor="text1" w:themeTint="BF"/>
        <w:sz w:val="18"/>
        <w:szCs w:val="18"/>
      </w:rPr>
      <w:t>Last updated:</w:t>
    </w:r>
    <w:bookmarkEnd w:id="10"/>
    <w:bookmarkEnd w:id="11"/>
    <w:bookmarkEnd w:id="12"/>
    <w:bookmarkEnd w:id="13"/>
    <w:bookmarkEnd w:id="14"/>
    <w:bookmarkEnd w:id="15"/>
    <w:r w:rsidR="00AF5552">
      <w:rPr>
        <w:color w:val="404040" w:themeColor="text1" w:themeTint="BF"/>
        <w:sz w:val="18"/>
        <w:szCs w:val="18"/>
      </w:rPr>
      <w:t xml:space="preserve"> </w:t>
    </w:r>
    <w:r w:rsidR="000B77FB">
      <w:rPr>
        <w:color w:val="404040" w:themeColor="text1" w:themeTint="BF"/>
        <w:sz w:val="18"/>
        <w:szCs w:val="18"/>
      </w:rPr>
      <w:t>September</w:t>
    </w:r>
    <w:r w:rsidR="00B329B0">
      <w:rPr>
        <w:color w:val="404040" w:themeColor="text1" w:themeTint="BF"/>
        <w:sz w:val="18"/>
        <w:szCs w:val="18"/>
      </w:rPr>
      <w:t xml:space="preserve"> 20</w:t>
    </w:r>
    <w:r w:rsidR="000B77FB">
      <w:rPr>
        <w:color w:val="404040" w:themeColor="text1" w:themeTint="BF"/>
        <w:sz w:val="18"/>
        <w:szCs w:val="18"/>
      </w:rPr>
      <w:t>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4pt;height:8.15pt" o:bullet="t">
        <v:imagedata r:id="rId1" o:title="Featured listfin"/>
      </v:shape>
    </w:pict>
  </w:numPicBullet>
  <w:abstractNum w:abstractNumId="0" w15:restartNumberingAfterBreak="0">
    <w:nsid w:val="00CD54AE"/>
    <w:multiLevelType w:val="hybridMultilevel"/>
    <w:tmpl w:val="11BCA406"/>
    <w:lvl w:ilvl="0" w:tplc="F00A6FE4">
      <w:start w:val="1"/>
      <w:numFmt w:val="decimal"/>
      <w:pStyle w:val="GHTOC2"/>
      <w:lvlText w:val="%1.1"/>
      <w:lvlJc w:val="left"/>
      <w:pPr>
        <w:ind w:left="852" w:hanging="284"/>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 w15:restartNumberingAfterBreak="0">
    <w:nsid w:val="0E131A1C"/>
    <w:multiLevelType w:val="hybridMultilevel"/>
    <w:tmpl w:val="890ADF2C"/>
    <w:lvl w:ilvl="0" w:tplc="275AEF78">
      <w:start w:val="1"/>
      <w:numFmt w:val="decimal"/>
      <w:pStyle w:val="GHNumbering"/>
      <w:lvlText w:val="%1."/>
      <w:lvlJc w:val="left"/>
      <w:pPr>
        <w:tabs>
          <w:tab w:val="num" w:pos="284"/>
        </w:tabs>
        <w:ind w:left="284" w:hanging="284"/>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1E47E56"/>
    <w:multiLevelType w:val="hybridMultilevel"/>
    <w:tmpl w:val="6054CF6A"/>
    <w:lvl w:ilvl="0" w:tplc="90F6C44E">
      <w:start w:val="1"/>
      <w:numFmt w:val="decimal"/>
      <w:pStyle w:val="GHTermsandConditionstext"/>
      <w:lvlText w:val="%1."/>
      <w:lvlJc w:val="left"/>
      <w:pPr>
        <w:tabs>
          <w:tab w:val="num" w:pos="454"/>
        </w:tabs>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139B1"/>
    <w:multiLevelType w:val="hybridMultilevel"/>
    <w:tmpl w:val="F200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E31B1"/>
    <w:multiLevelType w:val="hybridMultilevel"/>
    <w:tmpl w:val="1DBCF6D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E1726C"/>
    <w:multiLevelType w:val="hybridMultilevel"/>
    <w:tmpl w:val="EE4C7C74"/>
    <w:lvl w:ilvl="0" w:tplc="A2B46CF8">
      <w:start w:val="1"/>
      <w:numFmt w:val="lowerRoman"/>
      <w:pStyle w:val="GHNumerals"/>
      <w:lvlText w:val="(%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853C99"/>
    <w:multiLevelType w:val="hybridMultilevel"/>
    <w:tmpl w:val="FFBA0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B571ED"/>
    <w:multiLevelType w:val="hybridMultilevel"/>
    <w:tmpl w:val="06DC7730"/>
    <w:lvl w:ilvl="0" w:tplc="E508D160">
      <w:start w:val="1"/>
      <w:numFmt w:val="bullet"/>
      <w:pStyle w:val="GHBullet2"/>
      <w:lvlText w:val=""/>
      <w:lvlJc w:val="left"/>
      <w:pPr>
        <w:tabs>
          <w:tab w:val="num" w:pos="1497"/>
        </w:tabs>
        <w:ind w:left="1497" w:hanging="284"/>
      </w:pPr>
      <w:rPr>
        <w:rFonts w:ascii="Wingdings" w:hAnsi="Wingdings" w:hint="default"/>
        <w:sz w:val="10"/>
        <w:szCs w:val="10"/>
      </w:rPr>
    </w:lvl>
    <w:lvl w:ilvl="1" w:tplc="04090003" w:tentative="1">
      <w:start w:val="1"/>
      <w:numFmt w:val="bullet"/>
      <w:lvlText w:val="o"/>
      <w:lvlJc w:val="left"/>
      <w:pPr>
        <w:ind w:left="2086" w:hanging="360"/>
      </w:pPr>
      <w:rPr>
        <w:rFonts w:ascii="Courier New" w:hAnsi="Courier New" w:hint="default"/>
      </w:rPr>
    </w:lvl>
    <w:lvl w:ilvl="2" w:tplc="04090005" w:tentative="1">
      <w:start w:val="1"/>
      <w:numFmt w:val="bullet"/>
      <w:lvlText w:val=""/>
      <w:lvlJc w:val="left"/>
      <w:pPr>
        <w:ind w:left="2806" w:hanging="360"/>
      </w:pPr>
      <w:rPr>
        <w:rFonts w:ascii="Wingdings" w:hAnsi="Wingdings" w:hint="default"/>
      </w:rPr>
    </w:lvl>
    <w:lvl w:ilvl="3" w:tplc="04090001" w:tentative="1">
      <w:start w:val="1"/>
      <w:numFmt w:val="bullet"/>
      <w:lvlText w:val=""/>
      <w:lvlJc w:val="left"/>
      <w:pPr>
        <w:ind w:left="3526" w:hanging="360"/>
      </w:pPr>
      <w:rPr>
        <w:rFonts w:ascii="Symbol" w:hAnsi="Symbol" w:hint="default"/>
      </w:rPr>
    </w:lvl>
    <w:lvl w:ilvl="4" w:tplc="04090003" w:tentative="1">
      <w:start w:val="1"/>
      <w:numFmt w:val="bullet"/>
      <w:lvlText w:val="o"/>
      <w:lvlJc w:val="left"/>
      <w:pPr>
        <w:ind w:left="4246" w:hanging="360"/>
      </w:pPr>
      <w:rPr>
        <w:rFonts w:ascii="Courier New" w:hAnsi="Courier New" w:hint="default"/>
      </w:rPr>
    </w:lvl>
    <w:lvl w:ilvl="5" w:tplc="04090005" w:tentative="1">
      <w:start w:val="1"/>
      <w:numFmt w:val="bullet"/>
      <w:lvlText w:val=""/>
      <w:lvlJc w:val="left"/>
      <w:pPr>
        <w:ind w:left="4966" w:hanging="360"/>
      </w:pPr>
      <w:rPr>
        <w:rFonts w:ascii="Wingdings" w:hAnsi="Wingdings" w:hint="default"/>
      </w:rPr>
    </w:lvl>
    <w:lvl w:ilvl="6" w:tplc="04090001" w:tentative="1">
      <w:start w:val="1"/>
      <w:numFmt w:val="bullet"/>
      <w:lvlText w:val=""/>
      <w:lvlJc w:val="left"/>
      <w:pPr>
        <w:ind w:left="5686" w:hanging="360"/>
      </w:pPr>
      <w:rPr>
        <w:rFonts w:ascii="Symbol" w:hAnsi="Symbol" w:hint="default"/>
      </w:rPr>
    </w:lvl>
    <w:lvl w:ilvl="7" w:tplc="04090003" w:tentative="1">
      <w:start w:val="1"/>
      <w:numFmt w:val="bullet"/>
      <w:lvlText w:val="o"/>
      <w:lvlJc w:val="left"/>
      <w:pPr>
        <w:ind w:left="6406" w:hanging="360"/>
      </w:pPr>
      <w:rPr>
        <w:rFonts w:ascii="Courier New" w:hAnsi="Courier New" w:hint="default"/>
      </w:rPr>
    </w:lvl>
    <w:lvl w:ilvl="8" w:tplc="04090005" w:tentative="1">
      <w:start w:val="1"/>
      <w:numFmt w:val="bullet"/>
      <w:lvlText w:val=""/>
      <w:lvlJc w:val="left"/>
      <w:pPr>
        <w:ind w:left="7126" w:hanging="360"/>
      </w:pPr>
      <w:rPr>
        <w:rFonts w:ascii="Wingdings" w:hAnsi="Wingdings" w:hint="default"/>
      </w:rPr>
    </w:lvl>
  </w:abstractNum>
  <w:abstractNum w:abstractNumId="9" w15:restartNumberingAfterBreak="0">
    <w:nsid w:val="2D00134F"/>
    <w:multiLevelType w:val="hybridMultilevel"/>
    <w:tmpl w:val="09AE9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095819"/>
    <w:multiLevelType w:val="multilevel"/>
    <w:tmpl w:val="F06E7454"/>
    <w:lvl w:ilvl="0">
      <w:start w:val="1"/>
      <w:numFmt w:val="upperLetter"/>
      <w:pStyle w:val="Appendixlevel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F31365F"/>
    <w:multiLevelType w:val="hybridMultilevel"/>
    <w:tmpl w:val="43E2C3A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3" w15:restartNumberingAfterBreak="0">
    <w:nsid w:val="3B1B309D"/>
    <w:multiLevelType w:val="hybridMultilevel"/>
    <w:tmpl w:val="871CA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4A2BD4"/>
    <w:multiLevelType w:val="hybridMultilevel"/>
    <w:tmpl w:val="6520FC9A"/>
    <w:lvl w:ilvl="0" w:tplc="14C6F776">
      <w:start w:val="1"/>
      <w:numFmt w:val="bullet"/>
      <w:pStyle w:val="GHFeaturedlist"/>
      <w:lvlText w:val=""/>
      <w:lvlPicBulletId w:val="0"/>
      <w:lvlJc w:val="left"/>
      <w:pPr>
        <w:tabs>
          <w:tab w:val="num" w:pos="5105"/>
        </w:tabs>
        <w:ind w:left="5105" w:hanging="284"/>
      </w:pPr>
      <w:rPr>
        <w:rFonts w:ascii="Symbol" w:hAnsi="Symbol" w:hint="default"/>
      </w:rPr>
    </w:lvl>
    <w:lvl w:ilvl="1" w:tplc="B25268BA">
      <w:start w:val="1"/>
      <w:numFmt w:val="bullet"/>
      <w:lvlText w:val="o"/>
      <w:lvlJc w:val="left"/>
      <w:pPr>
        <w:ind w:left="1440" w:hanging="360"/>
      </w:pPr>
      <w:rPr>
        <w:rFonts w:ascii="Courier New" w:hAnsi="Courier New" w:hint="default"/>
      </w:rPr>
    </w:lvl>
    <w:lvl w:ilvl="2" w:tplc="04464938" w:tentative="1">
      <w:start w:val="1"/>
      <w:numFmt w:val="bullet"/>
      <w:lvlText w:val=""/>
      <w:lvlJc w:val="left"/>
      <w:pPr>
        <w:ind w:left="2160" w:hanging="360"/>
      </w:pPr>
      <w:rPr>
        <w:rFonts w:ascii="Wingdings" w:hAnsi="Wingdings" w:hint="default"/>
      </w:rPr>
    </w:lvl>
    <w:lvl w:ilvl="3" w:tplc="56149B08" w:tentative="1">
      <w:start w:val="1"/>
      <w:numFmt w:val="bullet"/>
      <w:lvlText w:val=""/>
      <w:lvlJc w:val="left"/>
      <w:pPr>
        <w:ind w:left="2880" w:hanging="360"/>
      </w:pPr>
      <w:rPr>
        <w:rFonts w:ascii="Symbol" w:hAnsi="Symbol" w:hint="default"/>
      </w:rPr>
    </w:lvl>
    <w:lvl w:ilvl="4" w:tplc="EBCC9F9E" w:tentative="1">
      <w:start w:val="1"/>
      <w:numFmt w:val="bullet"/>
      <w:lvlText w:val="o"/>
      <w:lvlJc w:val="left"/>
      <w:pPr>
        <w:ind w:left="3600" w:hanging="360"/>
      </w:pPr>
      <w:rPr>
        <w:rFonts w:ascii="Courier New" w:hAnsi="Courier New" w:hint="default"/>
      </w:rPr>
    </w:lvl>
    <w:lvl w:ilvl="5" w:tplc="EC041288" w:tentative="1">
      <w:start w:val="1"/>
      <w:numFmt w:val="bullet"/>
      <w:lvlText w:val=""/>
      <w:lvlJc w:val="left"/>
      <w:pPr>
        <w:ind w:left="4320" w:hanging="360"/>
      </w:pPr>
      <w:rPr>
        <w:rFonts w:ascii="Wingdings" w:hAnsi="Wingdings" w:hint="default"/>
      </w:rPr>
    </w:lvl>
    <w:lvl w:ilvl="6" w:tplc="6818DA3C" w:tentative="1">
      <w:start w:val="1"/>
      <w:numFmt w:val="bullet"/>
      <w:lvlText w:val=""/>
      <w:lvlJc w:val="left"/>
      <w:pPr>
        <w:ind w:left="5040" w:hanging="360"/>
      </w:pPr>
      <w:rPr>
        <w:rFonts w:ascii="Symbol" w:hAnsi="Symbol" w:hint="default"/>
      </w:rPr>
    </w:lvl>
    <w:lvl w:ilvl="7" w:tplc="EA80E482" w:tentative="1">
      <w:start w:val="1"/>
      <w:numFmt w:val="bullet"/>
      <w:lvlText w:val="o"/>
      <w:lvlJc w:val="left"/>
      <w:pPr>
        <w:ind w:left="5760" w:hanging="360"/>
      </w:pPr>
      <w:rPr>
        <w:rFonts w:ascii="Courier New" w:hAnsi="Courier New" w:hint="default"/>
      </w:rPr>
    </w:lvl>
    <w:lvl w:ilvl="8" w:tplc="E25216FC" w:tentative="1">
      <w:start w:val="1"/>
      <w:numFmt w:val="bullet"/>
      <w:lvlText w:val=""/>
      <w:lvlJc w:val="left"/>
      <w:pPr>
        <w:ind w:left="6480" w:hanging="360"/>
      </w:pPr>
      <w:rPr>
        <w:rFonts w:ascii="Wingdings" w:hAnsi="Wingdings" w:hint="default"/>
      </w:rPr>
    </w:lvl>
  </w:abstractNum>
  <w:abstractNum w:abstractNumId="15" w15:restartNumberingAfterBreak="0">
    <w:nsid w:val="3F9D1C63"/>
    <w:multiLevelType w:val="hybridMultilevel"/>
    <w:tmpl w:val="1D9072E8"/>
    <w:lvl w:ilvl="0" w:tplc="0409000F">
      <w:start w:val="1"/>
      <w:numFmt w:val="decimal"/>
      <w:lvlText w:val="%1."/>
      <w:lvlJc w:val="left"/>
      <w:pPr>
        <w:ind w:left="1287" w:hanging="360"/>
      </w:pPr>
      <w:rPr>
        <w:rFont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47D2207"/>
    <w:multiLevelType w:val="hybridMultilevel"/>
    <w:tmpl w:val="46766994"/>
    <w:lvl w:ilvl="0" w:tplc="04090001">
      <w:start w:val="1"/>
      <w:numFmt w:val="bullet"/>
      <w:lvlText w:val=""/>
      <w:lvlJc w:val="left"/>
      <w:pPr>
        <w:ind w:left="360" w:hanging="360"/>
      </w:pPr>
      <w:rPr>
        <w:rFonts w:ascii="Symbol" w:hAnsi="Symbol" w:hint="default"/>
      </w:rPr>
    </w:lvl>
    <w:lvl w:ilvl="1" w:tplc="982667E6">
      <w:numFmt w:val="bullet"/>
      <w:lvlText w:val="•"/>
      <w:lvlJc w:val="left"/>
      <w:pPr>
        <w:ind w:left="1440" w:hanging="720"/>
      </w:pPr>
      <w:rPr>
        <w:rFonts w:ascii="Calibri" w:eastAsia="MS PGothic" w:hAnsi="Calibri"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7806A3"/>
    <w:multiLevelType w:val="hybridMultilevel"/>
    <w:tmpl w:val="5734FFDA"/>
    <w:lvl w:ilvl="0" w:tplc="B00C5ED0">
      <w:start w:val="1"/>
      <w:numFmt w:val="bullet"/>
      <w:pStyle w:val="GHBullet1"/>
      <w:lvlText w:val="&gt;"/>
      <w:lvlJc w:val="left"/>
      <w:pPr>
        <w:tabs>
          <w:tab w:val="num" w:pos="851"/>
        </w:tabs>
        <w:ind w:left="851" w:hanging="284"/>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7E0D0D"/>
    <w:multiLevelType w:val="hybridMultilevel"/>
    <w:tmpl w:val="1D9072E8"/>
    <w:lvl w:ilvl="0" w:tplc="0409000F">
      <w:start w:val="1"/>
      <w:numFmt w:val="decimal"/>
      <w:lvlText w:val="%1."/>
      <w:lvlJc w:val="left"/>
      <w:pPr>
        <w:ind w:left="1287" w:hanging="360"/>
      </w:pPr>
      <w:rPr>
        <w:rFont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7650E00"/>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1428AD"/>
    <w:multiLevelType w:val="hybridMultilevel"/>
    <w:tmpl w:val="759434E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2" w15:restartNumberingAfterBreak="0">
    <w:nsid w:val="5ACB7722"/>
    <w:multiLevelType w:val="hybridMultilevel"/>
    <w:tmpl w:val="731096B4"/>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1134" w:hanging="360"/>
      </w:pPr>
      <w:rPr>
        <w:rFonts w:ascii="Courier New" w:hAnsi="Courier New" w:hint="default"/>
      </w:rPr>
    </w:lvl>
    <w:lvl w:ilvl="2" w:tplc="04090005" w:tentative="1">
      <w:start w:val="1"/>
      <w:numFmt w:val="bullet"/>
      <w:lvlText w:val=""/>
      <w:lvlJc w:val="left"/>
      <w:pPr>
        <w:ind w:left="1854" w:hanging="360"/>
      </w:pPr>
      <w:rPr>
        <w:rFonts w:ascii="Wingdings" w:hAnsi="Wingdings" w:hint="default"/>
      </w:rPr>
    </w:lvl>
    <w:lvl w:ilvl="3" w:tplc="04090001" w:tentative="1">
      <w:start w:val="1"/>
      <w:numFmt w:val="bullet"/>
      <w:lvlText w:val=""/>
      <w:lvlJc w:val="left"/>
      <w:pPr>
        <w:ind w:left="2574" w:hanging="360"/>
      </w:pPr>
      <w:rPr>
        <w:rFonts w:ascii="Symbol" w:hAnsi="Symbol" w:hint="default"/>
      </w:rPr>
    </w:lvl>
    <w:lvl w:ilvl="4" w:tplc="04090003" w:tentative="1">
      <w:start w:val="1"/>
      <w:numFmt w:val="bullet"/>
      <w:lvlText w:val="o"/>
      <w:lvlJc w:val="left"/>
      <w:pPr>
        <w:ind w:left="3294" w:hanging="360"/>
      </w:pPr>
      <w:rPr>
        <w:rFonts w:ascii="Courier New" w:hAnsi="Courier New" w:hint="default"/>
      </w:rPr>
    </w:lvl>
    <w:lvl w:ilvl="5" w:tplc="04090005" w:tentative="1">
      <w:start w:val="1"/>
      <w:numFmt w:val="bullet"/>
      <w:lvlText w:val=""/>
      <w:lvlJc w:val="left"/>
      <w:pPr>
        <w:ind w:left="4014" w:hanging="360"/>
      </w:pPr>
      <w:rPr>
        <w:rFonts w:ascii="Wingdings" w:hAnsi="Wingdings" w:hint="default"/>
      </w:rPr>
    </w:lvl>
    <w:lvl w:ilvl="6" w:tplc="04090001" w:tentative="1">
      <w:start w:val="1"/>
      <w:numFmt w:val="bullet"/>
      <w:lvlText w:val=""/>
      <w:lvlJc w:val="left"/>
      <w:pPr>
        <w:ind w:left="4734" w:hanging="360"/>
      </w:pPr>
      <w:rPr>
        <w:rFonts w:ascii="Symbol" w:hAnsi="Symbol" w:hint="default"/>
      </w:rPr>
    </w:lvl>
    <w:lvl w:ilvl="7" w:tplc="04090003" w:tentative="1">
      <w:start w:val="1"/>
      <w:numFmt w:val="bullet"/>
      <w:lvlText w:val="o"/>
      <w:lvlJc w:val="left"/>
      <w:pPr>
        <w:ind w:left="5454" w:hanging="360"/>
      </w:pPr>
      <w:rPr>
        <w:rFonts w:ascii="Courier New" w:hAnsi="Courier New" w:hint="default"/>
      </w:rPr>
    </w:lvl>
    <w:lvl w:ilvl="8" w:tplc="04090005" w:tentative="1">
      <w:start w:val="1"/>
      <w:numFmt w:val="bullet"/>
      <w:lvlText w:val=""/>
      <w:lvlJc w:val="left"/>
      <w:pPr>
        <w:ind w:left="6174" w:hanging="360"/>
      </w:pPr>
      <w:rPr>
        <w:rFonts w:ascii="Wingdings" w:hAnsi="Wingdings" w:hint="default"/>
      </w:rPr>
    </w:lvl>
  </w:abstractNum>
  <w:abstractNum w:abstractNumId="23" w15:restartNumberingAfterBreak="0">
    <w:nsid w:val="5ECB6C46"/>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5416BA"/>
    <w:multiLevelType w:val="hybridMultilevel"/>
    <w:tmpl w:val="60144D22"/>
    <w:lvl w:ilvl="0" w:tplc="66D442D8">
      <w:start w:val="1"/>
      <w:numFmt w:val="decimal"/>
      <w:pStyle w:val="NumPara"/>
      <w:lvlText w:val="%1."/>
      <w:lvlJc w:val="left"/>
      <w:pPr>
        <w:ind w:left="1211" w:hanging="360"/>
      </w:pPr>
      <w:rPr>
        <w:b w:val="0"/>
        <w:i w:val="0"/>
        <w:vertAlign w:val="baseline"/>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25" w15:restartNumberingAfterBreak="0">
    <w:nsid w:val="66CD12A7"/>
    <w:multiLevelType w:val="hybridMultilevel"/>
    <w:tmpl w:val="E6E20A38"/>
    <w:lvl w:ilvl="0" w:tplc="54825590">
      <w:start w:val="1"/>
      <w:numFmt w:val="decimal"/>
      <w:pStyle w:val="GHTOC3"/>
      <w:lvlText w:val="%1.1.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7B1D30"/>
    <w:multiLevelType w:val="multilevel"/>
    <w:tmpl w:val="F2727FEA"/>
    <w:lvl w:ilvl="0">
      <w:start w:val="1"/>
      <w:numFmt w:val="upperLetter"/>
      <w:lvlText w:val="%1"/>
      <w:lvlJc w:val="left"/>
      <w:pPr>
        <w:ind w:left="432" w:hanging="432"/>
      </w:pPr>
      <w:rPr>
        <w:rFonts w:hint="default"/>
      </w:rPr>
    </w:lvl>
    <w:lvl w:ilvl="1">
      <w:start w:val="1"/>
      <w:numFmt w:val="decimal"/>
      <w:pStyle w:val="Appendixlevel2"/>
      <w:lvlText w:val="%1.%2"/>
      <w:lvlJc w:val="left"/>
      <w:pPr>
        <w:ind w:left="576" w:hanging="576"/>
      </w:pPr>
      <w:rPr>
        <w:rFonts w:hint="default"/>
      </w:rPr>
    </w:lvl>
    <w:lvl w:ilvl="2">
      <w:start w:val="1"/>
      <w:numFmt w:val="decimal"/>
      <w:pStyle w:val="Appendixlevel3"/>
      <w:lvlText w:val="%1.%2.%3"/>
      <w:lvlJc w:val="left"/>
      <w:pPr>
        <w:ind w:left="720" w:hanging="720"/>
      </w:pPr>
      <w:rPr>
        <w:rFonts w:hint="default"/>
      </w:rPr>
    </w:lvl>
    <w:lvl w:ilvl="3">
      <w:start w:val="1"/>
      <w:numFmt w:val="decimal"/>
      <w:pStyle w:val="Appendixleve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125E08"/>
    <w:multiLevelType w:val="hybridMultilevel"/>
    <w:tmpl w:val="9864AFE2"/>
    <w:lvl w:ilvl="0" w:tplc="04090001">
      <w:start w:val="1"/>
      <w:numFmt w:val="bullet"/>
      <w:lvlText w:val=""/>
      <w:lvlJc w:val="left"/>
      <w:pPr>
        <w:tabs>
          <w:tab w:val="num" w:pos="1004"/>
        </w:tabs>
        <w:ind w:left="1004" w:hanging="284"/>
      </w:pPr>
      <w:rPr>
        <w:rFonts w:ascii="Symbol" w:hAnsi="Symbol" w:hint="default"/>
      </w:rPr>
    </w:lvl>
    <w:lvl w:ilvl="1" w:tplc="B25268BA">
      <w:start w:val="1"/>
      <w:numFmt w:val="bullet"/>
      <w:lvlText w:val="o"/>
      <w:lvlJc w:val="left"/>
      <w:pPr>
        <w:ind w:left="-2661" w:hanging="360"/>
      </w:pPr>
      <w:rPr>
        <w:rFonts w:ascii="Courier New" w:hAnsi="Courier New" w:hint="default"/>
      </w:rPr>
    </w:lvl>
    <w:lvl w:ilvl="2" w:tplc="04464938" w:tentative="1">
      <w:start w:val="1"/>
      <w:numFmt w:val="bullet"/>
      <w:lvlText w:val=""/>
      <w:lvlJc w:val="left"/>
      <w:pPr>
        <w:ind w:left="-1941" w:hanging="360"/>
      </w:pPr>
      <w:rPr>
        <w:rFonts w:ascii="Wingdings" w:hAnsi="Wingdings" w:hint="default"/>
      </w:rPr>
    </w:lvl>
    <w:lvl w:ilvl="3" w:tplc="04090001">
      <w:start w:val="1"/>
      <w:numFmt w:val="bullet"/>
      <w:lvlText w:val=""/>
      <w:lvlJc w:val="left"/>
      <w:pPr>
        <w:ind w:left="-1221" w:hanging="360"/>
      </w:pPr>
      <w:rPr>
        <w:rFonts w:ascii="Symbol" w:hAnsi="Symbol" w:hint="default"/>
      </w:rPr>
    </w:lvl>
    <w:lvl w:ilvl="4" w:tplc="EBCC9F9E" w:tentative="1">
      <w:start w:val="1"/>
      <w:numFmt w:val="bullet"/>
      <w:lvlText w:val="o"/>
      <w:lvlJc w:val="left"/>
      <w:pPr>
        <w:ind w:left="-501" w:hanging="360"/>
      </w:pPr>
      <w:rPr>
        <w:rFonts w:ascii="Courier New" w:hAnsi="Courier New" w:hint="default"/>
      </w:rPr>
    </w:lvl>
    <w:lvl w:ilvl="5" w:tplc="EC041288" w:tentative="1">
      <w:start w:val="1"/>
      <w:numFmt w:val="bullet"/>
      <w:lvlText w:val=""/>
      <w:lvlJc w:val="left"/>
      <w:pPr>
        <w:ind w:left="219" w:hanging="360"/>
      </w:pPr>
      <w:rPr>
        <w:rFonts w:ascii="Wingdings" w:hAnsi="Wingdings" w:hint="default"/>
      </w:rPr>
    </w:lvl>
    <w:lvl w:ilvl="6" w:tplc="6818DA3C" w:tentative="1">
      <w:start w:val="1"/>
      <w:numFmt w:val="bullet"/>
      <w:lvlText w:val=""/>
      <w:lvlJc w:val="left"/>
      <w:pPr>
        <w:ind w:left="939" w:hanging="360"/>
      </w:pPr>
      <w:rPr>
        <w:rFonts w:ascii="Symbol" w:hAnsi="Symbol" w:hint="default"/>
      </w:rPr>
    </w:lvl>
    <w:lvl w:ilvl="7" w:tplc="EA80E482" w:tentative="1">
      <w:start w:val="1"/>
      <w:numFmt w:val="bullet"/>
      <w:lvlText w:val="o"/>
      <w:lvlJc w:val="left"/>
      <w:pPr>
        <w:ind w:left="1659" w:hanging="360"/>
      </w:pPr>
      <w:rPr>
        <w:rFonts w:ascii="Courier New" w:hAnsi="Courier New" w:hint="default"/>
      </w:rPr>
    </w:lvl>
    <w:lvl w:ilvl="8" w:tplc="E25216FC" w:tentative="1">
      <w:start w:val="1"/>
      <w:numFmt w:val="bullet"/>
      <w:lvlText w:val=""/>
      <w:lvlJc w:val="left"/>
      <w:pPr>
        <w:ind w:left="2379" w:hanging="360"/>
      </w:pPr>
      <w:rPr>
        <w:rFonts w:ascii="Wingdings" w:hAnsi="Wingdings" w:hint="default"/>
      </w:rPr>
    </w:lvl>
  </w:abstractNum>
  <w:abstractNum w:abstractNumId="29" w15:restartNumberingAfterBreak="0">
    <w:nsid w:val="7B843CE8"/>
    <w:multiLevelType w:val="hybridMultilevel"/>
    <w:tmpl w:val="84EC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27"/>
  </w:num>
  <w:num w:numId="4">
    <w:abstractNumId w:val="10"/>
  </w:num>
  <w:num w:numId="5">
    <w:abstractNumId w:val="3"/>
  </w:num>
  <w:num w:numId="6">
    <w:abstractNumId w:val="16"/>
  </w:num>
  <w:num w:numId="7">
    <w:abstractNumId w:val="22"/>
  </w:num>
  <w:num w:numId="8">
    <w:abstractNumId w:val="29"/>
  </w:num>
  <w:num w:numId="9">
    <w:abstractNumId w:val="14"/>
  </w:num>
  <w:num w:numId="10">
    <w:abstractNumId w:val="15"/>
  </w:num>
  <w:num w:numId="11">
    <w:abstractNumId w:val="4"/>
  </w:num>
  <w:num w:numId="12">
    <w:abstractNumId w:val="19"/>
  </w:num>
  <w:num w:numId="13">
    <w:abstractNumId w:val="28"/>
  </w:num>
  <w:num w:numId="14">
    <w:abstractNumId w:val="9"/>
  </w:num>
  <w:num w:numId="15">
    <w:abstractNumId w:val="20"/>
  </w:num>
  <w:num w:numId="16">
    <w:abstractNumId w:val="23"/>
  </w:num>
  <w:num w:numId="17">
    <w:abstractNumId w:val="13"/>
  </w:num>
  <w:num w:numId="18">
    <w:abstractNumId w:val="8"/>
  </w:num>
  <w:num w:numId="19">
    <w:abstractNumId w:val="17"/>
  </w:num>
  <w:num w:numId="20">
    <w:abstractNumId w:val="1"/>
  </w:num>
  <w:num w:numId="21">
    <w:abstractNumId w:val="5"/>
  </w:num>
  <w:num w:numId="22">
    <w:abstractNumId w:val="0"/>
  </w:num>
  <w:num w:numId="23">
    <w:abstractNumId w:val="25"/>
  </w:num>
  <w:num w:numId="24">
    <w:abstractNumId w:val="2"/>
  </w:num>
  <w:num w:numId="25">
    <w:abstractNumId w:val="11"/>
  </w:num>
  <w:num w:numId="26">
    <w:abstractNumId w:val="26"/>
  </w:num>
  <w:num w:numId="27">
    <w:abstractNumId w:val="7"/>
  </w:num>
  <w:num w:numId="28">
    <w:abstractNumId w:val="12"/>
  </w:num>
  <w:num w:numId="29">
    <w:abstractNumId w:val="21"/>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311E"/>
    <w:rsid w:val="0005455A"/>
    <w:rsid w:val="00071F07"/>
    <w:rsid w:val="000771F5"/>
    <w:rsid w:val="0007759D"/>
    <w:rsid w:val="000777AB"/>
    <w:rsid w:val="00077F46"/>
    <w:rsid w:val="0008116F"/>
    <w:rsid w:val="00090FB1"/>
    <w:rsid w:val="00096186"/>
    <w:rsid w:val="000A72E4"/>
    <w:rsid w:val="000B0E2F"/>
    <w:rsid w:val="000B2430"/>
    <w:rsid w:val="000B77FB"/>
    <w:rsid w:val="000D0B30"/>
    <w:rsid w:val="000D444D"/>
    <w:rsid w:val="000E21F1"/>
    <w:rsid w:val="000F5F80"/>
    <w:rsid w:val="000F703E"/>
    <w:rsid w:val="001037EF"/>
    <w:rsid w:val="00120E86"/>
    <w:rsid w:val="00125DE9"/>
    <w:rsid w:val="001332E0"/>
    <w:rsid w:val="00134DE7"/>
    <w:rsid w:val="0015038B"/>
    <w:rsid w:val="00185354"/>
    <w:rsid w:val="001854DC"/>
    <w:rsid w:val="00186795"/>
    <w:rsid w:val="00194D09"/>
    <w:rsid w:val="001A7D5C"/>
    <w:rsid w:val="001B60AA"/>
    <w:rsid w:val="001B63C8"/>
    <w:rsid w:val="001C1972"/>
    <w:rsid w:val="001C421F"/>
    <w:rsid w:val="001D360D"/>
    <w:rsid w:val="0023367C"/>
    <w:rsid w:val="002419F0"/>
    <w:rsid w:val="00261A8D"/>
    <w:rsid w:val="00283C1C"/>
    <w:rsid w:val="00291A00"/>
    <w:rsid w:val="00291A11"/>
    <w:rsid w:val="002A315C"/>
    <w:rsid w:val="002A3342"/>
    <w:rsid w:val="002A64BA"/>
    <w:rsid w:val="002B4989"/>
    <w:rsid w:val="002C2510"/>
    <w:rsid w:val="002D714E"/>
    <w:rsid w:val="002E53C3"/>
    <w:rsid w:val="002F1468"/>
    <w:rsid w:val="002F399F"/>
    <w:rsid w:val="002F5F0C"/>
    <w:rsid w:val="003249C3"/>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74903"/>
    <w:rsid w:val="0048045A"/>
    <w:rsid w:val="004841B8"/>
    <w:rsid w:val="004930F2"/>
    <w:rsid w:val="004B0F1C"/>
    <w:rsid w:val="004E20A0"/>
    <w:rsid w:val="004F2EE6"/>
    <w:rsid w:val="00502DBA"/>
    <w:rsid w:val="005040C4"/>
    <w:rsid w:val="00507637"/>
    <w:rsid w:val="00507852"/>
    <w:rsid w:val="00514DBF"/>
    <w:rsid w:val="00527EE7"/>
    <w:rsid w:val="00550921"/>
    <w:rsid w:val="00563712"/>
    <w:rsid w:val="00573631"/>
    <w:rsid w:val="00573C0B"/>
    <w:rsid w:val="00576CFA"/>
    <w:rsid w:val="0058556D"/>
    <w:rsid w:val="00590CF1"/>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4B6"/>
    <w:rsid w:val="00700ACF"/>
    <w:rsid w:val="0070446E"/>
    <w:rsid w:val="007120CE"/>
    <w:rsid w:val="00712487"/>
    <w:rsid w:val="007530CA"/>
    <w:rsid w:val="00756D68"/>
    <w:rsid w:val="007578D9"/>
    <w:rsid w:val="00757E8A"/>
    <w:rsid w:val="00763E43"/>
    <w:rsid w:val="00764EB5"/>
    <w:rsid w:val="0076517E"/>
    <w:rsid w:val="0077679B"/>
    <w:rsid w:val="00777A95"/>
    <w:rsid w:val="00781662"/>
    <w:rsid w:val="00782416"/>
    <w:rsid w:val="0079360B"/>
    <w:rsid w:val="007B0364"/>
    <w:rsid w:val="007B2F79"/>
    <w:rsid w:val="007D0981"/>
    <w:rsid w:val="007D1929"/>
    <w:rsid w:val="007F1F87"/>
    <w:rsid w:val="00803CF1"/>
    <w:rsid w:val="008104BB"/>
    <w:rsid w:val="008249C5"/>
    <w:rsid w:val="008526F9"/>
    <w:rsid w:val="0085285E"/>
    <w:rsid w:val="00853023"/>
    <w:rsid w:val="008534D4"/>
    <w:rsid w:val="008553EA"/>
    <w:rsid w:val="00881E28"/>
    <w:rsid w:val="00894C4B"/>
    <w:rsid w:val="008A12E3"/>
    <w:rsid w:val="008A42FA"/>
    <w:rsid w:val="008B0AC7"/>
    <w:rsid w:val="008C2335"/>
    <w:rsid w:val="008C67C1"/>
    <w:rsid w:val="008D1D39"/>
    <w:rsid w:val="008E45D3"/>
    <w:rsid w:val="008F07D2"/>
    <w:rsid w:val="009046C4"/>
    <w:rsid w:val="00917851"/>
    <w:rsid w:val="00917F65"/>
    <w:rsid w:val="009311E7"/>
    <w:rsid w:val="00932645"/>
    <w:rsid w:val="00942694"/>
    <w:rsid w:val="009657DD"/>
    <w:rsid w:val="009975AC"/>
    <w:rsid w:val="009A7E3A"/>
    <w:rsid w:val="009B1265"/>
    <w:rsid w:val="009B4A15"/>
    <w:rsid w:val="009B5693"/>
    <w:rsid w:val="009C61A2"/>
    <w:rsid w:val="009C78E4"/>
    <w:rsid w:val="009D687E"/>
    <w:rsid w:val="009F182C"/>
    <w:rsid w:val="009F6DE7"/>
    <w:rsid w:val="00A10583"/>
    <w:rsid w:val="00A37FCB"/>
    <w:rsid w:val="00A54863"/>
    <w:rsid w:val="00A61D74"/>
    <w:rsid w:val="00A8688B"/>
    <w:rsid w:val="00A91163"/>
    <w:rsid w:val="00A9286F"/>
    <w:rsid w:val="00A96255"/>
    <w:rsid w:val="00AB285B"/>
    <w:rsid w:val="00AD3986"/>
    <w:rsid w:val="00AE1288"/>
    <w:rsid w:val="00AF5552"/>
    <w:rsid w:val="00AF5CB4"/>
    <w:rsid w:val="00AF5ED1"/>
    <w:rsid w:val="00AF71D6"/>
    <w:rsid w:val="00B00631"/>
    <w:rsid w:val="00B02A4F"/>
    <w:rsid w:val="00B20619"/>
    <w:rsid w:val="00B216EE"/>
    <w:rsid w:val="00B3175F"/>
    <w:rsid w:val="00B31E2C"/>
    <w:rsid w:val="00B329B0"/>
    <w:rsid w:val="00B402D8"/>
    <w:rsid w:val="00B4237C"/>
    <w:rsid w:val="00B42FE8"/>
    <w:rsid w:val="00B52AFD"/>
    <w:rsid w:val="00B54077"/>
    <w:rsid w:val="00B558FF"/>
    <w:rsid w:val="00B8087E"/>
    <w:rsid w:val="00BB646E"/>
    <w:rsid w:val="00BD1BA1"/>
    <w:rsid w:val="00BD4B02"/>
    <w:rsid w:val="00C019E5"/>
    <w:rsid w:val="00C0356F"/>
    <w:rsid w:val="00C35BC4"/>
    <w:rsid w:val="00C43F5B"/>
    <w:rsid w:val="00C471AB"/>
    <w:rsid w:val="00C82BC4"/>
    <w:rsid w:val="00C833CA"/>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540E"/>
    <w:rsid w:val="00E46D96"/>
    <w:rsid w:val="00E52CCA"/>
    <w:rsid w:val="00E66409"/>
    <w:rsid w:val="00E71628"/>
    <w:rsid w:val="00E81D5B"/>
    <w:rsid w:val="00E976B9"/>
    <w:rsid w:val="00EA05D3"/>
    <w:rsid w:val="00EB19AD"/>
    <w:rsid w:val="00EB2F31"/>
    <w:rsid w:val="00EB6493"/>
    <w:rsid w:val="00EC2915"/>
    <w:rsid w:val="00ED05A9"/>
    <w:rsid w:val="00ED1BA0"/>
    <w:rsid w:val="00F17257"/>
    <w:rsid w:val="00F34D24"/>
    <w:rsid w:val="00F37EC1"/>
    <w:rsid w:val="00F4130B"/>
    <w:rsid w:val="00F46B8D"/>
    <w:rsid w:val="00F50639"/>
    <w:rsid w:val="00F556A2"/>
    <w:rsid w:val="00F719A8"/>
    <w:rsid w:val="00F878B9"/>
    <w:rsid w:val="00FB24E8"/>
    <w:rsid w:val="00FB3B2B"/>
    <w:rsid w:val="00FC18DA"/>
    <w:rsid w:val="00FC3917"/>
    <w:rsid w:val="00FD514F"/>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qFormat/>
    <w:rsid w:val="00C82BC4"/>
    <w:pPr>
      <w:keepNext/>
      <w:keepLines/>
      <w:spacing w:before="240" w:after="120" w:line="360" w:lineRule="auto"/>
      <w:ind w:left="576" w:hanging="576"/>
      <w:jc w:val="both"/>
      <w:outlineLvl w:val="1"/>
    </w:pPr>
    <w:rPr>
      <w:rFonts w:ascii="Arial" w:eastAsia="MS PGothic" w:hAnsi="Arial" w:cs="Times New Roman"/>
      <w:b/>
      <w:bCs/>
      <w:color w:val="0D0D0D"/>
      <w:sz w:val="28"/>
      <w:szCs w:val="28"/>
      <w:lang w:eastAsia="en-US"/>
    </w:rPr>
  </w:style>
  <w:style w:type="paragraph" w:styleId="Heading3">
    <w:name w:val="heading 3"/>
    <w:basedOn w:val="Normal"/>
    <w:next w:val="Normal"/>
    <w:link w:val="Heading3Char"/>
    <w:uiPriority w:val="9"/>
    <w:qFormat/>
    <w:rsid w:val="00C82BC4"/>
    <w:pPr>
      <w:keepNext/>
      <w:keepLines/>
      <w:spacing w:before="200" w:after="180" w:line="360" w:lineRule="auto"/>
      <w:ind w:left="720" w:hanging="720"/>
      <w:jc w:val="both"/>
      <w:outlineLvl w:val="2"/>
    </w:pPr>
    <w:rPr>
      <w:rFonts w:ascii="Arial" w:eastAsia="MS PGothic" w:hAnsi="Arial" w:cs="Times New Roman"/>
      <w:i/>
      <w:iCs/>
      <w:color w:val="000000"/>
      <w:sz w:val="24"/>
      <w:szCs w:val="24"/>
      <w:lang w:eastAsia="en-US"/>
    </w:rPr>
  </w:style>
  <w:style w:type="paragraph" w:styleId="Heading4">
    <w:name w:val="heading 4"/>
    <w:basedOn w:val="Normal"/>
    <w:next w:val="Normal"/>
    <w:link w:val="Heading4Char"/>
    <w:uiPriority w:val="9"/>
    <w:qFormat/>
    <w:rsid w:val="00C82BC4"/>
    <w:pPr>
      <w:keepNext/>
      <w:keepLines/>
      <w:spacing w:before="200" w:after="180" w:line="360" w:lineRule="auto"/>
      <w:ind w:left="864" w:hanging="864"/>
      <w:jc w:val="both"/>
      <w:outlineLvl w:val="3"/>
    </w:pPr>
    <w:rPr>
      <w:rFonts w:ascii="Arial" w:eastAsia="MS PGothic" w:hAnsi="Arial" w:cs="Times New Roman"/>
      <w:b/>
      <w:color w:val="75A712"/>
      <w:lang w:eastAsia="en-US"/>
    </w:rPr>
  </w:style>
  <w:style w:type="paragraph" w:styleId="Heading5">
    <w:name w:val="heading 5"/>
    <w:basedOn w:val="Normal"/>
    <w:next w:val="Normal"/>
    <w:link w:val="Heading5Char"/>
    <w:uiPriority w:val="9"/>
    <w:qFormat/>
    <w:rsid w:val="00C82BC4"/>
    <w:pPr>
      <w:keepNext/>
      <w:keepLines/>
      <w:spacing w:before="200" w:after="180" w:line="360" w:lineRule="auto"/>
      <w:ind w:left="1008" w:hanging="1008"/>
      <w:jc w:val="both"/>
      <w:outlineLvl w:val="4"/>
    </w:pPr>
    <w:rPr>
      <w:rFonts w:ascii="Arial" w:eastAsia="MS PGothic" w:hAnsi="Arial" w:cs="Times New Roman"/>
      <w:color w:val="000000"/>
      <w:sz w:val="20"/>
      <w:szCs w:val="20"/>
      <w:lang w:eastAsia="en-US"/>
    </w:rPr>
  </w:style>
  <w:style w:type="paragraph" w:styleId="Heading6">
    <w:name w:val="heading 6"/>
    <w:basedOn w:val="Normal"/>
    <w:next w:val="Normal"/>
    <w:link w:val="Heading6Char"/>
    <w:uiPriority w:val="9"/>
    <w:qFormat/>
    <w:rsid w:val="00C82BC4"/>
    <w:pPr>
      <w:keepNext/>
      <w:keepLines/>
      <w:spacing w:before="200" w:after="180" w:line="360" w:lineRule="auto"/>
      <w:ind w:left="1152" w:hanging="1152"/>
      <w:jc w:val="both"/>
      <w:outlineLvl w:val="5"/>
    </w:pPr>
    <w:rPr>
      <w:rFonts w:ascii="Arial" w:eastAsia="MS PGothic" w:hAnsi="Arial" w:cs="Times New Roman"/>
      <w:i/>
      <w:iCs/>
      <w:color w:val="000000"/>
      <w:sz w:val="18"/>
      <w:szCs w:val="24"/>
      <w:lang w:eastAsia="en-US"/>
    </w:rPr>
  </w:style>
  <w:style w:type="paragraph" w:styleId="Heading7">
    <w:name w:val="heading 7"/>
    <w:basedOn w:val="Normal"/>
    <w:next w:val="Normal"/>
    <w:link w:val="Heading7Char"/>
    <w:uiPriority w:val="9"/>
    <w:semiHidden/>
    <w:unhideWhenUsed/>
    <w:qFormat/>
    <w:rsid w:val="00C82BC4"/>
    <w:pPr>
      <w:keepNext/>
      <w:keepLines/>
      <w:spacing w:before="200" w:after="0" w:line="360" w:lineRule="auto"/>
      <w:ind w:left="1296" w:hanging="1296"/>
      <w:jc w:val="both"/>
      <w:outlineLvl w:val="6"/>
    </w:pPr>
    <w:rPr>
      <w:rFonts w:asciiTheme="majorHAnsi" w:eastAsiaTheme="majorEastAsia" w:hAnsiTheme="majorHAnsi" w:cstheme="majorBidi"/>
      <w:i/>
      <w:iCs/>
      <w:color w:val="404040" w:themeColor="text1" w:themeTint="BF"/>
      <w:sz w:val="18"/>
      <w:szCs w:val="24"/>
      <w:lang w:eastAsia="en-US"/>
    </w:rPr>
  </w:style>
  <w:style w:type="paragraph" w:styleId="Heading8">
    <w:name w:val="heading 8"/>
    <w:basedOn w:val="Normal"/>
    <w:next w:val="Normal"/>
    <w:link w:val="Heading8Char"/>
    <w:uiPriority w:val="9"/>
    <w:semiHidden/>
    <w:unhideWhenUsed/>
    <w:qFormat/>
    <w:rsid w:val="00C82BC4"/>
    <w:pPr>
      <w:keepNext/>
      <w:keepLines/>
      <w:spacing w:before="200" w:after="0" w:line="360" w:lineRule="auto"/>
      <w:ind w:left="1440" w:hanging="1440"/>
      <w:jc w:val="both"/>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C82BC4"/>
    <w:pPr>
      <w:keepNext/>
      <w:keepLines/>
      <w:spacing w:before="200" w:after="0" w:line="360" w:lineRule="auto"/>
      <w:ind w:left="1584" w:hanging="1584"/>
      <w:jc w:val="both"/>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heading 2,List Paragraph 1"/>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qFormat/>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heading 2 Char,List Paragraph 1 Char"/>
    <w:link w:val="ListParagraph"/>
    <w:uiPriority w:val="34"/>
    <w:rsid w:val="0015038B"/>
  </w:style>
  <w:style w:type="paragraph" w:styleId="Caption">
    <w:name w:val="caption"/>
    <w:basedOn w:val="Normal"/>
    <w:next w:val="Normal"/>
    <w:uiPriority w:val="99"/>
    <w:qFormat/>
    <w:rsid w:val="007004B6"/>
    <w:pPr>
      <w:pBdr>
        <w:bottom w:val="single" w:sz="2" w:space="1" w:color="808080"/>
      </w:pBdr>
      <w:spacing w:after="180" w:line="360" w:lineRule="auto"/>
      <w:jc w:val="both"/>
    </w:pPr>
    <w:rPr>
      <w:rFonts w:ascii="Arial" w:eastAsia="Cambria" w:hAnsi="Arial" w:cs="Cambria"/>
      <w:b/>
      <w:bCs/>
      <w:caps/>
      <w:sz w:val="18"/>
      <w:szCs w:val="18"/>
      <w:lang w:eastAsia="ja-JP"/>
    </w:rPr>
  </w:style>
  <w:style w:type="paragraph" w:customStyle="1" w:styleId="GHTableBody">
    <w:name w:val="GH_Table Body"/>
    <w:basedOn w:val="Normal"/>
    <w:qFormat/>
    <w:rsid w:val="007004B6"/>
    <w:pPr>
      <w:spacing w:before="60" w:after="60" w:line="240" w:lineRule="auto"/>
    </w:pPr>
    <w:rPr>
      <w:rFonts w:ascii="Arial" w:eastAsia="MS PGothic" w:hAnsi="Arial" w:cs="Times New Roman"/>
      <w:sz w:val="16"/>
      <w:szCs w:val="24"/>
      <w:lang w:eastAsia="en-US"/>
    </w:rPr>
  </w:style>
  <w:style w:type="paragraph" w:customStyle="1" w:styleId="GHFeaturedlist">
    <w:name w:val="GH_Featured list"/>
    <w:basedOn w:val="Normal"/>
    <w:qFormat/>
    <w:rsid w:val="001037EF"/>
    <w:pPr>
      <w:numPr>
        <w:numId w:val="9"/>
      </w:numPr>
      <w:spacing w:after="180" w:line="360" w:lineRule="auto"/>
      <w:contextualSpacing/>
      <w:jc w:val="both"/>
    </w:pPr>
    <w:rPr>
      <w:rFonts w:ascii="Arial" w:eastAsia="MS PGothic" w:hAnsi="Arial" w:cs="Times New Roman"/>
      <w:sz w:val="18"/>
      <w:szCs w:val="24"/>
      <w:lang w:eastAsia="en-US"/>
    </w:rPr>
  </w:style>
  <w:style w:type="character" w:customStyle="1" w:styleId="Heading2Char">
    <w:name w:val="Heading 2 Char"/>
    <w:basedOn w:val="DefaultParagraphFont"/>
    <w:link w:val="Heading2"/>
    <w:uiPriority w:val="9"/>
    <w:rsid w:val="00C82BC4"/>
    <w:rPr>
      <w:rFonts w:ascii="Arial" w:eastAsia="MS PGothic" w:hAnsi="Arial" w:cs="Times New Roman"/>
      <w:b/>
      <w:bCs/>
      <w:color w:val="0D0D0D"/>
      <w:sz w:val="28"/>
      <w:szCs w:val="28"/>
      <w:lang w:eastAsia="en-US"/>
    </w:rPr>
  </w:style>
  <w:style w:type="character" w:customStyle="1" w:styleId="Heading3Char">
    <w:name w:val="Heading 3 Char"/>
    <w:basedOn w:val="DefaultParagraphFont"/>
    <w:link w:val="Heading3"/>
    <w:uiPriority w:val="9"/>
    <w:rsid w:val="00C82BC4"/>
    <w:rPr>
      <w:rFonts w:ascii="Arial" w:eastAsia="MS PGothic" w:hAnsi="Arial" w:cs="Times New Roman"/>
      <w:i/>
      <w:iCs/>
      <w:color w:val="000000"/>
      <w:sz w:val="24"/>
      <w:szCs w:val="24"/>
      <w:lang w:eastAsia="en-US"/>
    </w:rPr>
  </w:style>
  <w:style w:type="character" w:customStyle="1" w:styleId="Heading4Char">
    <w:name w:val="Heading 4 Char"/>
    <w:basedOn w:val="DefaultParagraphFont"/>
    <w:link w:val="Heading4"/>
    <w:uiPriority w:val="9"/>
    <w:rsid w:val="00C82BC4"/>
    <w:rPr>
      <w:rFonts w:ascii="Arial" w:eastAsia="MS PGothic" w:hAnsi="Arial" w:cs="Times New Roman"/>
      <w:b/>
      <w:color w:val="75A712"/>
      <w:lang w:eastAsia="en-US"/>
    </w:rPr>
  </w:style>
  <w:style w:type="character" w:customStyle="1" w:styleId="Heading5Char">
    <w:name w:val="Heading 5 Char"/>
    <w:basedOn w:val="DefaultParagraphFont"/>
    <w:link w:val="Heading5"/>
    <w:uiPriority w:val="9"/>
    <w:rsid w:val="00C82BC4"/>
    <w:rPr>
      <w:rFonts w:ascii="Arial" w:eastAsia="MS PGothic" w:hAnsi="Arial" w:cs="Times New Roman"/>
      <w:color w:val="000000"/>
      <w:sz w:val="20"/>
      <w:szCs w:val="20"/>
      <w:lang w:eastAsia="en-US"/>
    </w:rPr>
  </w:style>
  <w:style w:type="character" w:customStyle="1" w:styleId="Heading6Char">
    <w:name w:val="Heading 6 Char"/>
    <w:basedOn w:val="DefaultParagraphFont"/>
    <w:link w:val="Heading6"/>
    <w:uiPriority w:val="9"/>
    <w:rsid w:val="00C82BC4"/>
    <w:rPr>
      <w:rFonts w:ascii="Arial" w:eastAsia="MS PGothic" w:hAnsi="Arial" w:cs="Times New Roman"/>
      <w:i/>
      <w:iCs/>
      <w:color w:val="000000"/>
      <w:sz w:val="18"/>
      <w:szCs w:val="24"/>
      <w:lang w:eastAsia="en-US"/>
    </w:rPr>
  </w:style>
  <w:style w:type="character" w:customStyle="1" w:styleId="Heading7Char">
    <w:name w:val="Heading 7 Char"/>
    <w:basedOn w:val="DefaultParagraphFont"/>
    <w:link w:val="Heading7"/>
    <w:uiPriority w:val="9"/>
    <w:semiHidden/>
    <w:rsid w:val="00C82BC4"/>
    <w:rPr>
      <w:rFonts w:asciiTheme="majorHAnsi" w:eastAsiaTheme="majorEastAsia" w:hAnsiTheme="majorHAnsi" w:cstheme="majorBidi"/>
      <w:i/>
      <w:iCs/>
      <w:color w:val="404040" w:themeColor="text1" w:themeTint="BF"/>
      <w:sz w:val="18"/>
      <w:szCs w:val="24"/>
      <w:lang w:eastAsia="en-US"/>
    </w:rPr>
  </w:style>
  <w:style w:type="character" w:customStyle="1" w:styleId="Heading8Char">
    <w:name w:val="Heading 8 Char"/>
    <w:basedOn w:val="DefaultParagraphFont"/>
    <w:link w:val="Heading8"/>
    <w:uiPriority w:val="9"/>
    <w:semiHidden/>
    <w:rsid w:val="00C82BC4"/>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C82BC4"/>
    <w:rPr>
      <w:rFonts w:asciiTheme="majorHAnsi" w:eastAsiaTheme="majorEastAsia" w:hAnsiTheme="majorHAnsi" w:cstheme="majorBidi"/>
      <w:i/>
      <w:iCs/>
      <w:color w:val="404040" w:themeColor="text1" w:themeTint="BF"/>
      <w:sz w:val="20"/>
      <w:szCs w:val="20"/>
      <w:lang w:eastAsia="en-US"/>
    </w:rPr>
  </w:style>
  <w:style w:type="paragraph" w:styleId="FootnoteText">
    <w:name w:val="footnote text"/>
    <w:basedOn w:val="Normal"/>
    <w:link w:val="FootnoteTextChar"/>
    <w:uiPriority w:val="99"/>
    <w:unhideWhenUsed/>
    <w:qFormat/>
    <w:rsid w:val="00C82BC4"/>
    <w:pPr>
      <w:spacing w:after="0" w:line="240" w:lineRule="auto"/>
    </w:pPr>
    <w:rPr>
      <w:sz w:val="20"/>
      <w:szCs w:val="20"/>
    </w:rPr>
  </w:style>
  <w:style w:type="character" w:customStyle="1" w:styleId="FootnoteTextChar">
    <w:name w:val="Footnote Text Char"/>
    <w:basedOn w:val="DefaultParagraphFont"/>
    <w:link w:val="FootnoteText"/>
    <w:uiPriority w:val="99"/>
    <w:rsid w:val="00C82BC4"/>
    <w:rPr>
      <w:sz w:val="20"/>
      <w:szCs w:val="20"/>
    </w:rPr>
  </w:style>
  <w:style w:type="character" w:styleId="FootnoteReference">
    <w:name w:val="footnote reference"/>
    <w:aliases w:val="4_G,ftref,16 Point,Superscript 6 Point,Footnote text,fr,(NECG) Footnote Reference,Footnote + Arial,10 pt,Black,SUPERS,Ref,de nota al pie,Footnote Reference 2,BVI fnr,(Diplomarbeit FZ),註腳內容"/>
    <w:basedOn w:val="DefaultParagraphFont"/>
    <w:uiPriority w:val="99"/>
    <w:unhideWhenUsed/>
    <w:qFormat/>
    <w:rsid w:val="00C82BC4"/>
    <w:rPr>
      <w:vertAlign w:val="superscript"/>
    </w:rPr>
  </w:style>
  <w:style w:type="paragraph" w:customStyle="1" w:styleId="NormalNonumber">
    <w:name w:val="Normal_No_number"/>
    <w:basedOn w:val="Normal"/>
    <w:rsid w:val="00C82BC4"/>
    <w:pPr>
      <w:tabs>
        <w:tab w:val="left" w:pos="1247"/>
        <w:tab w:val="left" w:pos="1814"/>
        <w:tab w:val="left" w:pos="2381"/>
        <w:tab w:val="left" w:pos="2948"/>
        <w:tab w:val="left" w:pos="3515"/>
        <w:tab w:val="left" w:pos="4082"/>
      </w:tabs>
      <w:spacing w:after="120" w:line="240" w:lineRule="auto"/>
      <w:ind w:left="1247"/>
    </w:pPr>
    <w:rPr>
      <w:rFonts w:ascii="Times New Roman" w:eastAsia="Times New Roman" w:hAnsi="Times New Roman" w:cs="Times New Roman"/>
      <w:sz w:val="20"/>
      <w:szCs w:val="20"/>
      <w:lang w:val="fr-CA" w:eastAsia="en-US"/>
    </w:rPr>
  </w:style>
  <w:style w:type="paragraph" w:styleId="Revision">
    <w:name w:val="Revision"/>
    <w:hidden/>
    <w:uiPriority w:val="99"/>
    <w:semiHidden/>
    <w:rsid w:val="00C82BC4"/>
    <w:pPr>
      <w:spacing w:after="0" w:line="240" w:lineRule="auto"/>
    </w:pPr>
  </w:style>
  <w:style w:type="character" w:styleId="FollowedHyperlink">
    <w:name w:val="FollowedHyperlink"/>
    <w:basedOn w:val="DefaultParagraphFont"/>
    <w:uiPriority w:val="99"/>
    <w:semiHidden/>
    <w:unhideWhenUsed/>
    <w:rsid w:val="00C82BC4"/>
    <w:rPr>
      <w:color w:val="800080" w:themeColor="followedHyperlink"/>
      <w:u w:val="single"/>
    </w:rPr>
  </w:style>
  <w:style w:type="paragraph" w:customStyle="1" w:styleId="GHBodytextindent2">
    <w:name w:val="GH_Body text indent 2"/>
    <w:basedOn w:val="Normal"/>
    <w:qFormat/>
    <w:rsid w:val="00C82BC4"/>
    <w:pPr>
      <w:tabs>
        <w:tab w:val="left" w:pos="7180"/>
      </w:tabs>
      <w:spacing w:after="180" w:line="360" w:lineRule="auto"/>
      <w:ind w:left="1134"/>
      <w:jc w:val="both"/>
    </w:pPr>
    <w:rPr>
      <w:rFonts w:ascii="Arial" w:eastAsia="MS PGothic" w:hAnsi="Arial" w:cs="Times New Roman"/>
      <w:sz w:val="18"/>
      <w:szCs w:val="24"/>
      <w:lang w:eastAsia="en-US"/>
    </w:rPr>
  </w:style>
  <w:style w:type="paragraph" w:customStyle="1" w:styleId="GHTableH2">
    <w:name w:val="GH_Table H2"/>
    <w:qFormat/>
    <w:rsid w:val="00C82BC4"/>
    <w:pPr>
      <w:spacing w:before="120" w:after="120" w:line="240" w:lineRule="auto"/>
      <w:jc w:val="center"/>
    </w:pPr>
    <w:rPr>
      <w:rFonts w:ascii="Arial" w:eastAsia="MS PGothic" w:hAnsi="Arial" w:cs="Times New Roman"/>
      <w:b/>
      <w:bCs/>
      <w:sz w:val="16"/>
      <w:szCs w:val="16"/>
      <w:lang w:eastAsia="en-US"/>
    </w:rPr>
  </w:style>
  <w:style w:type="paragraph" w:customStyle="1" w:styleId="GHIntrotext">
    <w:name w:val="GH_Intro text"/>
    <w:basedOn w:val="Normal"/>
    <w:qFormat/>
    <w:rsid w:val="00C82BC4"/>
    <w:pPr>
      <w:spacing w:before="100" w:beforeAutospacing="1" w:after="180" w:line="360" w:lineRule="auto"/>
      <w:ind w:left="57"/>
      <w:jc w:val="both"/>
    </w:pPr>
    <w:rPr>
      <w:rFonts w:ascii="Arial" w:eastAsia="MS PGothic" w:hAnsi="Arial" w:cs="Times New Roman"/>
      <w:szCs w:val="24"/>
      <w:lang w:eastAsia="en-US"/>
    </w:rPr>
  </w:style>
  <w:style w:type="paragraph" w:customStyle="1" w:styleId="GHDisclaimertext">
    <w:name w:val="GH_Disclaimer text"/>
    <w:basedOn w:val="Normal"/>
    <w:qFormat/>
    <w:rsid w:val="00C82BC4"/>
    <w:pPr>
      <w:spacing w:after="180" w:line="360" w:lineRule="auto"/>
      <w:jc w:val="both"/>
    </w:pPr>
    <w:rPr>
      <w:rFonts w:ascii="Arial" w:eastAsia="MS PGothic" w:hAnsi="Arial" w:cs="Times New Roman"/>
      <w:sz w:val="12"/>
      <w:szCs w:val="24"/>
      <w:lang w:eastAsia="en-US"/>
    </w:rPr>
  </w:style>
  <w:style w:type="paragraph" w:customStyle="1" w:styleId="GHNumbering">
    <w:name w:val="GH_Numbering"/>
    <w:basedOn w:val="GHBullet2"/>
    <w:qFormat/>
    <w:rsid w:val="00C82BC4"/>
    <w:pPr>
      <w:numPr>
        <w:numId w:val="20"/>
      </w:numPr>
      <w:ind w:left="851"/>
    </w:pPr>
  </w:style>
  <w:style w:type="paragraph" w:customStyle="1" w:styleId="GHBullet2">
    <w:name w:val="GH_Bullet 2"/>
    <w:basedOn w:val="Normal"/>
    <w:qFormat/>
    <w:rsid w:val="00C82BC4"/>
    <w:pPr>
      <w:numPr>
        <w:numId w:val="18"/>
      </w:numPr>
      <w:tabs>
        <w:tab w:val="left" w:pos="1213"/>
      </w:tabs>
      <w:spacing w:after="180" w:line="360" w:lineRule="auto"/>
      <w:contextualSpacing/>
      <w:jc w:val="both"/>
    </w:pPr>
    <w:rPr>
      <w:rFonts w:ascii="Arial" w:eastAsia="MS PGothic" w:hAnsi="Arial" w:cs="Times New Roman"/>
      <w:sz w:val="18"/>
      <w:szCs w:val="24"/>
      <w:lang w:eastAsia="en-US"/>
    </w:rPr>
  </w:style>
  <w:style w:type="paragraph" w:customStyle="1" w:styleId="GHBullet1">
    <w:name w:val="GH_Bullet 1"/>
    <w:basedOn w:val="Normal"/>
    <w:qFormat/>
    <w:rsid w:val="00C82BC4"/>
    <w:pPr>
      <w:numPr>
        <w:numId w:val="19"/>
      </w:numPr>
      <w:spacing w:after="180" w:line="360" w:lineRule="auto"/>
      <w:jc w:val="both"/>
    </w:pPr>
    <w:rPr>
      <w:rFonts w:ascii="Arial" w:eastAsia="MS PGothic" w:hAnsi="Arial" w:cs="Times New Roman"/>
      <w:sz w:val="18"/>
      <w:szCs w:val="24"/>
      <w:lang w:eastAsia="en-US"/>
    </w:rPr>
  </w:style>
  <w:style w:type="character" w:styleId="SubtleEmphasis">
    <w:name w:val="Subtle Emphasis"/>
    <w:uiPriority w:val="19"/>
    <w:rsid w:val="00C82BC4"/>
    <w:rPr>
      <w:rFonts w:ascii="Arial" w:hAnsi="Arial"/>
      <w:i/>
      <w:iCs/>
      <w:color w:val="808080"/>
      <w:sz w:val="18"/>
    </w:rPr>
  </w:style>
  <w:style w:type="paragraph" w:customStyle="1" w:styleId="GHSubtitle">
    <w:name w:val="GH_Subtitle"/>
    <w:basedOn w:val="Normal"/>
    <w:next w:val="Normal"/>
    <w:qFormat/>
    <w:rsid w:val="00C82BC4"/>
    <w:pPr>
      <w:spacing w:after="180" w:line="360" w:lineRule="auto"/>
      <w:jc w:val="both"/>
    </w:pPr>
    <w:rPr>
      <w:rFonts w:ascii="Arial" w:eastAsia="MS PGothic" w:hAnsi="Arial" w:cs="Times New Roman"/>
      <w:b/>
      <w:color w:val="75A712"/>
      <w:sz w:val="28"/>
      <w:szCs w:val="28"/>
      <w:lang w:eastAsia="en-US"/>
    </w:rPr>
  </w:style>
  <w:style w:type="character" w:styleId="Strong">
    <w:name w:val="Strong"/>
    <w:uiPriority w:val="22"/>
    <w:qFormat/>
    <w:rsid w:val="00C82BC4"/>
    <w:rPr>
      <w:rFonts w:ascii="Arial" w:hAnsi="Arial"/>
      <w:b/>
      <w:bCs/>
      <w:sz w:val="18"/>
    </w:rPr>
  </w:style>
  <w:style w:type="character" w:styleId="Emphasis">
    <w:name w:val="Emphasis"/>
    <w:aliases w:val="GH"/>
    <w:uiPriority w:val="20"/>
    <w:qFormat/>
    <w:rsid w:val="00C82BC4"/>
    <w:rPr>
      <w:rFonts w:ascii="Arial" w:hAnsi="Arial"/>
      <w:i/>
      <w:iCs/>
      <w:sz w:val="18"/>
    </w:rPr>
  </w:style>
  <w:style w:type="character" w:styleId="IntenseEmphasis">
    <w:name w:val="Intense Emphasis"/>
    <w:uiPriority w:val="21"/>
    <w:rsid w:val="00C82BC4"/>
    <w:rPr>
      <w:rFonts w:ascii="Arial" w:hAnsi="Arial"/>
      <w:b/>
      <w:bCs/>
      <w:i/>
      <w:iCs/>
      <w:color w:val="000000"/>
      <w:sz w:val="18"/>
      <w:szCs w:val="18"/>
    </w:rPr>
  </w:style>
  <w:style w:type="table" w:customStyle="1" w:styleId="GHTableStyle3">
    <w:name w:val="GH_Table Style 3"/>
    <w:basedOn w:val="TableNormal"/>
    <w:uiPriority w:val="99"/>
    <w:rsid w:val="00C82BC4"/>
    <w:pPr>
      <w:spacing w:before="120" w:after="120" w:line="240" w:lineRule="auto"/>
    </w:pPr>
    <w:rPr>
      <w:rFonts w:ascii="Arial" w:eastAsia="MS PGothic" w:hAnsi="Arial" w:cs="Times New Roman"/>
      <w:sz w:val="18"/>
      <w:szCs w:val="24"/>
      <w:lang w:eastAsia="en-US"/>
    </w:rPr>
    <w:tblPr/>
    <w:tcPr>
      <w:shd w:val="clear" w:color="auto" w:fill="D9D9D9"/>
    </w:tcPr>
  </w:style>
  <w:style w:type="paragraph" w:customStyle="1" w:styleId="GHBodytextindent">
    <w:name w:val="GH_Body text indent"/>
    <w:basedOn w:val="Normal"/>
    <w:qFormat/>
    <w:rsid w:val="00C82BC4"/>
    <w:pPr>
      <w:tabs>
        <w:tab w:val="left" w:pos="7180"/>
      </w:tabs>
      <w:spacing w:after="180" w:line="360" w:lineRule="auto"/>
      <w:ind w:left="567"/>
      <w:jc w:val="both"/>
    </w:pPr>
    <w:rPr>
      <w:rFonts w:ascii="Arial" w:eastAsia="MS PGothic" w:hAnsi="Arial" w:cs="Times New Roman"/>
      <w:sz w:val="18"/>
      <w:szCs w:val="24"/>
      <w:lang w:eastAsia="en-US"/>
    </w:rPr>
  </w:style>
  <w:style w:type="paragraph" w:customStyle="1" w:styleId="GHNumerals">
    <w:name w:val="GH_Numerals"/>
    <w:basedOn w:val="Normal"/>
    <w:qFormat/>
    <w:rsid w:val="00C82BC4"/>
    <w:pPr>
      <w:numPr>
        <w:numId w:val="21"/>
      </w:numPr>
      <w:tabs>
        <w:tab w:val="left" w:pos="284"/>
        <w:tab w:val="left" w:pos="7180"/>
      </w:tabs>
      <w:spacing w:after="180" w:line="360" w:lineRule="auto"/>
      <w:ind w:left="1497" w:hanging="284"/>
      <w:contextualSpacing/>
      <w:jc w:val="both"/>
    </w:pPr>
    <w:rPr>
      <w:rFonts w:ascii="Arial" w:eastAsia="MS PGothic" w:hAnsi="Arial" w:cs="Times New Roman"/>
      <w:sz w:val="18"/>
      <w:szCs w:val="24"/>
      <w:lang w:eastAsia="en-US"/>
    </w:rPr>
  </w:style>
  <w:style w:type="character" w:styleId="PageNumber">
    <w:name w:val="page number"/>
    <w:basedOn w:val="DefaultParagraphFont"/>
    <w:uiPriority w:val="99"/>
    <w:unhideWhenUsed/>
    <w:rsid w:val="00C82BC4"/>
    <w:rPr>
      <w:rFonts w:ascii="Arial" w:hAnsi="Arial"/>
      <w:sz w:val="14"/>
    </w:rPr>
  </w:style>
  <w:style w:type="paragraph" w:customStyle="1" w:styleId="GHTableH1">
    <w:name w:val="GH_Table H1"/>
    <w:basedOn w:val="Normal"/>
    <w:qFormat/>
    <w:rsid w:val="00C82BC4"/>
    <w:pPr>
      <w:keepNext/>
      <w:spacing w:before="60" w:after="60" w:line="240" w:lineRule="auto"/>
    </w:pPr>
    <w:rPr>
      <w:rFonts w:ascii="Arial" w:eastAsia="Calibri" w:hAnsi="Arial" w:cs="Calibri"/>
      <w:b/>
      <w:bCs/>
      <w:sz w:val="16"/>
      <w:szCs w:val="18"/>
      <w:lang w:eastAsia="ja-JP"/>
    </w:rPr>
  </w:style>
  <w:style w:type="paragraph" w:styleId="NormalIndent">
    <w:name w:val="Normal Indent"/>
    <w:basedOn w:val="Normal"/>
    <w:uiPriority w:val="99"/>
    <w:semiHidden/>
    <w:unhideWhenUsed/>
    <w:rsid w:val="00C82BC4"/>
    <w:pPr>
      <w:spacing w:after="180" w:line="360" w:lineRule="auto"/>
      <w:ind w:left="720"/>
      <w:jc w:val="both"/>
    </w:pPr>
    <w:rPr>
      <w:rFonts w:ascii="Arial" w:eastAsia="MS PGothic" w:hAnsi="Arial" w:cs="Times New Roman"/>
      <w:sz w:val="18"/>
      <w:szCs w:val="24"/>
      <w:lang w:eastAsia="en-US"/>
    </w:rPr>
  </w:style>
  <w:style w:type="table" w:customStyle="1" w:styleId="GHTableStyle1">
    <w:name w:val="GH_Table Style 1"/>
    <w:basedOn w:val="TableNormal"/>
    <w:uiPriority w:val="99"/>
    <w:rsid w:val="00C82BC4"/>
    <w:pPr>
      <w:spacing w:before="60" w:after="60" w:line="240" w:lineRule="auto"/>
    </w:pPr>
    <w:rPr>
      <w:rFonts w:ascii="Arial" w:eastAsia="MS PGothic" w:hAnsi="Arial" w:cs="Times New Roman"/>
      <w:sz w:val="16"/>
      <w:szCs w:val="24"/>
      <w:lang w:eastAsia="en-US"/>
    </w:rPr>
    <w:tblPr>
      <w:tblStyleRowBandSize w:val="1"/>
      <w:tblBorders>
        <w:top w:val="single" w:sz="2" w:space="0" w:color="A6A6A6"/>
        <w:left w:val="single" w:sz="2" w:space="0" w:color="A6A6A6"/>
        <w:bottom w:val="single" w:sz="48" w:space="0" w:color="75A712"/>
        <w:right w:val="single" w:sz="2" w:space="0" w:color="A6A6A6"/>
        <w:insideH w:val="single" w:sz="2" w:space="0" w:color="A6A6A6"/>
        <w:insideV w:val="single" w:sz="2" w:space="0" w:color="A6A6A6"/>
      </w:tblBorders>
    </w:tblPr>
    <w:tblStylePr w:type="firstRow">
      <w:pPr>
        <w:jc w:val="center"/>
      </w:pPr>
      <w:rPr>
        <w:rFonts w:ascii="Arial" w:hAnsi="Arial"/>
        <w:b w:val="0"/>
        <w:color w:val="FFFFFF"/>
        <w:sz w:val="16"/>
      </w:rPr>
      <w:tblPr/>
      <w:tcPr>
        <w:tcBorders>
          <w:top w:val="single" w:sz="48" w:space="0" w:color="75A712"/>
          <w:left w:val="single" w:sz="2" w:space="0" w:color="808080"/>
          <w:bottom w:val="nil"/>
          <w:right w:val="nil"/>
          <w:insideH w:val="nil"/>
          <w:insideV w:val="single" w:sz="2" w:space="0" w:color="FFFFFF"/>
          <w:tl2br w:val="nil"/>
          <w:tr2bl w:val="nil"/>
        </w:tcBorders>
        <w:shd w:val="clear" w:color="auto" w:fill="808080"/>
      </w:tcPr>
    </w:tblStylePr>
    <w:tblStylePr w:type="lastRow">
      <w:tblPr/>
      <w:tcPr>
        <w:shd w:val="clear" w:color="auto" w:fill="D9D9D9"/>
      </w:tcPr>
    </w:tblStylePr>
    <w:tblStylePr w:type="band2Horz">
      <w:rPr>
        <w:color w:val="000000"/>
      </w:rPr>
    </w:tblStylePr>
  </w:style>
  <w:style w:type="paragraph" w:customStyle="1" w:styleId="GHFigure">
    <w:name w:val="GH_Figure"/>
    <w:basedOn w:val="Caption"/>
    <w:next w:val="Normal"/>
    <w:rsid w:val="00C82BC4"/>
    <w:pPr>
      <w:pBdr>
        <w:top w:val="single" w:sz="2" w:space="1" w:color="808080"/>
      </w:pBdr>
      <w:spacing w:before="60"/>
      <w:jc w:val="left"/>
    </w:pPr>
    <w:rPr>
      <w:rFonts w:eastAsia="Calibri"/>
    </w:rPr>
  </w:style>
  <w:style w:type="paragraph" w:styleId="Title">
    <w:name w:val="Title"/>
    <w:basedOn w:val="Normal"/>
    <w:next w:val="Normal"/>
    <w:link w:val="TitleChar"/>
    <w:uiPriority w:val="10"/>
    <w:rsid w:val="00C82BC4"/>
    <w:pPr>
      <w:spacing w:before="120" w:after="120" w:line="240" w:lineRule="auto"/>
      <w:ind w:left="1134" w:hanging="567"/>
      <w:contextualSpacing/>
      <w:jc w:val="both"/>
    </w:pPr>
    <w:rPr>
      <w:rFonts w:ascii="Arial" w:eastAsia="MS PGothic" w:hAnsi="Arial" w:cs="Times New Roman"/>
      <w:b/>
      <w:bCs/>
      <w:caps/>
      <w:color w:val="75A712"/>
      <w:spacing w:val="5"/>
      <w:kern w:val="28"/>
      <w:sz w:val="34"/>
      <w:szCs w:val="28"/>
      <w:lang w:eastAsia="en-US"/>
    </w:rPr>
  </w:style>
  <w:style w:type="character" w:customStyle="1" w:styleId="TitleChar">
    <w:name w:val="Title Char"/>
    <w:basedOn w:val="DefaultParagraphFont"/>
    <w:link w:val="Title"/>
    <w:uiPriority w:val="10"/>
    <w:rsid w:val="00C82BC4"/>
    <w:rPr>
      <w:rFonts w:ascii="Arial" w:eastAsia="MS PGothic" w:hAnsi="Arial" w:cs="Times New Roman"/>
      <w:b/>
      <w:bCs/>
      <w:caps/>
      <w:color w:val="75A712"/>
      <w:spacing w:val="5"/>
      <w:kern w:val="28"/>
      <w:sz w:val="34"/>
      <w:szCs w:val="28"/>
      <w:lang w:eastAsia="en-US"/>
    </w:rPr>
  </w:style>
  <w:style w:type="paragraph" w:customStyle="1" w:styleId="GHTermsandconditions">
    <w:name w:val="GH_Terms and conditions"/>
    <w:basedOn w:val="Normal"/>
    <w:next w:val="GHTermsandConditionstext"/>
    <w:rsid w:val="00C82BC4"/>
    <w:pPr>
      <w:pBdr>
        <w:bottom w:val="single" w:sz="8" w:space="1" w:color="75A712"/>
      </w:pBdr>
      <w:spacing w:after="180" w:line="240" w:lineRule="auto"/>
      <w:ind w:left="567" w:hanging="567"/>
      <w:jc w:val="both"/>
    </w:pPr>
    <w:rPr>
      <w:rFonts w:ascii="Arial" w:eastAsia="MS PGothic" w:hAnsi="Arial" w:cs="Times New Roman"/>
      <w:color w:val="75A712"/>
      <w:sz w:val="28"/>
      <w:szCs w:val="24"/>
      <w:lang w:eastAsia="en-US"/>
    </w:rPr>
  </w:style>
  <w:style w:type="paragraph" w:customStyle="1" w:styleId="GHTermsandConditionstext">
    <w:name w:val="GH_Terms and Conditions text"/>
    <w:basedOn w:val="Normal"/>
    <w:qFormat/>
    <w:rsid w:val="00C82BC4"/>
    <w:pPr>
      <w:numPr>
        <w:numId w:val="24"/>
      </w:numPr>
      <w:spacing w:after="160" w:line="240" w:lineRule="auto"/>
      <w:jc w:val="both"/>
    </w:pPr>
    <w:rPr>
      <w:rFonts w:ascii="Arial" w:eastAsia="MS PGothic" w:hAnsi="Arial" w:cs="Times New Roman"/>
      <w:sz w:val="15"/>
      <w:szCs w:val="16"/>
      <w:lang w:eastAsia="en-US"/>
    </w:rPr>
  </w:style>
  <w:style w:type="table" w:customStyle="1" w:styleId="GHTableStyle2">
    <w:name w:val="GH_Table Style 2"/>
    <w:basedOn w:val="TableNormal"/>
    <w:uiPriority w:val="99"/>
    <w:rsid w:val="00C82BC4"/>
    <w:pPr>
      <w:spacing w:before="20" w:after="20" w:line="220" w:lineRule="atLeast"/>
      <w:ind w:left="284" w:right="284"/>
    </w:pPr>
    <w:rPr>
      <w:rFonts w:ascii="Arial" w:eastAsia="MS PGothic" w:hAnsi="Arial" w:cs="Times New Roman"/>
      <w:i/>
      <w:sz w:val="18"/>
      <w:szCs w:val="24"/>
      <w:lang w:eastAsia="en-US"/>
    </w:rPr>
    <w:tblPr>
      <w:tblBorders>
        <w:top w:val="single" w:sz="48" w:space="0" w:color="75A712"/>
        <w:bottom w:val="single" w:sz="48" w:space="0" w:color="75A712"/>
      </w:tblBorders>
    </w:tblPr>
    <w:tcPr>
      <w:shd w:val="clear" w:color="auto" w:fill="F2F2F2"/>
    </w:tcPr>
  </w:style>
  <w:style w:type="paragraph" w:customStyle="1" w:styleId="GHTableheading2">
    <w:name w:val="GH_Table heading 2"/>
    <w:basedOn w:val="Normal"/>
    <w:rsid w:val="00C82BC4"/>
    <w:pPr>
      <w:pBdr>
        <w:bottom w:val="single" w:sz="2" w:space="1" w:color="808080"/>
      </w:pBdr>
      <w:spacing w:before="120" w:after="120" w:line="360" w:lineRule="auto"/>
      <w:ind w:left="284" w:right="284"/>
      <w:jc w:val="right"/>
    </w:pPr>
    <w:rPr>
      <w:rFonts w:ascii="Arial" w:eastAsia="MS PGothic" w:hAnsi="Arial" w:cs="Times New Roman"/>
      <w:b/>
      <w:bCs/>
      <w:caps/>
      <w:sz w:val="18"/>
      <w:szCs w:val="18"/>
      <w:lang w:eastAsia="en-US"/>
    </w:rPr>
  </w:style>
  <w:style w:type="paragraph" w:customStyle="1" w:styleId="GHHighlight">
    <w:name w:val="GH_Highlight"/>
    <w:basedOn w:val="Normal"/>
    <w:qFormat/>
    <w:rsid w:val="00C82BC4"/>
    <w:pPr>
      <w:shd w:val="clear" w:color="auto" w:fill="C1E68D"/>
      <w:spacing w:after="180" w:line="360" w:lineRule="auto"/>
      <w:jc w:val="both"/>
    </w:pPr>
    <w:rPr>
      <w:rFonts w:ascii="Arial" w:eastAsia="MS PGothic" w:hAnsi="Arial" w:cs="Times New Roman"/>
      <w:sz w:val="18"/>
      <w:szCs w:val="24"/>
      <w:lang w:eastAsia="en-US"/>
    </w:rPr>
  </w:style>
  <w:style w:type="paragraph" w:styleId="TOC4">
    <w:name w:val="toc 4"/>
    <w:basedOn w:val="Normal"/>
    <w:next w:val="Normal"/>
    <w:autoRedefine/>
    <w:uiPriority w:val="39"/>
    <w:semiHidden/>
    <w:unhideWhenUsed/>
    <w:rsid w:val="00C82BC4"/>
    <w:pPr>
      <w:spacing w:after="180" w:line="360" w:lineRule="auto"/>
      <w:jc w:val="both"/>
    </w:pPr>
    <w:rPr>
      <w:rFonts w:ascii="Calibri" w:eastAsia="MS PGothic" w:hAnsi="Calibri" w:cs="Times New Roman"/>
      <w:lang w:eastAsia="en-US"/>
    </w:rPr>
  </w:style>
  <w:style w:type="paragraph" w:styleId="TOC5">
    <w:name w:val="toc 5"/>
    <w:basedOn w:val="Normal"/>
    <w:next w:val="Normal"/>
    <w:autoRedefine/>
    <w:uiPriority w:val="39"/>
    <w:semiHidden/>
    <w:unhideWhenUsed/>
    <w:rsid w:val="00C82BC4"/>
    <w:pPr>
      <w:spacing w:after="180" w:line="360" w:lineRule="auto"/>
      <w:jc w:val="both"/>
    </w:pPr>
    <w:rPr>
      <w:rFonts w:ascii="Calibri" w:eastAsia="MS PGothic" w:hAnsi="Calibri" w:cs="Times New Roman"/>
      <w:lang w:eastAsia="en-US"/>
    </w:rPr>
  </w:style>
  <w:style w:type="paragraph" w:styleId="TOC6">
    <w:name w:val="toc 6"/>
    <w:basedOn w:val="Normal"/>
    <w:next w:val="Normal"/>
    <w:autoRedefine/>
    <w:uiPriority w:val="39"/>
    <w:semiHidden/>
    <w:unhideWhenUsed/>
    <w:rsid w:val="00C82BC4"/>
    <w:pPr>
      <w:spacing w:after="180" w:line="360" w:lineRule="auto"/>
      <w:jc w:val="both"/>
    </w:pPr>
    <w:rPr>
      <w:rFonts w:ascii="Calibri" w:eastAsia="MS PGothic" w:hAnsi="Calibri" w:cs="Times New Roman"/>
      <w:lang w:eastAsia="en-US"/>
    </w:rPr>
  </w:style>
  <w:style w:type="paragraph" w:styleId="TOC7">
    <w:name w:val="toc 7"/>
    <w:basedOn w:val="Normal"/>
    <w:next w:val="Normal"/>
    <w:autoRedefine/>
    <w:uiPriority w:val="39"/>
    <w:semiHidden/>
    <w:unhideWhenUsed/>
    <w:rsid w:val="00C82BC4"/>
    <w:pPr>
      <w:spacing w:after="180" w:line="360" w:lineRule="auto"/>
      <w:jc w:val="both"/>
    </w:pPr>
    <w:rPr>
      <w:rFonts w:ascii="Calibri" w:eastAsia="MS PGothic" w:hAnsi="Calibri" w:cs="Times New Roman"/>
      <w:lang w:eastAsia="en-US"/>
    </w:rPr>
  </w:style>
  <w:style w:type="paragraph" w:styleId="TOC8">
    <w:name w:val="toc 8"/>
    <w:basedOn w:val="Normal"/>
    <w:next w:val="Normal"/>
    <w:autoRedefine/>
    <w:uiPriority w:val="39"/>
    <w:semiHidden/>
    <w:unhideWhenUsed/>
    <w:rsid w:val="00C82BC4"/>
    <w:pPr>
      <w:spacing w:after="180" w:line="360" w:lineRule="auto"/>
      <w:jc w:val="both"/>
    </w:pPr>
    <w:rPr>
      <w:rFonts w:ascii="Calibri" w:eastAsia="MS PGothic" w:hAnsi="Calibri" w:cs="Times New Roman"/>
      <w:lang w:eastAsia="en-US"/>
    </w:rPr>
  </w:style>
  <w:style w:type="paragraph" w:styleId="TOC9">
    <w:name w:val="toc 9"/>
    <w:basedOn w:val="Normal"/>
    <w:next w:val="Normal"/>
    <w:autoRedefine/>
    <w:uiPriority w:val="39"/>
    <w:semiHidden/>
    <w:unhideWhenUsed/>
    <w:rsid w:val="00C82BC4"/>
    <w:pPr>
      <w:spacing w:after="180" w:line="360" w:lineRule="auto"/>
      <w:jc w:val="both"/>
    </w:pPr>
    <w:rPr>
      <w:rFonts w:ascii="Calibri" w:eastAsia="MS PGothic" w:hAnsi="Calibri" w:cs="Times New Roman"/>
      <w:lang w:eastAsia="en-US"/>
    </w:rPr>
  </w:style>
  <w:style w:type="paragraph" w:customStyle="1" w:styleId="GHTOCHeading1">
    <w:name w:val="GH_TOC Heading 1"/>
    <w:basedOn w:val="Normal"/>
    <w:rsid w:val="00C82BC4"/>
    <w:pPr>
      <w:pBdr>
        <w:bottom w:val="single" w:sz="4" w:space="1" w:color="75A712"/>
      </w:pBdr>
      <w:spacing w:after="180" w:line="240" w:lineRule="auto"/>
      <w:jc w:val="both"/>
    </w:pPr>
    <w:rPr>
      <w:rFonts w:ascii="Arial" w:eastAsia="MS PGothic" w:hAnsi="Arial" w:cs="Times New Roman"/>
      <w:bCs/>
      <w:color w:val="75A712"/>
      <w:sz w:val="28"/>
      <w:szCs w:val="28"/>
      <w:lang w:eastAsia="en-US"/>
    </w:rPr>
  </w:style>
  <w:style w:type="paragraph" w:customStyle="1" w:styleId="GHTOC1">
    <w:name w:val="GH_TOC 1"/>
    <w:basedOn w:val="Normal"/>
    <w:qFormat/>
    <w:rsid w:val="00C82BC4"/>
    <w:pPr>
      <w:tabs>
        <w:tab w:val="left" w:pos="567"/>
        <w:tab w:val="right" w:pos="8963"/>
      </w:tabs>
      <w:spacing w:before="240" w:after="180" w:line="360" w:lineRule="auto"/>
      <w:jc w:val="both"/>
    </w:pPr>
    <w:rPr>
      <w:rFonts w:ascii="Arial" w:eastAsia="MS PGothic" w:hAnsi="Arial" w:cs="Arial"/>
      <w:b/>
      <w:bCs/>
      <w:noProof/>
      <w:color w:val="000000"/>
      <w:sz w:val="18"/>
      <w:szCs w:val="18"/>
      <w:lang w:eastAsia="ja-JP"/>
    </w:rPr>
  </w:style>
  <w:style w:type="paragraph" w:customStyle="1" w:styleId="GHTOC2">
    <w:name w:val="GH_TOC 2"/>
    <w:basedOn w:val="Normal"/>
    <w:qFormat/>
    <w:rsid w:val="00C82BC4"/>
    <w:pPr>
      <w:numPr>
        <w:numId w:val="22"/>
      </w:numPr>
      <w:tabs>
        <w:tab w:val="left" w:pos="567"/>
        <w:tab w:val="right" w:pos="8963"/>
      </w:tabs>
      <w:spacing w:after="180" w:line="360" w:lineRule="auto"/>
      <w:ind w:left="0" w:firstLine="0"/>
      <w:jc w:val="both"/>
    </w:pPr>
    <w:rPr>
      <w:rFonts w:ascii="Arial" w:eastAsia="MS PGothic" w:hAnsi="Arial" w:cs="Arial"/>
      <w:i/>
      <w:noProof/>
      <w:sz w:val="18"/>
      <w:szCs w:val="18"/>
      <w:lang w:eastAsia="en-US"/>
    </w:rPr>
  </w:style>
  <w:style w:type="paragraph" w:customStyle="1" w:styleId="GHTOC4">
    <w:name w:val="GH_TOC 4"/>
    <w:basedOn w:val="Normal"/>
    <w:qFormat/>
    <w:rsid w:val="00C82BC4"/>
    <w:pPr>
      <w:tabs>
        <w:tab w:val="right" w:pos="8964"/>
      </w:tabs>
      <w:spacing w:after="180" w:line="360" w:lineRule="auto"/>
      <w:jc w:val="both"/>
    </w:pPr>
    <w:rPr>
      <w:rFonts w:ascii="Arial" w:eastAsia="MS PGothic" w:hAnsi="Arial" w:cs="Times New Roman"/>
      <w:i/>
      <w:iCs/>
      <w:sz w:val="18"/>
      <w:szCs w:val="18"/>
      <w:lang w:eastAsia="en-US"/>
    </w:rPr>
  </w:style>
  <w:style w:type="paragraph" w:customStyle="1" w:styleId="GHTOC3">
    <w:name w:val="GH_TOC 3"/>
    <w:basedOn w:val="Normal"/>
    <w:qFormat/>
    <w:rsid w:val="00C82BC4"/>
    <w:pPr>
      <w:numPr>
        <w:numId w:val="23"/>
      </w:numPr>
      <w:tabs>
        <w:tab w:val="left" w:pos="567"/>
        <w:tab w:val="right" w:pos="8964"/>
      </w:tabs>
      <w:spacing w:after="180" w:line="360" w:lineRule="auto"/>
      <w:jc w:val="both"/>
    </w:pPr>
    <w:rPr>
      <w:rFonts w:ascii="Arial" w:eastAsia="MS PGothic" w:hAnsi="Arial" w:cs="Times New Roman"/>
      <w:i/>
      <w:iCs/>
      <w:sz w:val="18"/>
      <w:szCs w:val="18"/>
      <w:lang w:eastAsia="en-US"/>
    </w:rPr>
  </w:style>
  <w:style w:type="paragraph" w:customStyle="1" w:styleId="GHTOC5">
    <w:name w:val="GH_TOC 5"/>
    <w:basedOn w:val="Normal"/>
    <w:qFormat/>
    <w:rsid w:val="00C82BC4"/>
    <w:pPr>
      <w:tabs>
        <w:tab w:val="right" w:pos="8963"/>
      </w:tabs>
      <w:spacing w:before="240" w:after="120" w:line="360" w:lineRule="auto"/>
      <w:jc w:val="both"/>
    </w:pPr>
    <w:rPr>
      <w:rFonts w:ascii="Arial" w:eastAsia="MS PGothic" w:hAnsi="Arial" w:cs="Arial"/>
      <w:b/>
      <w:bCs/>
      <w:i/>
      <w:noProof/>
      <w:color w:val="000000"/>
      <w:sz w:val="18"/>
      <w:szCs w:val="18"/>
      <w:lang w:eastAsia="en-US"/>
    </w:rPr>
  </w:style>
  <w:style w:type="paragraph" w:customStyle="1" w:styleId="GHTOC6">
    <w:name w:val="GH_TOC 6"/>
    <w:basedOn w:val="Normal"/>
    <w:qFormat/>
    <w:rsid w:val="00C82BC4"/>
    <w:pPr>
      <w:tabs>
        <w:tab w:val="left" w:pos="421"/>
        <w:tab w:val="right" w:pos="8963"/>
      </w:tabs>
      <w:spacing w:after="180" w:line="360" w:lineRule="auto"/>
      <w:ind w:left="1134" w:hanging="567"/>
      <w:jc w:val="both"/>
    </w:pPr>
    <w:rPr>
      <w:rFonts w:ascii="Arial" w:eastAsia="MS PGothic" w:hAnsi="Arial" w:cs="Arial"/>
      <w:i/>
      <w:noProof/>
      <w:sz w:val="18"/>
      <w:szCs w:val="18"/>
      <w:lang w:eastAsia="en-US"/>
    </w:rPr>
  </w:style>
  <w:style w:type="paragraph" w:styleId="IntenseQuote">
    <w:name w:val="Intense Quote"/>
    <w:basedOn w:val="Normal"/>
    <w:next w:val="Normal"/>
    <w:link w:val="IntenseQuoteChar"/>
    <w:uiPriority w:val="30"/>
    <w:qFormat/>
    <w:rsid w:val="00C82BC4"/>
    <w:pPr>
      <w:pBdr>
        <w:bottom w:val="single" w:sz="4" w:space="4" w:color="000000"/>
      </w:pBdr>
      <w:spacing w:before="200" w:after="280" w:line="360" w:lineRule="auto"/>
      <w:ind w:left="936" w:right="936"/>
      <w:jc w:val="both"/>
    </w:pPr>
    <w:rPr>
      <w:rFonts w:ascii="Arial" w:eastAsia="MS PGothic" w:hAnsi="Arial" w:cs="Times New Roman"/>
      <w:b/>
      <w:bCs/>
      <w:i/>
      <w:iCs/>
      <w:sz w:val="18"/>
      <w:szCs w:val="24"/>
      <w:lang w:eastAsia="en-US"/>
    </w:rPr>
  </w:style>
  <w:style w:type="character" w:customStyle="1" w:styleId="IntenseQuoteChar">
    <w:name w:val="Intense Quote Char"/>
    <w:basedOn w:val="DefaultParagraphFont"/>
    <w:link w:val="IntenseQuote"/>
    <w:uiPriority w:val="30"/>
    <w:rsid w:val="00C82BC4"/>
    <w:rPr>
      <w:rFonts w:ascii="Arial" w:eastAsia="MS PGothic" w:hAnsi="Arial" w:cs="Times New Roman"/>
      <w:b/>
      <w:bCs/>
      <w:i/>
      <w:iCs/>
      <w:sz w:val="18"/>
      <w:szCs w:val="24"/>
      <w:lang w:eastAsia="en-US"/>
    </w:rPr>
  </w:style>
  <w:style w:type="character" w:styleId="IntenseReference">
    <w:name w:val="Intense Reference"/>
    <w:uiPriority w:val="32"/>
    <w:rsid w:val="00C82BC4"/>
    <w:rPr>
      <w:rFonts w:ascii="Arial" w:hAnsi="Arial"/>
      <w:b/>
      <w:bCs/>
      <w:caps w:val="0"/>
      <w:smallCaps w:val="0"/>
      <w:strike w:val="0"/>
      <w:dstrike w:val="0"/>
      <w:vanish/>
      <w:color w:val="auto"/>
      <w:spacing w:val="5"/>
      <w:sz w:val="18"/>
      <w:szCs w:val="18"/>
      <w:u w:val="single"/>
      <w:vertAlign w:val="baseline"/>
    </w:rPr>
  </w:style>
  <w:style w:type="character" w:styleId="SubtleReference">
    <w:name w:val="Subtle Reference"/>
    <w:uiPriority w:val="31"/>
    <w:rsid w:val="00C82BC4"/>
    <w:rPr>
      <w:rFonts w:ascii="Arial" w:hAnsi="Arial"/>
      <w:caps w:val="0"/>
      <w:smallCaps w:val="0"/>
      <w:strike w:val="0"/>
      <w:dstrike w:val="0"/>
      <w:vanish/>
      <w:color w:val="75A712"/>
      <w:sz w:val="18"/>
      <w:szCs w:val="18"/>
      <w:u w:val="single"/>
      <w:vertAlign w:val="baseline"/>
    </w:rPr>
  </w:style>
  <w:style w:type="paragraph" w:styleId="DocumentMap">
    <w:name w:val="Document Map"/>
    <w:basedOn w:val="Normal"/>
    <w:link w:val="DocumentMapChar"/>
    <w:uiPriority w:val="99"/>
    <w:semiHidden/>
    <w:unhideWhenUsed/>
    <w:rsid w:val="00C82BC4"/>
    <w:pPr>
      <w:spacing w:after="180" w:line="240" w:lineRule="auto"/>
      <w:jc w:val="both"/>
    </w:pPr>
    <w:rPr>
      <w:rFonts w:ascii="Lucida Grande" w:eastAsia="MS PGothic" w:hAnsi="Lucida Grande" w:cs="Lucida Grande"/>
      <w:sz w:val="24"/>
      <w:szCs w:val="24"/>
      <w:lang w:eastAsia="en-US"/>
    </w:rPr>
  </w:style>
  <w:style w:type="character" w:customStyle="1" w:styleId="DocumentMapChar">
    <w:name w:val="Document Map Char"/>
    <w:basedOn w:val="DefaultParagraphFont"/>
    <w:link w:val="DocumentMap"/>
    <w:uiPriority w:val="99"/>
    <w:semiHidden/>
    <w:rsid w:val="00C82BC4"/>
    <w:rPr>
      <w:rFonts w:ascii="Lucida Grande" w:eastAsia="MS PGothic" w:hAnsi="Lucida Grande" w:cs="Lucida Grande"/>
      <w:sz w:val="24"/>
      <w:szCs w:val="24"/>
      <w:lang w:eastAsia="en-US"/>
    </w:rPr>
  </w:style>
  <w:style w:type="paragraph" w:styleId="TOC1">
    <w:name w:val="toc 1"/>
    <w:basedOn w:val="Normal"/>
    <w:next w:val="Normal"/>
    <w:autoRedefine/>
    <w:uiPriority w:val="39"/>
    <w:unhideWhenUsed/>
    <w:qFormat/>
    <w:rsid w:val="00C82BC4"/>
    <w:pPr>
      <w:spacing w:after="100" w:line="360" w:lineRule="auto"/>
      <w:jc w:val="both"/>
    </w:pPr>
    <w:rPr>
      <w:rFonts w:ascii="Arial" w:eastAsia="MS PGothic" w:hAnsi="Arial" w:cs="Times New Roman"/>
      <w:b/>
      <w:bCs/>
      <w:caps/>
      <w:sz w:val="18"/>
      <w:szCs w:val="18"/>
      <w:lang w:eastAsia="en-US"/>
    </w:rPr>
  </w:style>
  <w:style w:type="paragraph" w:styleId="TOC2">
    <w:name w:val="toc 2"/>
    <w:basedOn w:val="Normal"/>
    <w:next w:val="Normal"/>
    <w:autoRedefine/>
    <w:uiPriority w:val="39"/>
    <w:unhideWhenUsed/>
    <w:qFormat/>
    <w:rsid w:val="00C82BC4"/>
    <w:pPr>
      <w:spacing w:after="100" w:line="360" w:lineRule="auto"/>
      <w:ind w:left="180"/>
      <w:jc w:val="both"/>
    </w:pPr>
    <w:rPr>
      <w:rFonts w:ascii="Arial" w:eastAsia="MS PGothic" w:hAnsi="Arial" w:cs="Times New Roman"/>
      <w:sz w:val="18"/>
      <w:szCs w:val="24"/>
      <w:lang w:eastAsia="en-US"/>
    </w:rPr>
  </w:style>
  <w:style w:type="paragraph" w:styleId="TOC3">
    <w:name w:val="toc 3"/>
    <w:basedOn w:val="Normal"/>
    <w:next w:val="Normal"/>
    <w:autoRedefine/>
    <w:uiPriority w:val="39"/>
    <w:unhideWhenUsed/>
    <w:qFormat/>
    <w:rsid w:val="00C82BC4"/>
    <w:pPr>
      <w:spacing w:after="100" w:line="360" w:lineRule="auto"/>
      <w:ind w:left="360"/>
      <w:jc w:val="both"/>
    </w:pPr>
    <w:rPr>
      <w:rFonts w:ascii="Arial" w:eastAsia="MS PGothic" w:hAnsi="Arial" w:cs="Times New Roman"/>
      <w:i/>
      <w:sz w:val="18"/>
      <w:szCs w:val="24"/>
      <w:lang w:eastAsia="en-US"/>
    </w:rPr>
  </w:style>
  <w:style w:type="paragraph" w:customStyle="1" w:styleId="Appendixlevel1">
    <w:name w:val="Appendix level 1"/>
    <w:basedOn w:val="Heading1"/>
    <w:next w:val="Normal"/>
    <w:link w:val="Appendixlevel1Char"/>
    <w:rsid w:val="00C82BC4"/>
    <w:pPr>
      <w:numPr>
        <w:numId w:val="25"/>
      </w:numPr>
      <w:pBdr>
        <w:bottom w:val="single" w:sz="4" w:space="1" w:color="669900"/>
      </w:pBdr>
      <w:spacing w:before="0" w:after="360"/>
      <w:ind w:left="709" w:hanging="709"/>
    </w:pPr>
    <w:rPr>
      <w:rFonts w:ascii="Arial" w:eastAsia="MS PGothic" w:hAnsi="Arial" w:cs="Times New Roman"/>
      <w:caps/>
      <w:color w:val="669900"/>
      <w:sz w:val="34"/>
      <w:szCs w:val="34"/>
    </w:rPr>
  </w:style>
  <w:style w:type="character" w:customStyle="1" w:styleId="Appendixlevel1Char">
    <w:name w:val="Appendix level 1 Char"/>
    <w:basedOn w:val="Heading1Char"/>
    <w:link w:val="Appendixlevel1"/>
    <w:rsid w:val="00C82BC4"/>
    <w:rPr>
      <w:rFonts w:ascii="Arial" w:eastAsia="MS PGothic" w:hAnsi="Arial" w:cs="Times New Roman"/>
      <w:b/>
      <w:bCs/>
      <w:caps/>
      <w:color w:val="669900"/>
      <w:sz w:val="34"/>
      <w:szCs w:val="34"/>
      <w:lang w:eastAsia="en-US"/>
    </w:rPr>
  </w:style>
  <w:style w:type="paragraph" w:customStyle="1" w:styleId="Appendixlevel2">
    <w:name w:val="Appendix level 2"/>
    <w:basedOn w:val="Heading2"/>
    <w:next w:val="Normal"/>
    <w:rsid w:val="00C82BC4"/>
    <w:pPr>
      <w:numPr>
        <w:ilvl w:val="1"/>
        <w:numId w:val="26"/>
      </w:numPr>
      <w:ind w:left="709" w:hanging="709"/>
    </w:pPr>
  </w:style>
  <w:style w:type="paragraph" w:customStyle="1" w:styleId="Appendixlevel3">
    <w:name w:val="Appendix level 3"/>
    <w:basedOn w:val="Heading3"/>
    <w:next w:val="Normal"/>
    <w:rsid w:val="00C82BC4"/>
    <w:pPr>
      <w:numPr>
        <w:ilvl w:val="2"/>
        <w:numId w:val="26"/>
      </w:numPr>
      <w:tabs>
        <w:tab w:val="left" w:pos="2368"/>
      </w:tabs>
    </w:pPr>
  </w:style>
  <w:style w:type="paragraph" w:customStyle="1" w:styleId="Appendixlevel4">
    <w:name w:val="Appendix level 4"/>
    <w:basedOn w:val="Normal"/>
    <w:next w:val="Normal"/>
    <w:rsid w:val="00C82BC4"/>
    <w:pPr>
      <w:numPr>
        <w:ilvl w:val="3"/>
        <w:numId w:val="26"/>
      </w:numPr>
      <w:tabs>
        <w:tab w:val="left" w:pos="2368"/>
      </w:tabs>
      <w:spacing w:after="180" w:line="360" w:lineRule="auto"/>
      <w:jc w:val="both"/>
    </w:pPr>
    <w:rPr>
      <w:rFonts w:ascii="Arial" w:eastAsia="MS PGothic" w:hAnsi="Arial" w:cs="Times New Roman"/>
      <w:b/>
      <w:color w:val="669900"/>
      <w:szCs w:val="24"/>
      <w:lang w:eastAsia="en-US"/>
    </w:rPr>
  </w:style>
  <w:style w:type="table" w:styleId="LightShading">
    <w:name w:val="Light Shading"/>
    <w:basedOn w:val="TableNormal"/>
    <w:uiPriority w:val="60"/>
    <w:rsid w:val="00C82BC4"/>
    <w:pPr>
      <w:spacing w:after="0" w:line="240" w:lineRule="auto"/>
    </w:pPr>
    <w:rPr>
      <w:rFonts w:ascii="Calibri" w:eastAsia="MS PGothic" w:hAnsi="Calibri" w:cs="Times New Roman"/>
      <w:color w:val="000000" w:themeColor="text1" w:themeShade="BF"/>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82BC4"/>
    <w:pPr>
      <w:spacing w:after="0" w:line="240" w:lineRule="auto"/>
    </w:pPr>
    <w:rPr>
      <w:rFonts w:ascii="Calibri" w:eastAsia="MS PGothic" w:hAnsi="Calibri" w:cs="Times New Roman"/>
      <w:color w:val="365F91" w:themeColor="accent1" w:themeShade="BF"/>
      <w:sz w:val="24"/>
      <w:szCs w:val="24"/>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C82BC4"/>
    <w:pPr>
      <w:spacing w:after="0" w:line="240" w:lineRule="auto"/>
    </w:pPr>
    <w:rPr>
      <w:rFonts w:ascii="Calibri" w:eastAsia="MS PGothic" w:hAnsi="Calibri" w:cs="Times New Roman"/>
      <w:sz w:val="24"/>
      <w:szCs w:val="24"/>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82BC4"/>
    <w:pPr>
      <w:spacing w:after="0" w:line="240" w:lineRule="auto"/>
    </w:pPr>
    <w:rPr>
      <w:rFonts w:ascii="Calibri" w:eastAsia="MS PGothic" w:hAnsi="Calibri" w:cs="Times New Roman"/>
      <w:sz w:val="24"/>
      <w:szCs w:val="24"/>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C82BC4"/>
    <w:pPr>
      <w:spacing w:after="0" w:line="240" w:lineRule="auto"/>
    </w:pPr>
    <w:rPr>
      <w:rFonts w:ascii="Calibri" w:eastAsia="MS PGothic" w:hAnsi="Calibri" w:cs="Times New Roman"/>
      <w:sz w:val="24"/>
      <w:szCs w:val="24"/>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82BC4"/>
    <w:pPr>
      <w:spacing w:after="0" w:line="240" w:lineRule="auto"/>
    </w:pPr>
    <w:rPr>
      <w:rFonts w:ascii="Calibri" w:eastAsia="MS PGothic" w:hAnsi="Calibri" w:cs="Times New Roman"/>
      <w:sz w:val="24"/>
      <w:szCs w:val="24"/>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82BC4"/>
    <w:pPr>
      <w:spacing w:after="0" w:line="240" w:lineRule="auto"/>
    </w:pPr>
    <w:rPr>
      <w:rFonts w:ascii="Calibri" w:eastAsia="MS PGothic" w:hAnsi="Calibri" w:cs="Times New Roman"/>
      <w:sz w:val="24"/>
      <w:szCs w:val="24"/>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82BC4"/>
    <w:pPr>
      <w:spacing w:after="0" w:line="240" w:lineRule="auto"/>
    </w:pPr>
    <w:rPr>
      <w:rFonts w:ascii="Calibri" w:eastAsia="MS PGothic" w:hAnsi="Calibri" w:cs="Times New Roman"/>
      <w:color w:val="000000" w:themeColor="text1"/>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GHBody">
    <w:name w:val="GH_Body"/>
    <w:basedOn w:val="Normal"/>
    <w:qFormat/>
    <w:rsid w:val="00C82BC4"/>
    <w:pPr>
      <w:spacing w:after="0" w:line="360" w:lineRule="auto"/>
      <w:jc w:val="both"/>
    </w:pPr>
    <w:rPr>
      <w:rFonts w:ascii="Arial" w:eastAsia="MS PGothic" w:hAnsi="Arial" w:cs="Times New Roman"/>
      <w:sz w:val="18"/>
      <w:szCs w:val="24"/>
      <w:lang w:eastAsia="en-US"/>
    </w:rPr>
  </w:style>
  <w:style w:type="paragraph" w:customStyle="1" w:styleId="GHAppendixA">
    <w:name w:val="GH_Appendix A"/>
    <w:basedOn w:val="Normal"/>
    <w:next w:val="GHBody"/>
    <w:rsid w:val="00C82BC4"/>
    <w:pPr>
      <w:pBdr>
        <w:bottom w:val="single" w:sz="8" w:space="1" w:color="75A712"/>
      </w:pBdr>
      <w:tabs>
        <w:tab w:val="left" w:pos="7180"/>
      </w:tabs>
      <w:spacing w:after="0" w:line="240" w:lineRule="auto"/>
      <w:jc w:val="both"/>
    </w:pPr>
    <w:rPr>
      <w:rFonts w:ascii="Arial" w:eastAsia="MS PGothic" w:hAnsi="Arial" w:cs="Times New Roman"/>
      <w:color w:val="75A712"/>
      <w:sz w:val="28"/>
      <w:szCs w:val="24"/>
      <w:lang w:eastAsia="en-US"/>
    </w:rPr>
  </w:style>
  <w:style w:type="paragraph" w:styleId="Quote">
    <w:name w:val="Quote"/>
    <w:basedOn w:val="Normal"/>
    <w:next w:val="Normal"/>
    <w:link w:val="QuoteChar"/>
    <w:uiPriority w:val="29"/>
    <w:qFormat/>
    <w:rsid w:val="00C82BC4"/>
    <w:pPr>
      <w:spacing w:after="180" w:line="360" w:lineRule="auto"/>
      <w:jc w:val="both"/>
    </w:pPr>
    <w:rPr>
      <w:rFonts w:ascii="Arial" w:eastAsia="MS PGothic" w:hAnsi="Arial" w:cs="Times New Roman"/>
      <w:i/>
      <w:iCs/>
      <w:color w:val="000000" w:themeColor="text1"/>
      <w:sz w:val="18"/>
      <w:szCs w:val="24"/>
      <w:lang w:eastAsia="en-US"/>
    </w:rPr>
  </w:style>
  <w:style w:type="character" w:customStyle="1" w:styleId="QuoteChar">
    <w:name w:val="Quote Char"/>
    <w:basedOn w:val="DefaultParagraphFont"/>
    <w:link w:val="Quote"/>
    <w:uiPriority w:val="29"/>
    <w:rsid w:val="00C82BC4"/>
    <w:rPr>
      <w:rFonts w:ascii="Arial" w:eastAsia="MS PGothic" w:hAnsi="Arial" w:cs="Times New Roman"/>
      <w:i/>
      <w:iCs/>
      <w:color w:val="000000" w:themeColor="text1"/>
      <w:sz w:val="18"/>
      <w:szCs w:val="24"/>
      <w:lang w:eastAsia="en-US"/>
    </w:rPr>
  </w:style>
  <w:style w:type="paragraph" w:customStyle="1" w:styleId="TOCheader">
    <w:name w:val="TOC header"/>
    <w:basedOn w:val="Normal"/>
    <w:link w:val="TOCheaderChar"/>
    <w:qFormat/>
    <w:rsid w:val="00C82BC4"/>
    <w:pPr>
      <w:pBdr>
        <w:bottom w:val="single" w:sz="4" w:space="1" w:color="9BBB59" w:themeColor="accent3"/>
      </w:pBdr>
      <w:spacing w:after="360" w:line="240" w:lineRule="auto"/>
      <w:ind w:left="284" w:hanging="284"/>
      <w:jc w:val="both"/>
    </w:pPr>
    <w:rPr>
      <w:rFonts w:ascii="Arial" w:eastAsia="MS PGothic" w:hAnsi="Arial" w:cs="Times New Roman"/>
      <w:b/>
      <w:bCs/>
      <w:caps/>
      <w:color w:val="75A712"/>
      <w:sz w:val="34"/>
      <w:szCs w:val="40"/>
      <w:lang w:eastAsia="en-US"/>
    </w:rPr>
  </w:style>
  <w:style w:type="character" w:customStyle="1" w:styleId="TOCheaderChar">
    <w:name w:val="TOC header Char"/>
    <w:basedOn w:val="DefaultParagraphFont"/>
    <w:link w:val="TOCheader"/>
    <w:rsid w:val="00C82BC4"/>
    <w:rPr>
      <w:rFonts w:ascii="Arial" w:eastAsia="MS PGothic" w:hAnsi="Arial" w:cs="Times New Roman"/>
      <w:b/>
      <w:bCs/>
      <w:caps/>
      <w:color w:val="75A712"/>
      <w:sz w:val="34"/>
      <w:szCs w:val="40"/>
      <w:lang w:eastAsia="en-US"/>
    </w:rPr>
  </w:style>
  <w:style w:type="character" w:styleId="BookTitle">
    <w:name w:val="Book Title"/>
    <w:basedOn w:val="DefaultParagraphFont"/>
    <w:uiPriority w:val="33"/>
    <w:rsid w:val="00C82BC4"/>
    <w:rPr>
      <w:b/>
      <w:bCs/>
      <w:smallCaps/>
      <w:spacing w:val="5"/>
    </w:rPr>
  </w:style>
  <w:style w:type="paragraph" w:styleId="NormalWeb">
    <w:name w:val="Normal (Web)"/>
    <w:basedOn w:val="Normal"/>
    <w:uiPriority w:val="99"/>
    <w:unhideWhenUsed/>
    <w:rsid w:val="00C82BC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C82BC4"/>
    <w:pPr>
      <w:spacing w:after="0" w:line="360" w:lineRule="auto"/>
      <w:jc w:val="center"/>
    </w:pPr>
    <w:rPr>
      <w:rFonts w:ascii="Arial" w:eastAsia="MS PGothic" w:hAnsi="Arial" w:cs="Arial"/>
      <w:noProof/>
      <w:sz w:val="18"/>
      <w:szCs w:val="24"/>
      <w:lang w:val="en-US" w:eastAsia="en-US"/>
    </w:rPr>
  </w:style>
  <w:style w:type="character" w:customStyle="1" w:styleId="EndNoteBibliographyTitleChar">
    <w:name w:val="EndNote Bibliography Title Char"/>
    <w:basedOn w:val="DefaultParagraphFont"/>
    <w:link w:val="EndNoteBibliographyTitle"/>
    <w:rsid w:val="00C82BC4"/>
    <w:rPr>
      <w:rFonts w:ascii="Arial" w:eastAsia="MS PGothic" w:hAnsi="Arial" w:cs="Arial"/>
      <w:noProof/>
      <w:sz w:val="18"/>
      <w:szCs w:val="24"/>
      <w:lang w:val="en-US" w:eastAsia="en-US"/>
    </w:rPr>
  </w:style>
  <w:style w:type="paragraph" w:customStyle="1" w:styleId="EndNoteBibliography">
    <w:name w:val="EndNote Bibliography"/>
    <w:basedOn w:val="Normal"/>
    <w:link w:val="EndNoteBibliographyChar"/>
    <w:rsid w:val="00C82BC4"/>
    <w:pPr>
      <w:spacing w:after="180" w:line="240" w:lineRule="auto"/>
      <w:jc w:val="both"/>
    </w:pPr>
    <w:rPr>
      <w:rFonts w:ascii="Arial" w:eastAsia="MS PGothic" w:hAnsi="Arial" w:cs="Arial"/>
      <w:noProof/>
      <w:sz w:val="18"/>
      <w:szCs w:val="24"/>
      <w:lang w:val="en-US" w:eastAsia="en-US"/>
    </w:rPr>
  </w:style>
  <w:style w:type="character" w:customStyle="1" w:styleId="EndNoteBibliographyChar">
    <w:name w:val="EndNote Bibliography Char"/>
    <w:basedOn w:val="DefaultParagraphFont"/>
    <w:link w:val="EndNoteBibliography"/>
    <w:rsid w:val="00C82BC4"/>
    <w:rPr>
      <w:rFonts w:ascii="Arial" w:eastAsia="MS PGothic" w:hAnsi="Arial" w:cs="Arial"/>
      <w:noProof/>
      <w:sz w:val="18"/>
      <w:szCs w:val="24"/>
      <w:lang w:val="en-US" w:eastAsia="en-US"/>
    </w:rPr>
  </w:style>
  <w:style w:type="paragraph" w:customStyle="1" w:styleId="Default">
    <w:name w:val="Default"/>
    <w:rsid w:val="00C82BC4"/>
    <w:pPr>
      <w:autoSpaceDE w:val="0"/>
      <w:autoSpaceDN w:val="0"/>
      <w:adjustRightInd w:val="0"/>
      <w:spacing w:after="0" w:line="240" w:lineRule="auto"/>
    </w:pPr>
    <w:rPr>
      <w:rFonts w:ascii="Univers 45 Light" w:eastAsia="MS PGothic" w:hAnsi="Univers 45 Light" w:cs="Univers 45 Light"/>
      <w:color w:val="000000"/>
      <w:sz w:val="24"/>
      <w:szCs w:val="24"/>
      <w:lang w:eastAsia="en-US"/>
    </w:rPr>
  </w:style>
  <w:style w:type="paragraph" w:styleId="NoSpacing">
    <w:name w:val="No Spacing"/>
    <w:uiPriority w:val="1"/>
    <w:qFormat/>
    <w:rsid w:val="00C82BC4"/>
    <w:pPr>
      <w:spacing w:after="0" w:line="240" w:lineRule="auto"/>
      <w:jc w:val="both"/>
    </w:pPr>
    <w:rPr>
      <w:rFonts w:ascii="Arial" w:eastAsia="MS PGothic" w:hAnsi="Arial" w:cs="Times New Roman"/>
      <w:sz w:val="18"/>
      <w:szCs w:val="24"/>
      <w:lang w:eastAsia="en-US"/>
    </w:rPr>
  </w:style>
  <w:style w:type="character" w:customStyle="1" w:styleId="tgc">
    <w:name w:val="_tgc"/>
    <w:basedOn w:val="DefaultParagraphFont"/>
    <w:rsid w:val="00C82BC4"/>
  </w:style>
  <w:style w:type="character" w:customStyle="1" w:styleId="notranslate">
    <w:name w:val="notranslate"/>
    <w:basedOn w:val="DefaultParagraphFont"/>
    <w:rsid w:val="00C82BC4"/>
  </w:style>
  <w:style w:type="paragraph" w:customStyle="1" w:styleId="Title1">
    <w:name w:val="Title 1"/>
    <w:basedOn w:val="Heading1"/>
    <w:link w:val="Title1Char"/>
    <w:qFormat/>
    <w:rsid w:val="00C82BC4"/>
    <w:pPr>
      <w:spacing w:before="0"/>
      <w:ind w:left="432" w:hanging="432"/>
      <w:jc w:val="center"/>
    </w:pPr>
    <w:rPr>
      <w:rFonts w:ascii="Calibri" w:eastAsia="MS PGothic" w:hAnsi="Calibri" w:cs="Times New Roman"/>
      <w:color w:val="0070C0"/>
      <w:sz w:val="34"/>
      <w:szCs w:val="40"/>
    </w:rPr>
  </w:style>
  <w:style w:type="character" w:customStyle="1" w:styleId="Title1Char">
    <w:name w:val="Title 1 Char"/>
    <w:basedOn w:val="Heading1Char"/>
    <w:link w:val="Title1"/>
    <w:rsid w:val="00C82BC4"/>
    <w:rPr>
      <w:rFonts w:ascii="Calibri" w:eastAsia="MS PGothic" w:hAnsi="Calibri" w:cs="Times New Roman"/>
      <w:b/>
      <w:bCs/>
      <w:color w:val="0070C0"/>
      <w:sz w:val="34"/>
      <w:szCs w:val="40"/>
      <w:lang w:eastAsia="en-US"/>
    </w:rPr>
  </w:style>
  <w:style w:type="table" w:customStyle="1" w:styleId="GHTableStyle11">
    <w:name w:val="GH_Table Style 11"/>
    <w:basedOn w:val="TableNormal"/>
    <w:uiPriority w:val="99"/>
    <w:rsid w:val="00C82BC4"/>
    <w:pPr>
      <w:spacing w:before="4" w:after="4" w:line="240" w:lineRule="auto"/>
    </w:pPr>
    <w:rPr>
      <w:rFonts w:ascii="Arial" w:eastAsia="MS PGothic" w:hAnsi="Arial" w:cs="Times New Roman"/>
      <w:sz w:val="16"/>
      <w:szCs w:val="20"/>
      <w:lang w:eastAsia="en-US"/>
    </w:rPr>
    <w:tblPr>
      <w:tblStyleRowBandSize w:val="1"/>
      <w:tblBorders>
        <w:top w:val="single" w:sz="2" w:space="0" w:color="A6A6A6"/>
        <w:left w:val="single" w:sz="2" w:space="0" w:color="A6A6A6"/>
        <w:bottom w:val="single" w:sz="48" w:space="0" w:color="75A712"/>
        <w:right w:val="single" w:sz="2" w:space="0" w:color="A6A6A6"/>
        <w:insideH w:val="single" w:sz="2" w:space="0" w:color="A6A6A6"/>
        <w:insideV w:val="single" w:sz="2" w:space="0" w:color="A6A6A6"/>
      </w:tblBorders>
    </w:tblPr>
    <w:tblStylePr w:type="firstRow">
      <w:pPr>
        <w:jc w:val="center"/>
      </w:pPr>
      <w:rPr>
        <w:rFonts w:ascii="Arial" w:hAnsi="Arial"/>
        <w:b/>
        <w:color w:val="FFFFFF"/>
        <w:sz w:val="16"/>
      </w:rPr>
      <w:tblPr/>
      <w:tcPr>
        <w:tcBorders>
          <w:top w:val="single" w:sz="48" w:space="0" w:color="75A712"/>
          <w:left w:val="single" w:sz="2" w:space="0" w:color="808080"/>
          <w:bottom w:val="nil"/>
          <w:right w:val="nil"/>
          <w:insideH w:val="nil"/>
          <w:insideV w:val="single" w:sz="2" w:space="0" w:color="FFFFFF"/>
          <w:tl2br w:val="nil"/>
          <w:tr2bl w:val="nil"/>
        </w:tcBorders>
        <w:shd w:val="clear" w:color="auto" w:fill="808080"/>
      </w:tcPr>
    </w:tblStylePr>
    <w:tblStylePr w:type="lastRow">
      <w:tblPr/>
      <w:tcPr>
        <w:shd w:val="clear" w:color="auto" w:fill="D9D9D9"/>
      </w:tcPr>
    </w:tblStylePr>
    <w:tblStylePr w:type="band2Horz">
      <w:rPr>
        <w:color w:val="000000"/>
      </w:rPr>
      <w:tblPr/>
      <w:tcPr>
        <w:shd w:val="clear" w:color="auto" w:fill="FFFFFF"/>
      </w:tcPr>
    </w:tblStylePr>
  </w:style>
  <w:style w:type="character" w:customStyle="1" w:styleId="NumParaChar">
    <w:name w:val="Num Para Char"/>
    <w:basedOn w:val="DefaultParagraphFont"/>
    <w:link w:val="NumPara"/>
    <w:locked/>
    <w:rsid w:val="00C82BC4"/>
    <w:rPr>
      <w:rFonts w:asciiTheme="majorBidi" w:hAnsiTheme="majorBidi" w:cstheme="majorBidi"/>
    </w:rPr>
  </w:style>
  <w:style w:type="paragraph" w:customStyle="1" w:styleId="NumPara">
    <w:name w:val="Num Para"/>
    <w:basedOn w:val="Normal"/>
    <w:link w:val="NumParaChar"/>
    <w:qFormat/>
    <w:rsid w:val="00C82BC4"/>
    <w:pPr>
      <w:numPr>
        <w:numId w:val="30"/>
      </w:numPr>
      <w:suppressAutoHyphens/>
      <w:kinsoku w:val="0"/>
      <w:overflowPunct w:val="0"/>
      <w:autoSpaceDE w:val="0"/>
      <w:autoSpaceDN w:val="0"/>
      <w:adjustRightInd w:val="0"/>
      <w:snapToGrid w:val="0"/>
      <w:spacing w:after="240" w:line="240" w:lineRule="atLeast"/>
      <w:ind w:left="1210" w:right="851"/>
      <w:jc w:val="both"/>
    </w:pPr>
    <w:rPr>
      <w:rFonts w:asciiTheme="majorBidi" w:hAnsiTheme="majorBidi" w:cstheme="majorBidi"/>
    </w:rPr>
  </w:style>
  <w:style w:type="paragraph" w:customStyle="1" w:styleId="xmsocommenttext">
    <w:name w:val="x_msocommenttext"/>
    <w:basedOn w:val="Normal"/>
    <w:rsid w:val="00C82BC4"/>
    <w:pPr>
      <w:spacing w:after="0" w:line="240" w:lineRule="auto"/>
    </w:pPr>
    <w:rPr>
      <w:rFonts w:ascii="Calibri" w:eastAsiaTheme="minorHAnsi" w:hAnsi="Calibri" w:cs="Calibri"/>
      <w:lang w:eastAsia="en-US"/>
    </w:rPr>
  </w:style>
  <w:style w:type="paragraph" w:customStyle="1" w:styleId="xmsocommenttext0">
    <w:name w:val="xmsocommenttext"/>
    <w:basedOn w:val="Normal"/>
    <w:rsid w:val="00C82BC4"/>
    <w:pPr>
      <w:spacing w:after="0" w:line="240" w:lineRule="auto"/>
    </w:pPr>
    <w:rPr>
      <w:rFonts w:ascii="Calibri" w:eastAsiaTheme="minorHAns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ustainability-reports.com/" TargetMode="External"/><Relationship Id="rId18" Type="http://schemas.openxmlformats.org/officeDocument/2006/relationships/hyperlink" Target="http://database.globalreporting.org/" TargetMode="External"/><Relationship Id="rId26" Type="http://schemas.openxmlformats.org/officeDocument/2006/relationships/hyperlink" Target="https://apps.lib.purdue.edu/abldars/index.php" TargetMode="External"/><Relationship Id="rId39" Type="http://schemas.openxmlformats.org/officeDocument/2006/relationships/hyperlink" Target="http://www.csr-vision.net/" TargetMode="External"/><Relationship Id="rId3" Type="http://schemas.openxmlformats.org/officeDocument/2006/relationships/customXml" Target="../customXml/item3.xml"/><Relationship Id="rId21" Type="http://schemas.openxmlformats.org/officeDocument/2006/relationships/hyperlink" Target="http://financial.thomsonreuters.com/en/products/tools-applications/trading-investment-tools/eikon-trading-software.html" TargetMode="External"/><Relationship Id="rId34" Type="http://schemas.openxmlformats.org/officeDocument/2006/relationships/hyperlink" Target="http://examples.integratedreporting.org/home" TargetMode="External"/><Relationship Id="rId42"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www.csrcp.com/index.php/reporting-data-base" TargetMode="External"/><Relationship Id="rId17" Type="http://schemas.openxmlformats.org/officeDocument/2006/relationships/hyperlink" Target="http://www.online-report.com/report-type/sustainability-report/" TargetMode="External"/><Relationship Id="rId25" Type="http://schemas.openxmlformats.org/officeDocument/2006/relationships/hyperlink" Target="http://www.northcote.co.uk/" TargetMode="External"/><Relationship Id="rId33" Type="http://schemas.openxmlformats.org/officeDocument/2006/relationships/hyperlink" Target="http://raportyspoleczne.pl/biblioteka-raportow/" TargetMode="External"/><Relationship Id="rId38" Type="http://schemas.openxmlformats.org/officeDocument/2006/relationships/hyperlink" Target="http://www.nachhaltigkeitsberichte.at/" TargetMode="External"/><Relationship Id="rId2" Type="http://schemas.openxmlformats.org/officeDocument/2006/relationships/customXml" Target="../customXml/item2.xml"/><Relationship Id="rId16" Type="http://schemas.openxmlformats.org/officeDocument/2006/relationships/hyperlink" Target="http://corporateregister.com/" TargetMode="External"/><Relationship Id="rId20" Type="http://schemas.openxmlformats.org/officeDocument/2006/relationships/hyperlink" Target="http://libguides.mit.edu/c.php?g=176014&amp;p=1160945" TargetMode="External"/><Relationship Id="rId29" Type="http://schemas.openxmlformats.org/officeDocument/2006/relationships/hyperlink" Target="http://www.nseinfobase.com/single-product15.aspx" TargetMode="External"/><Relationship Id="rId41" Type="http://schemas.openxmlformats.org/officeDocument/2006/relationships/hyperlink" Target="https://www.sec.gov/edgar/searchedgar/companysearch.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markets.ft.com/research/Markets/Company-Content" TargetMode="External"/><Relationship Id="rId32" Type="http://schemas.openxmlformats.org/officeDocument/2006/relationships/hyperlink" Target="https://www.csrhub.com/" TargetMode="External"/><Relationship Id="rId37" Type="http://schemas.openxmlformats.org/officeDocument/2006/relationships/hyperlink" Target="http://www.deutscher-nachhaltigkeitskodex.de/en/database/database.html" TargetMode="External"/><Relationship Id="rId40" Type="http://schemas.openxmlformats.org/officeDocument/2006/relationships/hyperlink" Target="http://www.businessart.at/nachhaltigkeitsberichte" TargetMode="External"/><Relationship Id="rId5" Type="http://schemas.openxmlformats.org/officeDocument/2006/relationships/numbering" Target="numbering.xml"/><Relationship Id="rId15" Type="http://schemas.openxmlformats.org/officeDocument/2006/relationships/hyperlink" Target="http://www.responsabilitatesociala.ro/" TargetMode="External"/><Relationship Id="rId23" Type="http://schemas.openxmlformats.org/officeDocument/2006/relationships/hyperlink" Target="https://www.orderannualreports.com/" TargetMode="External"/><Relationship Id="rId28" Type="http://schemas.openxmlformats.org/officeDocument/2006/relationships/hyperlink" Target="http://database.globalreporting.org/" TargetMode="External"/><Relationship Id="rId36" Type="http://schemas.openxmlformats.org/officeDocument/2006/relationships/hyperlink" Target="http://www.sustainabilityreport.cn/" TargetMode="External"/><Relationship Id="rId10" Type="http://schemas.openxmlformats.org/officeDocument/2006/relationships/endnotes" Target="endnotes.xml"/><Relationship Id="rId19" Type="http://schemas.openxmlformats.org/officeDocument/2006/relationships/hyperlink" Target="http://www.bl.uk/reshelp/findhelprestype/coannrep/companyreports.html" TargetMode="External"/><Relationship Id="rId31" Type="http://schemas.openxmlformats.org/officeDocument/2006/relationships/hyperlink" Target="https://www.online-report.com/"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uurzaamheidsverslag.nl/bedrijf/" TargetMode="External"/><Relationship Id="rId22" Type="http://schemas.openxmlformats.org/officeDocument/2006/relationships/hyperlink" Target="http://www.annualreports.com/" TargetMode="External"/><Relationship Id="rId27" Type="http://schemas.openxmlformats.org/officeDocument/2006/relationships/hyperlink" Target="http://www.prars.com/search/alpha/A" TargetMode="External"/><Relationship Id="rId30" Type="http://schemas.openxmlformats.org/officeDocument/2006/relationships/hyperlink" Target="http://www.nseinfobase.com/single-product6.aspx" TargetMode="External"/><Relationship Id="rId35" Type="http://schemas.openxmlformats.org/officeDocument/2006/relationships/hyperlink" Target="http://www.iras.co.za/frmResources.aspx?SubPageID=15" TargetMode="External"/><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4143CE-727A-47C1-B43E-7921EDA83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6565</Words>
  <Characters>37422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2021-03-25T04:36:00Z</dcterms:created>
  <dcterms:modified xsi:type="dcterms:W3CDTF">2021-03-25T04:36:00Z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