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17E71C7D" w14:textId="77777777" w:rsidR="00141539" w:rsidRPr="00532B37" w:rsidRDefault="00141539" w:rsidP="00141539">
      <w:pPr>
        <w:shd w:val="clear" w:color="auto" w:fill="F5F5F5"/>
        <w:spacing w:after="0"/>
        <w:outlineLvl w:val="4"/>
        <w:rPr>
          <w:rFonts w:eastAsia="Times New Roman" w:cstheme="minorHAnsi"/>
          <w:color w:val="333333"/>
          <w:sz w:val="21"/>
          <w:szCs w:val="21"/>
          <w:lang w:eastAsia="en-GB"/>
        </w:rPr>
      </w:pPr>
      <w:r w:rsidRPr="00532B37">
        <w:rPr>
          <w:rFonts w:eastAsia="Times New Roman" w:cstheme="minorHAnsi"/>
          <w:color w:val="333333"/>
          <w:sz w:val="21"/>
          <w:szCs w:val="21"/>
          <w:lang w:eastAsia="en-GB"/>
        </w:rPr>
        <w:t>Goal 12: Ensure sustainable consumption and production patterns</w:t>
      </w:r>
    </w:p>
    <w:p w14:paraId="084142D2" w14:textId="77777777" w:rsidR="00D24330" w:rsidRPr="00A96255" w:rsidRDefault="00D24330" w:rsidP="00D24330">
      <w:pPr>
        <w:pStyle w:val="MIndHeader"/>
      </w:pPr>
      <w:r w:rsidRPr="00A96255">
        <w:t>0.b. Target</w:t>
      </w:r>
    </w:p>
    <w:p w14:paraId="3A03C58B" w14:textId="77777777" w:rsidR="00677A61" w:rsidRPr="00532B37" w:rsidRDefault="00677A61" w:rsidP="00677A61">
      <w:pPr>
        <w:shd w:val="clear" w:color="auto" w:fill="F5F5F5"/>
        <w:spacing w:after="0"/>
        <w:outlineLvl w:val="1"/>
        <w:rPr>
          <w:rFonts w:eastAsia="Times New Roman" w:cstheme="minorHAnsi"/>
          <w:color w:val="333333"/>
          <w:sz w:val="21"/>
          <w:szCs w:val="21"/>
          <w:lang w:eastAsia="en-GB"/>
        </w:rPr>
      </w:pPr>
      <w:r w:rsidRPr="00532B37">
        <w:rPr>
          <w:rFonts w:eastAsia="Times New Roman" w:cstheme="minorHAnsi"/>
          <w:color w:val="333333"/>
          <w:sz w:val="21"/>
          <w:szCs w:val="21"/>
          <w:lang w:eastAsia="en-GB"/>
        </w:rPr>
        <w:t>Target 12.7: Promote public procurement practices that are sustainable in accordance with national policies and priorities</w:t>
      </w:r>
    </w:p>
    <w:p w14:paraId="3E67E7E0" w14:textId="77777777" w:rsidR="00D24330" w:rsidRPr="00A96255" w:rsidRDefault="00D24330" w:rsidP="00D24330">
      <w:pPr>
        <w:pStyle w:val="MIndHeader"/>
      </w:pPr>
      <w:r w:rsidRPr="00A96255">
        <w:t>0.c. Indicator</w:t>
      </w:r>
    </w:p>
    <w:p w14:paraId="682E061E" w14:textId="29E882C9" w:rsidR="003420BD" w:rsidRPr="00532B37" w:rsidRDefault="003420BD" w:rsidP="009E0EF0">
      <w:pPr>
        <w:pStyle w:val="MGTHeader"/>
        <w:rPr>
          <w:sz w:val="36"/>
          <w:szCs w:val="36"/>
        </w:rPr>
      </w:pPr>
      <w:r w:rsidRPr="00532B37">
        <w:t xml:space="preserve">Indicator 12.7.1 </w:t>
      </w:r>
      <w:r w:rsidR="00471C17">
        <w:t xml:space="preserve">Number of countries implementing Sustainable Public Procurement </w:t>
      </w:r>
      <w:r w:rsidR="001206FA">
        <w:t>p</w:t>
      </w:r>
      <w:r w:rsidR="00471C17">
        <w:t xml:space="preserve">olicies and </w:t>
      </w:r>
      <w:r w:rsidR="001206FA">
        <w:t>a</w:t>
      </w:r>
      <w:r w:rsidR="00471C17">
        <w:t xml:space="preserve">ction </w:t>
      </w:r>
      <w:r w:rsidR="001206FA">
        <w:t>p</w:t>
      </w:r>
      <w:r w:rsidR="00471C17">
        <w:t>lans.</w:t>
      </w:r>
    </w:p>
    <w:p w14:paraId="37E5E4F6" w14:textId="77777777" w:rsidR="00D24330" w:rsidRPr="00A96255" w:rsidRDefault="00D24330" w:rsidP="00D24330">
      <w:pPr>
        <w:pStyle w:val="MIndHeader"/>
      </w:pPr>
      <w:r w:rsidRPr="00A96255">
        <w:t>0.d. Series</w:t>
      </w:r>
    </w:p>
    <w:p w14:paraId="771888BA" w14:textId="2D540B15" w:rsidR="00D24330" w:rsidRPr="00A96255" w:rsidRDefault="00D24330" w:rsidP="00D24330">
      <w:pPr>
        <w:pStyle w:val="MGTHeader"/>
      </w:pPr>
      <w:r w:rsidRPr="00A96255">
        <w:tab/>
      </w:r>
    </w:p>
    <w:p w14:paraId="157DACE7" w14:textId="77777777" w:rsidR="00D24330" w:rsidRPr="00A96255" w:rsidRDefault="00D24330" w:rsidP="00D24330">
      <w:pPr>
        <w:pStyle w:val="MIndHeader"/>
      </w:pPr>
      <w:r w:rsidRPr="00A96255">
        <w:t>0.e. Metadata update</w:t>
      </w:r>
    </w:p>
    <w:p w14:paraId="08A64B0F" w14:textId="6C7507E8" w:rsidR="003B0D67" w:rsidRPr="00A96255" w:rsidRDefault="00212056" w:rsidP="00D24330">
      <w:pPr>
        <w:pStyle w:val="MGTHeader"/>
      </w:pPr>
      <w:r>
        <w:t xml:space="preserve"> </w:t>
      </w:r>
      <w:r w:rsidR="0095645E">
        <w:t>July</w:t>
      </w:r>
      <w:r>
        <w:t xml:space="preserve"> 2021</w:t>
      </w:r>
    </w:p>
    <w:p w14:paraId="415C9FF1" w14:textId="77777777" w:rsidR="00D24330" w:rsidRPr="00A96255" w:rsidRDefault="00D24330" w:rsidP="00D24330">
      <w:pPr>
        <w:pStyle w:val="MIndHeader"/>
      </w:pPr>
      <w:r w:rsidRPr="00A96255">
        <w:t>0.f. Related indicators</w:t>
      </w:r>
    </w:p>
    <w:p w14:paraId="21524279" w14:textId="7BFF6D6B" w:rsidR="00D24330" w:rsidRPr="00A96255" w:rsidRDefault="003827D1" w:rsidP="00D24330">
      <w:pPr>
        <w:pStyle w:val="MGTHeader"/>
      </w:pPr>
      <w:r>
        <w:rPr>
          <w:rFonts w:cstheme="minorHAnsi"/>
          <w:color w:val="4A4A4A"/>
        </w:rPr>
        <w:t>12.1.1</w:t>
      </w:r>
    </w:p>
    <w:p w14:paraId="077BC49E" w14:textId="77777777" w:rsidR="00D24330" w:rsidRPr="00A96255" w:rsidRDefault="00D24330" w:rsidP="00D24330">
      <w:pPr>
        <w:pStyle w:val="MIndHeader"/>
      </w:pPr>
      <w:r w:rsidRPr="00A96255">
        <w:t>0.g. International organisations(s) responsible for global monitoring</w:t>
      </w:r>
    </w:p>
    <w:p w14:paraId="033DE981" w14:textId="77777777" w:rsidR="00257EA8" w:rsidRDefault="00257EA8" w:rsidP="009E0EF0">
      <w:pPr>
        <w:pStyle w:val="MGTHeader"/>
      </w:pPr>
      <w:r w:rsidRPr="00532B37">
        <w:t>UNEP United Nations Environment Programme</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p>
    <w:p w14:paraId="0BD77982" w14:textId="72DFE854" w:rsidR="00576CFA" w:rsidRPr="00A96255" w:rsidRDefault="00576CFA" w:rsidP="00F719A8">
      <w:pPr>
        <w:pStyle w:val="MHeader2"/>
      </w:pPr>
      <w:r w:rsidRPr="00A96255">
        <w:t>1.a. Organisation</w:t>
      </w:r>
    </w:p>
    <w:p w14:paraId="25747738" w14:textId="77777777" w:rsidR="009C0FB7" w:rsidRDefault="009C0FB7" w:rsidP="009C0FB7">
      <w:pPr>
        <w:shd w:val="clear" w:color="auto" w:fill="FFFFFF"/>
        <w:spacing w:after="0"/>
        <w:rPr>
          <w:rFonts w:eastAsia="Times New Roman" w:cstheme="minorHAnsi"/>
          <w:color w:val="4A4A4A"/>
          <w:sz w:val="21"/>
          <w:szCs w:val="21"/>
          <w:lang w:eastAsia="en-GB"/>
        </w:rPr>
      </w:pPr>
      <w:r w:rsidRPr="00532B37">
        <w:rPr>
          <w:rFonts w:eastAsia="Times New Roman" w:cstheme="minorHAnsi"/>
          <w:color w:val="4A4A4A"/>
          <w:sz w:val="21"/>
          <w:szCs w:val="21"/>
          <w:lang w:eastAsia="en-GB"/>
        </w:rPr>
        <w:t>UNEP United Nations Environment Programme</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742E9358" w14:textId="77777777" w:rsidR="009E0EF0" w:rsidRPr="009E0EF0" w:rsidRDefault="00D51E7C" w:rsidP="00BC58D2">
      <w:pPr>
        <w:shd w:val="clear" w:color="auto" w:fill="FFFFFF"/>
        <w:spacing w:after="0"/>
        <w:jc w:val="both"/>
        <w:rPr>
          <w:rFonts w:cstheme="minorHAnsi"/>
          <w:color w:val="4A4A4A"/>
        </w:rPr>
      </w:pPr>
      <w:r w:rsidRPr="009E0EF0">
        <w:rPr>
          <w:color w:val="4A4A4A"/>
        </w:rPr>
        <w:t>Definitions:</w:t>
      </w:r>
    </w:p>
    <w:p w14:paraId="7C38393B" w14:textId="031E0E79" w:rsidR="007242BF" w:rsidRPr="009E0EF0" w:rsidRDefault="007242BF" w:rsidP="00BC58D2">
      <w:pPr>
        <w:shd w:val="clear" w:color="auto" w:fill="FFFFFF"/>
        <w:spacing w:after="0"/>
        <w:jc w:val="both"/>
        <w:rPr>
          <w:rFonts w:cstheme="minorHAnsi"/>
          <w:color w:val="4A4A4A"/>
        </w:rPr>
      </w:pPr>
      <w:r w:rsidRPr="009E0EF0">
        <w:rPr>
          <w:rFonts w:cstheme="minorHAnsi"/>
          <w:color w:val="4A4A4A"/>
        </w:rPr>
        <w:t xml:space="preserve">The indicator </w:t>
      </w:r>
      <w:r w:rsidR="00446512">
        <w:rPr>
          <w:rFonts w:cstheme="minorHAnsi"/>
          <w:color w:val="4A4A4A"/>
        </w:rPr>
        <w:t>measures the number of countries implementing Sustainable Public Procurement</w:t>
      </w:r>
      <w:r w:rsidR="00EA70DF">
        <w:rPr>
          <w:rFonts w:cstheme="minorHAnsi"/>
          <w:color w:val="4A4A4A"/>
        </w:rPr>
        <w:t xml:space="preserve"> </w:t>
      </w:r>
      <w:r w:rsidR="00EA70DF" w:rsidRPr="00BC58D2">
        <w:rPr>
          <w:rFonts w:cstheme="minorHAnsi"/>
          <w:color w:val="4A4A4A"/>
        </w:rPr>
        <w:t>(SPP)</w:t>
      </w:r>
      <w:r w:rsidR="00446512">
        <w:rPr>
          <w:rFonts w:cstheme="minorHAnsi"/>
          <w:color w:val="4A4A4A"/>
        </w:rPr>
        <w:t xml:space="preserve"> policies and action plans, by assessing</w:t>
      </w:r>
      <w:r w:rsidRPr="009E0EF0">
        <w:rPr>
          <w:rFonts w:cstheme="minorHAnsi"/>
          <w:color w:val="4A4A4A"/>
        </w:rPr>
        <w:t xml:space="preserve"> the degree of </w:t>
      </w:r>
      <w:r w:rsidR="005C7724">
        <w:rPr>
          <w:rFonts w:cstheme="minorHAnsi"/>
          <w:color w:val="4A4A4A"/>
        </w:rPr>
        <w:t>implementation</w:t>
      </w:r>
      <w:r w:rsidRPr="009E0EF0">
        <w:rPr>
          <w:rFonts w:cstheme="minorHAnsi"/>
          <w:color w:val="4A4A4A"/>
        </w:rPr>
        <w:t xml:space="preserve"> through a</w:t>
      </w:r>
      <w:r w:rsidR="000E231B">
        <w:rPr>
          <w:rFonts w:cstheme="minorHAnsi"/>
          <w:color w:val="4A4A4A"/>
        </w:rPr>
        <w:t>n</w:t>
      </w:r>
      <w:r w:rsidRPr="009E0EF0">
        <w:rPr>
          <w:rFonts w:cstheme="minorHAnsi"/>
          <w:color w:val="4A4A4A"/>
        </w:rPr>
        <w:t xml:space="preserve"> index. To produce the index, countries self-assess the following main elements: </w:t>
      </w:r>
    </w:p>
    <w:p w14:paraId="27501CC3" w14:textId="436F677B" w:rsidR="00212056" w:rsidRDefault="00212056" w:rsidP="00BC58D2">
      <w:pPr>
        <w:shd w:val="clear" w:color="auto" w:fill="FFFFFF"/>
        <w:spacing w:after="0"/>
        <w:jc w:val="both"/>
        <w:rPr>
          <w:rFonts w:cstheme="minorHAnsi"/>
          <w:color w:val="4A4A4A"/>
        </w:rPr>
      </w:pPr>
      <w:r>
        <w:rPr>
          <w:rFonts w:cstheme="minorHAnsi"/>
          <w:color w:val="4A4A4A"/>
        </w:rPr>
        <w:t xml:space="preserve">- </w:t>
      </w:r>
      <w:r w:rsidR="00FC478D">
        <w:rPr>
          <w:rFonts w:cstheme="minorHAnsi"/>
          <w:color w:val="4A4A4A"/>
        </w:rPr>
        <w:t>P</w:t>
      </w:r>
      <w:r>
        <w:rPr>
          <w:rFonts w:cstheme="minorHAnsi"/>
          <w:color w:val="4A4A4A"/>
        </w:rPr>
        <w:t>ublic procurement legal and regulatory framework</w:t>
      </w:r>
    </w:p>
    <w:p w14:paraId="1EAA48A4" w14:textId="23E1B71F" w:rsidR="007242BF" w:rsidRPr="009E0EF0" w:rsidRDefault="007242BF" w:rsidP="00BC58D2">
      <w:pPr>
        <w:shd w:val="clear" w:color="auto" w:fill="FFFFFF"/>
        <w:spacing w:after="0"/>
        <w:jc w:val="both"/>
        <w:rPr>
          <w:rFonts w:cstheme="minorHAnsi"/>
          <w:color w:val="4A4A4A"/>
        </w:rPr>
      </w:pPr>
      <w:r w:rsidRPr="009E0EF0">
        <w:rPr>
          <w:rFonts w:cstheme="minorHAnsi"/>
          <w:color w:val="4A4A4A"/>
        </w:rPr>
        <w:t xml:space="preserve">- </w:t>
      </w:r>
      <w:r w:rsidR="00212056">
        <w:rPr>
          <w:rFonts w:cstheme="minorHAnsi"/>
          <w:color w:val="4A4A4A"/>
        </w:rPr>
        <w:t>P</w:t>
      </w:r>
      <w:r w:rsidRPr="009E0EF0">
        <w:rPr>
          <w:rFonts w:cstheme="minorHAnsi"/>
          <w:color w:val="4A4A4A"/>
        </w:rPr>
        <w:t>ractical support delivered for the implementation of SPP</w:t>
      </w:r>
    </w:p>
    <w:p w14:paraId="05D85CEA" w14:textId="0EA94DD2" w:rsidR="007242BF" w:rsidRPr="009E0EF0" w:rsidRDefault="007242BF" w:rsidP="00BC58D2">
      <w:pPr>
        <w:shd w:val="clear" w:color="auto" w:fill="FFFFFF"/>
        <w:spacing w:after="0"/>
        <w:jc w:val="both"/>
        <w:rPr>
          <w:rFonts w:cstheme="minorHAnsi"/>
          <w:color w:val="4A4A4A"/>
        </w:rPr>
      </w:pPr>
      <w:r w:rsidRPr="009E0EF0">
        <w:rPr>
          <w:rFonts w:cstheme="minorHAnsi"/>
          <w:color w:val="4A4A4A"/>
        </w:rPr>
        <w:t xml:space="preserve">- SPP </w:t>
      </w:r>
      <w:r w:rsidR="00FC478D">
        <w:rPr>
          <w:rFonts w:cstheme="minorHAnsi"/>
          <w:color w:val="4A4A4A"/>
        </w:rPr>
        <w:t>priority products and corresponding sustainable procurement</w:t>
      </w:r>
      <w:r w:rsidRPr="009E0EF0">
        <w:rPr>
          <w:rFonts w:cstheme="minorHAnsi"/>
          <w:color w:val="4A4A4A"/>
        </w:rPr>
        <w:t xml:space="preserve"> criteria </w:t>
      </w:r>
    </w:p>
    <w:p w14:paraId="74B8FD0B" w14:textId="77D07619" w:rsidR="00212056" w:rsidRDefault="00212056" w:rsidP="00BC58D2">
      <w:pPr>
        <w:shd w:val="clear" w:color="auto" w:fill="FFFFFF"/>
        <w:spacing w:after="0"/>
        <w:jc w:val="both"/>
        <w:rPr>
          <w:rFonts w:cstheme="minorHAnsi"/>
          <w:color w:val="4A4A4A"/>
        </w:rPr>
      </w:pPr>
      <w:r w:rsidRPr="009E0EF0">
        <w:rPr>
          <w:rFonts w:cstheme="minorHAnsi"/>
          <w:color w:val="4A4A4A"/>
        </w:rPr>
        <w:t xml:space="preserve">- </w:t>
      </w:r>
      <w:r>
        <w:rPr>
          <w:rFonts w:cstheme="minorHAnsi"/>
          <w:color w:val="4A4A4A"/>
        </w:rPr>
        <w:t>E</w:t>
      </w:r>
      <w:r w:rsidRPr="009E0EF0">
        <w:rPr>
          <w:rFonts w:cstheme="minorHAnsi"/>
          <w:color w:val="4A4A4A"/>
        </w:rPr>
        <w:t>xistence of SPP monitoring system</w:t>
      </w:r>
    </w:p>
    <w:p w14:paraId="134F8B9B" w14:textId="02E46231" w:rsidR="00212056" w:rsidRPr="009E0EF0" w:rsidRDefault="00212056" w:rsidP="00BC58D2">
      <w:pPr>
        <w:shd w:val="clear" w:color="auto" w:fill="FFFFFF"/>
        <w:spacing w:after="0"/>
        <w:jc w:val="both"/>
        <w:rPr>
          <w:rFonts w:cstheme="minorHAnsi"/>
          <w:color w:val="4A4A4A"/>
        </w:rPr>
      </w:pPr>
      <w:r>
        <w:rPr>
          <w:rFonts w:cstheme="minorHAnsi"/>
          <w:color w:val="4A4A4A"/>
        </w:rPr>
        <w:t>- Measurement of actual SPP outcome.</w:t>
      </w:r>
    </w:p>
    <w:p w14:paraId="58712518" w14:textId="28EAC4C7" w:rsidR="007242BF" w:rsidRPr="009E0EF0" w:rsidRDefault="00FC478D" w:rsidP="00BC58D2">
      <w:pPr>
        <w:shd w:val="clear" w:color="auto" w:fill="FFFFFF"/>
        <w:spacing w:after="0"/>
        <w:jc w:val="both"/>
        <w:rPr>
          <w:rFonts w:cstheme="minorHAnsi"/>
          <w:color w:val="4A4A4A"/>
        </w:rPr>
      </w:pPr>
      <w:r>
        <w:rPr>
          <w:rFonts w:cstheme="minorHAnsi"/>
          <w:color w:val="4A4A4A"/>
        </w:rPr>
        <w:t>M</w:t>
      </w:r>
      <w:r w:rsidR="007242BF" w:rsidRPr="009E0EF0">
        <w:rPr>
          <w:rFonts w:cstheme="minorHAnsi"/>
          <w:color w:val="4A4A4A"/>
        </w:rPr>
        <w:t xml:space="preserve">ore details are provided in the </w:t>
      </w:r>
      <w:r w:rsidR="00780D92">
        <w:rPr>
          <w:rFonts w:cstheme="minorHAnsi"/>
          <w:color w:val="4A4A4A"/>
        </w:rPr>
        <w:t>attached</w:t>
      </w:r>
      <w:r w:rsidR="00780D92" w:rsidRPr="009E0EF0">
        <w:rPr>
          <w:rFonts w:cstheme="minorHAnsi"/>
          <w:color w:val="4A4A4A"/>
        </w:rPr>
        <w:t xml:space="preserve"> </w:t>
      </w:r>
      <w:r w:rsidR="00780D92">
        <w:rPr>
          <w:rFonts w:cstheme="minorHAnsi"/>
          <w:color w:val="4A4A4A"/>
        </w:rPr>
        <w:t>“</w:t>
      </w:r>
      <w:r w:rsidR="007242BF" w:rsidRPr="009E0EF0">
        <w:rPr>
          <w:rFonts w:cstheme="minorHAnsi"/>
          <w:color w:val="4A4A4A"/>
        </w:rPr>
        <w:t>SPP Index Methodology</w:t>
      </w:r>
      <w:r w:rsidR="003B0D67">
        <w:rPr>
          <w:rFonts w:cstheme="minorHAnsi"/>
          <w:color w:val="4A4A4A"/>
        </w:rPr>
        <w:t>”</w:t>
      </w:r>
      <w:r w:rsidR="00780D92">
        <w:rPr>
          <w:rFonts w:cstheme="minorHAnsi"/>
          <w:color w:val="4A4A4A"/>
        </w:rPr>
        <w:t xml:space="preserve"> (revised February 2021)</w:t>
      </w:r>
      <w:r w:rsidR="003B0D67">
        <w:rPr>
          <w:rFonts w:cstheme="minorHAnsi"/>
          <w:color w:val="4A4A4A"/>
        </w:rPr>
        <w:t>.</w:t>
      </w:r>
    </w:p>
    <w:p w14:paraId="07A8EA61" w14:textId="77777777" w:rsidR="007242BF" w:rsidRPr="009E0EF0" w:rsidRDefault="007242BF" w:rsidP="007242BF">
      <w:pPr>
        <w:shd w:val="clear" w:color="auto" w:fill="FFFFFF"/>
        <w:spacing w:after="0"/>
        <w:rPr>
          <w:rFonts w:cstheme="minorHAnsi"/>
          <w:color w:val="4A4A4A"/>
        </w:rPr>
      </w:pPr>
    </w:p>
    <w:p w14:paraId="0D108B1F" w14:textId="77777777" w:rsidR="009E0EF0" w:rsidRPr="009E0EF0" w:rsidRDefault="00D51E7C" w:rsidP="00CE388E">
      <w:pPr>
        <w:shd w:val="clear" w:color="auto" w:fill="FFFFFF"/>
        <w:spacing w:after="0"/>
        <w:jc w:val="both"/>
        <w:rPr>
          <w:rFonts w:cstheme="minorHAnsi"/>
          <w:i/>
          <w:iCs/>
          <w:color w:val="4A4A4A"/>
          <w:sz w:val="21"/>
          <w:szCs w:val="21"/>
          <w:lang w:val="en-US"/>
        </w:rPr>
      </w:pPr>
      <w:r w:rsidRPr="009E0EF0">
        <w:rPr>
          <w:color w:val="4A4A4A"/>
        </w:rPr>
        <w:t>Concepts:</w:t>
      </w:r>
    </w:p>
    <w:p w14:paraId="2565C96D" w14:textId="59D64B38" w:rsidR="00CE388E" w:rsidRPr="009E0EF0" w:rsidRDefault="00CE388E" w:rsidP="00CE388E">
      <w:pPr>
        <w:shd w:val="clear" w:color="auto" w:fill="FFFFFF"/>
        <w:spacing w:after="0"/>
        <w:jc w:val="both"/>
        <w:rPr>
          <w:rFonts w:cstheme="minorHAnsi"/>
          <w:color w:val="4A4A4A"/>
          <w:sz w:val="21"/>
          <w:szCs w:val="21"/>
        </w:rPr>
      </w:pPr>
      <w:r w:rsidRPr="009E0EF0">
        <w:rPr>
          <w:rFonts w:cstheme="minorHAnsi"/>
          <w:i/>
          <w:iCs/>
          <w:color w:val="4A4A4A"/>
          <w:sz w:val="21"/>
          <w:szCs w:val="21"/>
          <w:lang w:val="en-US"/>
        </w:rPr>
        <w:lastRenderedPageBreak/>
        <w:t xml:space="preserve">Sustainable Public Procurement (SPP): </w:t>
      </w:r>
      <w:r w:rsidRPr="009E0EF0">
        <w:rPr>
          <w:rFonts w:cstheme="minorHAnsi"/>
          <w:color w:val="4A4A4A"/>
          <w:sz w:val="21"/>
          <w:szCs w:val="21"/>
        </w:rPr>
        <w:t>Sustainable Public Procurement is a “A process whereby public organizations meet their needs for goods, services, works and utilities in a way that achieves value for money on a whole life cycle basis in terms of generating benefits not only to the organisation, but also to society and the economy, whilst significantly reducing negative impacts on the environment.” (Definition updated by the Multistakeholder Advisory Committee of the 10YFP SPP Programme)</w:t>
      </w:r>
    </w:p>
    <w:p w14:paraId="4CED16D7" w14:textId="77777777" w:rsidR="00CE388E" w:rsidRPr="009E0EF0" w:rsidRDefault="00CE388E" w:rsidP="00CE388E">
      <w:pPr>
        <w:shd w:val="clear" w:color="auto" w:fill="FFFFFF"/>
        <w:spacing w:after="0"/>
        <w:jc w:val="both"/>
        <w:rPr>
          <w:rFonts w:cstheme="minorHAnsi"/>
          <w:color w:val="4A4A4A"/>
          <w:sz w:val="21"/>
          <w:szCs w:val="21"/>
        </w:rPr>
      </w:pPr>
    </w:p>
    <w:p w14:paraId="3E921172" w14:textId="77777777" w:rsidR="00CE388E" w:rsidRPr="009E0EF0" w:rsidRDefault="00CE388E" w:rsidP="00CE388E">
      <w:pPr>
        <w:shd w:val="clear" w:color="auto" w:fill="FFFFFF"/>
        <w:spacing w:after="0"/>
        <w:jc w:val="both"/>
        <w:rPr>
          <w:rFonts w:cstheme="minorHAnsi"/>
          <w:color w:val="4A4A4A"/>
          <w:sz w:val="21"/>
          <w:szCs w:val="21"/>
        </w:rPr>
      </w:pPr>
      <w:r w:rsidRPr="009E0EF0">
        <w:rPr>
          <w:rFonts w:cstheme="minorHAnsi"/>
          <w:i/>
          <w:iCs/>
          <w:color w:val="4A4A4A"/>
          <w:sz w:val="21"/>
          <w:szCs w:val="21"/>
        </w:rPr>
        <w:t>Sustainable Public Procurement Action Plan:</w:t>
      </w:r>
      <w:r w:rsidRPr="009E0EF0">
        <w:rPr>
          <w:rFonts w:cstheme="minorHAnsi"/>
          <w:color w:val="4A4A4A"/>
          <w:sz w:val="21"/>
          <w:szCs w:val="21"/>
        </w:rPr>
        <w:t xml:space="preserve"> A Sustainable Public Procurement (SPP) action plan is a policy document articulating the priorities and actions a public authority will adopt to support the implementation of SPP. </w:t>
      </w:r>
    </w:p>
    <w:p w14:paraId="04B40601" w14:textId="77777777" w:rsidR="00CE388E" w:rsidRPr="009E0EF0" w:rsidRDefault="00CE388E" w:rsidP="00CE388E">
      <w:pPr>
        <w:shd w:val="clear" w:color="auto" w:fill="FFFFFF"/>
        <w:spacing w:after="0"/>
        <w:jc w:val="both"/>
        <w:rPr>
          <w:rFonts w:cstheme="minorHAnsi"/>
          <w:color w:val="4A4A4A"/>
          <w:sz w:val="21"/>
          <w:szCs w:val="21"/>
        </w:rPr>
      </w:pPr>
      <w:r w:rsidRPr="009E0EF0">
        <w:rPr>
          <w:rFonts w:cstheme="minorHAnsi"/>
          <w:color w:val="4A4A4A"/>
          <w:sz w:val="21"/>
          <w:szCs w:val="21"/>
        </w:rPr>
        <w:t xml:space="preserve">Plans usually/should address the economic, environmental and social dimensions of SPP, and recognise the potential for SPP to realise SDGs”. In some cases a country’s action plan may focus on a single aspect of sustainability, being either environmental (e.g. “Green” public procurement action plan), social (e.g. reference to human rights, fair trade, focus on employment of minorities, etc.), or economic (e.g. promotion of SMEs’ participation in tenders, focus on employment of minorities, etc.). </w:t>
      </w:r>
    </w:p>
    <w:p w14:paraId="69E8DF61" w14:textId="30CCFA1E" w:rsidR="00CE388E" w:rsidRPr="009E0EF0" w:rsidRDefault="00CE388E" w:rsidP="00CE388E">
      <w:pPr>
        <w:shd w:val="clear" w:color="auto" w:fill="FFFFFF"/>
        <w:spacing w:after="0"/>
        <w:jc w:val="both"/>
        <w:rPr>
          <w:rFonts w:cstheme="minorHAnsi"/>
          <w:color w:val="4A4A4A"/>
          <w:sz w:val="21"/>
          <w:szCs w:val="21"/>
        </w:rPr>
      </w:pPr>
    </w:p>
    <w:p w14:paraId="25CE84A6" w14:textId="77777777" w:rsidR="00CE388E" w:rsidRPr="009E0EF0" w:rsidRDefault="00CE388E" w:rsidP="00CE388E">
      <w:pPr>
        <w:shd w:val="clear" w:color="auto" w:fill="FFFFFF"/>
        <w:spacing w:after="0"/>
        <w:jc w:val="both"/>
        <w:rPr>
          <w:rFonts w:cstheme="minorHAnsi"/>
          <w:color w:val="4A4A4A"/>
          <w:sz w:val="21"/>
          <w:szCs w:val="21"/>
        </w:rPr>
      </w:pPr>
      <w:r w:rsidRPr="009E0EF0">
        <w:rPr>
          <w:rFonts w:cstheme="minorHAnsi"/>
          <w:i/>
          <w:iCs/>
          <w:color w:val="4A4A4A"/>
          <w:sz w:val="21"/>
          <w:szCs w:val="21"/>
        </w:rPr>
        <w:t>Best Value for Money:</w:t>
      </w:r>
      <w:r w:rsidRPr="009E0EF0">
        <w:rPr>
          <w:rFonts w:cstheme="minorHAnsi"/>
          <w:color w:val="4A4A4A"/>
          <w:sz w:val="21"/>
          <w:szCs w:val="21"/>
        </w:rPr>
        <w:t xml:space="preserve"> can be defined as the “optimum combination of whole-life cost and quality to meet the end-user's requirements".</w:t>
      </w:r>
    </w:p>
    <w:p w14:paraId="7EC3AA2B" w14:textId="77777777" w:rsidR="00CE388E" w:rsidRPr="009E0EF0" w:rsidRDefault="00CE388E" w:rsidP="00CE388E">
      <w:pPr>
        <w:shd w:val="clear" w:color="auto" w:fill="FFFFFF"/>
        <w:spacing w:after="0"/>
        <w:jc w:val="both"/>
        <w:rPr>
          <w:rFonts w:cstheme="minorHAnsi"/>
          <w:color w:val="4A4A4A"/>
          <w:sz w:val="21"/>
          <w:szCs w:val="21"/>
        </w:rPr>
      </w:pPr>
    </w:p>
    <w:p w14:paraId="336439F8" w14:textId="77777777" w:rsidR="00CE388E" w:rsidRPr="009E0EF0" w:rsidRDefault="00CE388E" w:rsidP="00CE388E">
      <w:pPr>
        <w:shd w:val="clear" w:color="auto" w:fill="FFFFFF"/>
        <w:spacing w:after="0"/>
        <w:jc w:val="both"/>
        <w:rPr>
          <w:rFonts w:cstheme="minorHAnsi"/>
          <w:color w:val="4A4A4A"/>
          <w:sz w:val="21"/>
          <w:szCs w:val="21"/>
        </w:rPr>
      </w:pPr>
      <w:r w:rsidRPr="009E0EF0">
        <w:rPr>
          <w:rFonts w:cstheme="minorHAnsi"/>
          <w:i/>
          <w:iCs/>
          <w:color w:val="4A4A4A"/>
          <w:sz w:val="21"/>
          <w:szCs w:val="21"/>
        </w:rPr>
        <w:t>Life-cycle costing (LCC):</w:t>
      </w:r>
      <w:r w:rsidRPr="009E0EF0">
        <w:rPr>
          <w:rFonts w:cstheme="minorHAnsi"/>
          <w:color w:val="4A4A4A"/>
          <w:sz w:val="21"/>
          <w:szCs w:val="21"/>
        </w:rPr>
        <w:t xml:space="preserve">  is used to evaluate costs which may not be reflected in the purchase price of a product, work or service, and which will be incurred during their lifetime.</w:t>
      </w:r>
    </w:p>
    <w:p w14:paraId="2710ACCC" w14:textId="77777777" w:rsidR="00CE388E" w:rsidRPr="009E0EF0" w:rsidRDefault="00CE388E" w:rsidP="00CE388E">
      <w:pPr>
        <w:shd w:val="clear" w:color="auto" w:fill="FFFFFF"/>
        <w:spacing w:after="0"/>
        <w:jc w:val="both"/>
        <w:rPr>
          <w:rFonts w:cstheme="minorHAnsi"/>
          <w:color w:val="4A4A4A"/>
          <w:sz w:val="21"/>
          <w:szCs w:val="21"/>
        </w:rPr>
      </w:pPr>
    </w:p>
    <w:p w14:paraId="45C1CF72" w14:textId="77777777" w:rsidR="00CE388E" w:rsidRPr="009E0EF0" w:rsidRDefault="00CE388E" w:rsidP="00CE388E">
      <w:pPr>
        <w:shd w:val="clear" w:color="auto" w:fill="FFFFFF"/>
        <w:spacing w:after="0"/>
        <w:jc w:val="both"/>
        <w:rPr>
          <w:rFonts w:cstheme="minorHAnsi"/>
          <w:color w:val="4A4A4A"/>
          <w:sz w:val="21"/>
          <w:szCs w:val="21"/>
        </w:rPr>
      </w:pPr>
      <w:r w:rsidRPr="009E0EF0">
        <w:rPr>
          <w:rFonts w:cstheme="minorHAnsi"/>
          <w:i/>
          <w:iCs/>
          <w:color w:val="4A4A4A"/>
          <w:sz w:val="21"/>
          <w:szCs w:val="21"/>
        </w:rPr>
        <w:t>MEAT:</w:t>
      </w:r>
      <w:r w:rsidRPr="009E0EF0">
        <w:rPr>
          <w:rFonts w:cstheme="minorHAnsi"/>
          <w:color w:val="4A4A4A"/>
          <w:sz w:val="21"/>
          <w:szCs w:val="21"/>
        </w:rPr>
        <w:t xml:space="preserve"> The Most Economically Advantageous Tender criterion enables the contracting authority to take account of criteria that reflect qualitative, technical and sustainable aspects of the tender submission as well as price when reaching an award decision.</w:t>
      </w:r>
    </w:p>
    <w:p w14:paraId="3740313D" w14:textId="77777777" w:rsidR="00CE388E" w:rsidRPr="009E0EF0" w:rsidRDefault="00CE388E" w:rsidP="00CE388E">
      <w:pPr>
        <w:shd w:val="clear" w:color="auto" w:fill="FFFFFF"/>
        <w:spacing w:after="0"/>
        <w:jc w:val="both"/>
        <w:rPr>
          <w:rFonts w:cstheme="minorHAnsi"/>
          <w:color w:val="4A4A4A"/>
          <w:sz w:val="21"/>
          <w:szCs w:val="21"/>
        </w:rPr>
      </w:pPr>
    </w:p>
    <w:p w14:paraId="34ADCF6C" w14:textId="77777777" w:rsidR="00CE388E" w:rsidRPr="009E0EF0" w:rsidRDefault="00CE388E" w:rsidP="00CE388E">
      <w:pPr>
        <w:shd w:val="clear" w:color="auto" w:fill="FFFFFF"/>
        <w:spacing w:after="0"/>
        <w:jc w:val="both"/>
        <w:rPr>
          <w:rFonts w:cstheme="minorHAnsi"/>
          <w:color w:val="4A4A4A"/>
          <w:sz w:val="21"/>
          <w:szCs w:val="21"/>
        </w:rPr>
      </w:pPr>
      <w:r w:rsidRPr="009E0EF0">
        <w:rPr>
          <w:rFonts w:cstheme="minorHAnsi"/>
          <w:color w:val="4A4A4A"/>
          <w:sz w:val="21"/>
          <w:szCs w:val="21"/>
        </w:rPr>
        <w:t>More reference about the above and their contextualization can be found in the document attached “SPP Index methodology”.</w:t>
      </w:r>
    </w:p>
    <w:p w14:paraId="6E54D3D6" w14:textId="4770EB42" w:rsidR="00EC2915" w:rsidRPr="00A96255" w:rsidRDefault="00EC2915"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2DEB1A0F" w14:textId="5BF7BCAC" w:rsidR="00471C17" w:rsidRDefault="00471C17" w:rsidP="00576CFA">
      <w:pPr>
        <w:pStyle w:val="MText"/>
      </w:pPr>
      <w:r>
        <w:t xml:space="preserve">The unit of measure of SDG 12.7.1. indicator is the number of countries </w:t>
      </w:r>
      <w:r w:rsidR="009C7AEB">
        <w:t>implementing SPP policies and action plans.</w:t>
      </w:r>
    </w:p>
    <w:p w14:paraId="548E9AAA" w14:textId="77777777" w:rsidR="00EC2915" w:rsidRPr="00BC58D2" w:rsidRDefault="00EC2915" w:rsidP="00576CFA">
      <w:pPr>
        <w:pStyle w:val="MText"/>
        <w:rPr>
          <w:lang w:val="en-US"/>
        </w:rPr>
      </w:pPr>
    </w:p>
    <w:p w14:paraId="651AA7AC" w14:textId="5144B8C4" w:rsidR="00DA615C" w:rsidRPr="00A96255" w:rsidRDefault="008B0AC7" w:rsidP="00F719A8">
      <w:pPr>
        <w:pStyle w:val="MHeader2"/>
      </w:pPr>
      <w:r w:rsidRPr="00A96255">
        <w:t>2.c. Classifications</w:t>
      </w:r>
    </w:p>
    <w:p w14:paraId="123172F4" w14:textId="412D2D90" w:rsidR="00F719A8" w:rsidRDefault="00FC478D" w:rsidP="00576CFA">
      <w:pPr>
        <w:pStyle w:val="MText"/>
      </w:pPr>
      <w:r>
        <w:t>N/A</w:t>
      </w:r>
    </w:p>
    <w:p w14:paraId="7D39D7A2" w14:textId="77777777" w:rsidR="003B0D67" w:rsidRPr="00A96255" w:rsidRDefault="003B0D67"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3F38896B" w14:textId="77777777" w:rsidR="007A7537" w:rsidRDefault="007A7537" w:rsidP="0039496D">
      <w:pPr>
        <w:shd w:val="clear" w:color="auto" w:fill="FFFFFF"/>
        <w:spacing w:after="0"/>
        <w:rPr>
          <w:rFonts w:eastAsia="Times New Roman" w:cstheme="minorHAnsi"/>
          <w:color w:val="4A4A4A"/>
          <w:sz w:val="21"/>
          <w:szCs w:val="21"/>
          <w:lang w:eastAsia="en-GB"/>
        </w:rPr>
      </w:pPr>
    </w:p>
    <w:p w14:paraId="4C9FC3EC" w14:textId="34596391" w:rsidR="00BA2C53" w:rsidRPr="00BC58D2" w:rsidRDefault="007A7537" w:rsidP="00BC58D2">
      <w:pPr>
        <w:shd w:val="clear" w:color="auto" w:fill="FFFFFF"/>
        <w:spacing w:after="0"/>
        <w:jc w:val="both"/>
        <w:rPr>
          <w:rFonts w:eastAsia="Times New Roman" w:cstheme="minorHAnsi"/>
          <w:b/>
          <w:bCs/>
          <w:color w:val="4A4A4A"/>
          <w:sz w:val="21"/>
          <w:szCs w:val="21"/>
          <w:lang w:eastAsia="en-GB"/>
        </w:rPr>
      </w:pPr>
      <w:r w:rsidRPr="00BC58D2">
        <w:rPr>
          <w:rFonts w:eastAsia="Times New Roman" w:cstheme="minorHAnsi"/>
          <w:color w:val="4A4A4A"/>
          <w:sz w:val="21"/>
          <w:szCs w:val="21"/>
          <w:lang w:eastAsia="en-GB"/>
        </w:rPr>
        <w:t xml:space="preserve">Based on the contact list of focal points identified in the drafting of </w:t>
      </w:r>
      <w:r w:rsidR="00FC478D">
        <w:rPr>
          <w:rFonts w:eastAsia="Times New Roman" w:cstheme="minorHAnsi"/>
          <w:color w:val="4A4A4A"/>
          <w:sz w:val="21"/>
          <w:szCs w:val="21"/>
          <w:lang w:eastAsia="en-GB"/>
        </w:rPr>
        <w:t xml:space="preserve">the </w:t>
      </w:r>
      <w:r w:rsidRPr="00BC58D2">
        <w:rPr>
          <w:rFonts w:eastAsia="Times New Roman" w:cstheme="minorHAnsi"/>
          <w:color w:val="4A4A4A"/>
          <w:sz w:val="21"/>
          <w:szCs w:val="21"/>
          <w:lang w:eastAsia="en-GB"/>
        </w:rPr>
        <w:t xml:space="preserve">2017 SPP country factsheets and of the One Planet 10-year framework of programmes on Sustainable Consumption and Production patterns, representatives from more than </w:t>
      </w:r>
      <w:r w:rsidRPr="00BC58D2">
        <w:rPr>
          <w:rFonts w:eastAsia="Times New Roman" w:cstheme="minorHAnsi"/>
          <w:b/>
          <w:bCs/>
          <w:color w:val="4A4A4A"/>
          <w:sz w:val="21"/>
          <w:szCs w:val="21"/>
          <w:lang w:eastAsia="en-GB"/>
        </w:rPr>
        <w:t>70 countries</w:t>
      </w:r>
      <w:r w:rsidRPr="00BC58D2">
        <w:rPr>
          <w:rFonts w:eastAsia="Times New Roman" w:cstheme="minorHAnsi"/>
          <w:color w:val="4A4A4A"/>
          <w:sz w:val="21"/>
          <w:szCs w:val="21"/>
          <w:lang w:eastAsia="en-GB"/>
        </w:rPr>
        <w:t xml:space="preserve"> were contacted from September to November 2020</w:t>
      </w:r>
      <w:r w:rsidRPr="00BC58D2">
        <w:rPr>
          <w:rFonts w:eastAsia="Times New Roman" w:cstheme="minorHAnsi"/>
          <w:b/>
          <w:bCs/>
          <w:color w:val="4A4A4A"/>
          <w:sz w:val="21"/>
          <w:szCs w:val="21"/>
          <w:lang w:eastAsia="en-GB"/>
        </w:rPr>
        <w:t xml:space="preserve">, </w:t>
      </w:r>
      <w:r w:rsidR="00BA2C53" w:rsidRPr="00BC58D2">
        <w:rPr>
          <w:rFonts w:eastAsia="Times New Roman" w:cstheme="minorHAnsi"/>
          <w:b/>
          <w:bCs/>
          <w:color w:val="4A4A4A"/>
          <w:sz w:val="21"/>
          <w:szCs w:val="21"/>
          <w:lang w:eastAsia="en-GB"/>
        </w:rPr>
        <w:t>to identify relevant focal points</w:t>
      </w:r>
      <w:r w:rsidR="001D3845" w:rsidRPr="00BC58D2">
        <w:rPr>
          <w:rFonts w:eastAsia="Times New Roman" w:cstheme="minorHAnsi"/>
          <w:b/>
          <w:bCs/>
          <w:color w:val="4A4A4A"/>
          <w:sz w:val="21"/>
          <w:szCs w:val="21"/>
          <w:lang w:eastAsia="en-GB"/>
        </w:rPr>
        <w:t xml:space="preserve"> for SDG 12.7.1 data collection.</w:t>
      </w:r>
    </w:p>
    <w:p w14:paraId="6882BEBF" w14:textId="77777777" w:rsidR="00A44665" w:rsidRDefault="00A44665" w:rsidP="00BC58D2">
      <w:pPr>
        <w:shd w:val="clear" w:color="auto" w:fill="FFFFFF"/>
        <w:spacing w:after="0"/>
        <w:jc w:val="both"/>
        <w:rPr>
          <w:rFonts w:eastAsia="Times New Roman" w:cstheme="minorHAnsi"/>
          <w:color w:val="4A4A4A"/>
          <w:sz w:val="21"/>
          <w:szCs w:val="21"/>
          <w:lang w:eastAsia="en-GB"/>
        </w:rPr>
      </w:pPr>
    </w:p>
    <w:p w14:paraId="7496A54F" w14:textId="6CB0538A" w:rsidR="006913BE" w:rsidRDefault="00BA2C53" w:rsidP="00BC58D2">
      <w:pPr>
        <w:shd w:val="clear" w:color="auto" w:fill="FFFFFF"/>
        <w:spacing w:after="0"/>
        <w:jc w:val="both"/>
        <w:rPr>
          <w:rFonts w:eastAsia="Times New Roman" w:cstheme="minorHAnsi"/>
          <w:color w:val="4A4A4A"/>
          <w:sz w:val="21"/>
          <w:szCs w:val="21"/>
          <w:lang w:eastAsia="en-GB"/>
        </w:rPr>
      </w:pPr>
      <w:r w:rsidRPr="00A44665">
        <w:rPr>
          <w:rFonts w:eastAsia="Times New Roman" w:cstheme="minorHAnsi"/>
          <w:color w:val="4A4A4A"/>
          <w:sz w:val="21"/>
          <w:szCs w:val="21"/>
          <w:lang w:eastAsia="en-GB"/>
        </w:rPr>
        <w:lastRenderedPageBreak/>
        <w:t xml:space="preserve">As a result of this process, </w:t>
      </w:r>
      <w:r w:rsidR="006913BE" w:rsidRPr="00BC58D2">
        <w:rPr>
          <w:rFonts w:eastAsia="Times New Roman" w:cstheme="minorHAnsi"/>
          <w:b/>
          <w:bCs/>
          <w:color w:val="4A4A4A"/>
          <w:sz w:val="21"/>
          <w:szCs w:val="21"/>
          <w:lang w:eastAsia="en-GB"/>
        </w:rPr>
        <w:t>55+ national governments</w:t>
      </w:r>
      <w:r w:rsidR="006913BE" w:rsidRPr="00BC58D2">
        <w:rPr>
          <w:rFonts w:eastAsia="Times New Roman" w:cstheme="minorHAnsi"/>
          <w:color w:val="4A4A4A"/>
          <w:sz w:val="21"/>
          <w:szCs w:val="21"/>
          <w:lang w:eastAsia="en-GB"/>
        </w:rPr>
        <w:t xml:space="preserve"> and </w:t>
      </w:r>
      <w:r w:rsidR="006913BE" w:rsidRPr="00BC58D2">
        <w:rPr>
          <w:rFonts w:eastAsia="Times New Roman" w:cstheme="minorHAnsi"/>
          <w:b/>
          <w:bCs/>
          <w:color w:val="4A4A4A"/>
          <w:sz w:val="21"/>
          <w:szCs w:val="21"/>
          <w:lang w:eastAsia="en-GB"/>
        </w:rPr>
        <w:t>8 subnational governments</w:t>
      </w:r>
      <w:r w:rsidR="006913BE" w:rsidRPr="00BC58D2">
        <w:rPr>
          <w:rFonts w:eastAsia="Times New Roman" w:cstheme="minorHAnsi"/>
          <w:color w:val="4A4A4A"/>
          <w:sz w:val="21"/>
          <w:szCs w:val="21"/>
          <w:lang w:eastAsia="en-GB"/>
        </w:rPr>
        <w:t xml:space="preserve"> (reporting independently from their national government) </w:t>
      </w:r>
      <w:r w:rsidR="006913BE" w:rsidRPr="00BC58D2">
        <w:rPr>
          <w:rFonts w:eastAsia="Times New Roman" w:cstheme="minorHAnsi"/>
          <w:b/>
          <w:bCs/>
          <w:color w:val="4A4A4A"/>
          <w:sz w:val="21"/>
          <w:szCs w:val="21"/>
          <w:lang w:eastAsia="en-GB"/>
        </w:rPr>
        <w:t xml:space="preserve">set a specific team </w:t>
      </w:r>
      <w:r w:rsidR="00A44665" w:rsidRPr="00BC58D2">
        <w:rPr>
          <w:rFonts w:eastAsia="Times New Roman" w:cstheme="minorHAnsi"/>
          <w:b/>
          <w:bCs/>
          <w:color w:val="4A4A4A"/>
          <w:sz w:val="21"/>
          <w:szCs w:val="21"/>
          <w:lang w:eastAsia="en-GB"/>
        </w:rPr>
        <w:t xml:space="preserve">or </w:t>
      </w:r>
      <w:r w:rsidR="00FC478D">
        <w:rPr>
          <w:rFonts w:eastAsia="Times New Roman" w:cstheme="minorHAnsi"/>
          <w:b/>
          <w:bCs/>
          <w:color w:val="4A4A4A"/>
          <w:sz w:val="21"/>
          <w:szCs w:val="21"/>
          <w:lang w:eastAsia="en-GB"/>
        </w:rPr>
        <w:t>designated</w:t>
      </w:r>
      <w:r w:rsidR="00A44665" w:rsidRPr="00BC58D2">
        <w:rPr>
          <w:rFonts w:eastAsia="Times New Roman" w:cstheme="minorHAnsi"/>
          <w:b/>
          <w:bCs/>
          <w:color w:val="4A4A4A"/>
          <w:sz w:val="21"/>
          <w:szCs w:val="21"/>
          <w:lang w:eastAsia="en-GB"/>
        </w:rPr>
        <w:t xml:space="preserve"> a relevant focal point</w:t>
      </w:r>
      <w:r w:rsidR="00A44665" w:rsidRPr="00A44665">
        <w:rPr>
          <w:rFonts w:eastAsia="Times New Roman" w:cstheme="minorHAnsi"/>
          <w:b/>
          <w:bCs/>
          <w:color w:val="4A4A4A"/>
          <w:sz w:val="21"/>
          <w:szCs w:val="21"/>
          <w:lang w:eastAsia="en-GB"/>
        </w:rPr>
        <w:t xml:space="preserve"> </w:t>
      </w:r>
      <w:r w:rsidR="006913BE" w:rsidRPr="00BC58D2">
        <w:rPr>
          <w:rFonts w:eastAsia="Times New Roman" w:cstheme="minorHAnsi"/>
          <w:b/>
          <w:bCs/>
          <w:color w:val="4A4A4A"/>
          <w:sz w:val="21"/>
          <w:szCs w:val="21"/>
          <w:lang w:eastAsia="en-GB"/>
        </w:rPr>
        <w:t>to report on SDG 12.7.1 indicator</w:t>
      </w:r>
      <w:r w:rsidR="001D3845" w:rsidRPr="00BC58D2">
        <w:rPr>
          <w:rFonts w:eastAsia="Times New Roman" w:cstheme="minorHAnsi"/>
          <w:color w:val="4A4A4A"/>
          <w:sz w:val="21"/>
          <w:szCs w:val="21"/>
          <w:lang w:eastAsia="en-GB"/>
        </w:rPr>
        <w:t xml:space="preserve">, </w:t>
      </w:r>
      <w:r w:rsidR="001D3845" w:rsidRPr="00A44665">
        <w:rPr>
          <w:rFonts w:eastAsia="Times New Roman" w:cstheme="minorHAnsi"/>
          <w:color w:val="4A4A4A"/>
          <w:sz w:val="21"/>
          <w:szCs w:val="21"/>
          <w:lang w:eastAsia="en-GB"/>
        </w:rPr>
        <w:t xml:space="preserve">most often </w:t>
      </w:r>
      <w:r w:rsidR="001D3845" w:rsidRPr="00BC58D2">
        <w:rPr>
          <w:rFonts w:eastAsia="Times New Roman" w:cstheme="minorHAnsi"/>
          <w:color w:val="4A4A4A"/>
          <w:sz w:val="21"/>
          <w:szCs w:val="21"/>
          <w:lang w:eastAsia="en-GB"/>
        </w:rPr>
        <w:t>originating</w:t>
      </w:r>
      <w:r w:rsidR="001D3845" w:rsidRPr="00A44665">
        <w:rPr>
          <w:rFonts w:eastAsia="Times New Roman" w:cstheme="minorHAnsi"/>
          <w:color w:val="4A4A4A"/>
          <w:sz w:val="21"/>
          <w:szCs w:val="21"/>
          <w:lang w:eastAsia="en-GB"/>
        </w:rPr>
        <w:t xml:space="preserve"> either </w:t>
      </w:r>
      <w:r w:rsidR="001D3845" w:rsidRPr="00BC58D2">
        <w:rPr>
          <w:rFonts w:eastAsia="Times New Roman" w:cstheme="minorHAnsi"/>
          <w:color w:val="4A4A4A"/>
          <w:sz w:val="21"/>
          <w:szCs w:val="21"/>
          <w:lang w:eastAsia="en-GB"/>
        </w:rPr>
        <w:t>from</w:t>
      </w:r>
      <w:r w:rsidR="001D3845" w:rsidRPr="00A44665">
        <w:rPr>
          <w:rFonts w:eastAsia="Times New Roman" w:cstheme="minorHAnsi"/>
          <w:color w:val="4A4A4A"/>
          <w:sz w:val="21"/>
          <w:szCs w:val="21"/>
          <w:lang w:eastAsia="en-GB"/>
        </w:rPr>
        <w:t xml:space="preserve"> National Procurement Agencies</w:t>
      </w:r>
      <w:r w:rsidR="001D3845" w:rsidRPr="00BC58D2">
        <w:rPr>
          <w:rFonts w:eastAsia="Times New Roman" w:cstheme="minorHAnsi"/>
          <w:color w:val="4A4A4A"/>
          <w:sz w:val="21"/>
          <w:szCs w:val="21"/>
          <w:lang w:eastAsia="en-GB"/>
        </w:rPr>
        <w:t>, Treasury Boards (</w:t>
      </w:r>
      <w:r w:rsidR="001D3845" w:rsidRPr="00A44665">
        <w:rPr>
          <w:rFonts w:eastAsia="Times New Roman" w:cstheme="minorHAnsi"/>
          <w:color w:val="4A4A4A"/>
          <w:sz w:val="21"/>
          <w:szCs w:val="21"/>
          <w:lang w:eastAsia="en-GB"/>
        </w:rPr>
        <w:t>Ministries of Finance</w:t>
      </w:r>
      <w:r w:rsidR="001D3845" w:rsidRPr="00BC58D2">
        <w:rPr>
          <w:rFonts w:eastAsia="Times New Roman" w:cstheme="minorHAnsi"/>
          <w:color w:val="4A4A4A"/>
          <w:sz w:val="21"/>
          <w:szCs w:val="21"/>
          <w:lang w:eastAsia="en-GB"/>
        </w:rPr>
        <w:t>)</w:t>
      </w:r>
      <w:r w:rsidR="001D3845" w:rsidRPr="00A44665">
        <w:rPr>
          <w:rFonts w:eastAsia="Times New Roman" w:cstheme="minorHAnsi"/>
          <w:color w:val="4A4A4A"/>
          <w:sz w:val="21"/>
          <w:szCs w:val="21"/>
          <w:lang w:eastAsia="en-GB"/>
        </w:rPr>
        <w:t>, Ministr</w:t>
      </w:r>
      <w:r w:rsidR="00A44665">
        <w:rPr>
          <w:rFonts w:eastAsia="Times New Roman" w:cstheme="minorHAnsi"/>
          <w:color w:val="4A4A4A"/>
          <w:sz w:val="21"/>
          <w:szCs w:val="21"/>
          <w:lang w:eastAsia="en-GB"/>
        </w:rPr>
        <w:t>ies</w:t>
      </w:r>
      <w:r w:rsidR="001D3845" w:rsidRPr="00A44665">
        <w:rPr>
          <w:rFonts w:eastAsia="Times New Roman" w:cstheme="minorHAnsi"/>
          <w:color w:val="4A4A4A"/>
          <w:sz w:val="21"/>
          <w:szCs w:val="21"/>
          <w:lang w:eastAsia="en-GB"/>
        </w:rPr>
        <w:t xml:space="preserve"> of Environment</w:t>
      </w:r>
      <w:r w:rsidR="00FC478D">
        <w:rPr>
          <w:rFonts w:eastAsia="Times New Roman" w:cstheme="minorHAnsi"/>
          <w:color w:val="4A4A4A"/>
          <w:sz w:val="21"/>
          <w:szCs w:val="21"/>
          <w:lang w:eastAsia="en-GB"/>
        </w:rPr>
        <w:t>.</w:t>
      </w:r>
      <w:r w:rsidR="001D3845" w:rsidRPr="00A44665">
        <w:rPr>
          <w:rFonts w:eastAsia="Times New Roman" w:cstheme="minorHAnsi"/>
          <w:color w:val="4A4A4A"/>
          <w:sz w:val="21"/>
          <w:szCs w:val="21"/>
          <w:lang w:eastAsia="en-GB"/>
        </w:rPr>
        <w:t xml:space="preserve"> </w:t>
      </w:r>
      <w:r w:rsidR="00FC478D">
        <w:rPr>
          <w:rFonts w:eastAsia="Times New Roman" w:cstheme="minorHAnsi"/>
          <w:color w:val="4A4A4A"/>
          <w:sz w:val="21"/>
          <w:szCs w:val="21"/>
          <w:lang w:eastAsia="en-GB"/>
        </w:rPr>
        <w:t>I</w:t>
      </w:r>
      <w:r w:rsidR="001D3845" w:rsidRPr="00A44665">
        <w:rPr>
          <w:rFonts w:eastAsia="Times New Roman" w:cstheme="minorHAnsi"/>
          <w:color w:val="4A4A4A"/>
          <w:sz w:val="21"/>
          <w:szCs w:val="21"/>
          <w:lang w:eastAsia="en-GB"/>
        </w:rPr>
        <w:t xml:space="preserve">n rarer cases, </w:t>
      </w:r>
      <w:r w:rsidR="00FC478D">
        <w:rPr>
          <w:rFonts w:eastAsia="Times New Roman" w:cstheme="minorHAnsi"/>
          <w:color w:val="4A4A4A"/>
          <w:sz w:val="21"/>
          <w:szCs w:val="21"/>
          <w:lang w:eastAsia="en-GB"/>
        </w:rPr>
        <w:t>from the Focal point works for the</w:t>
      </w:r>
      <w:r w:rsidR="001D3845" w:rsidRPr="00A44665">
        <w:rPr>
          <w:rFonts w:eastAsia="Times New Roman" w:cstheme="minorHAnsi"/>
          <w:color w:val="4A4A4A"/>
          <w:sz w:val="21"/>
          <w:szCs w:val="21"/>
          <w:lang w:eastAsia="en-GB"/>
        </w:rPr>
        <w:t xml:space="preserve"> Statistical Departments in charge of reporting on SDGs</w:t>
      </w:r>
      <w:r w:rsidR="001D3845" w:rsidRPr="00BC58D2">
        <w:rPr>
          <w:rFonts w:eastAsia="Times New Roman" w:cstheme="minorHAnsi"/>
          <w:color w:val="4A4A4A"/>
          <w:sz w:val="21"/>
          <w:szCs w:val="21"/>
          <w:lang w:eastAsia="en-GB"/>
        </w:rPr>
        <w:t xml:space="preserve"> at national level.</w:t>
      </w:r>
    </w:p>
    <w:p w14:paraId="08D09C2E" w14:textId="77777777" w:rsidR="00A44665" w:rsidRPr="00BC58D2" w:rsidRDefault="00A44665" w:rsidP="00BC58D2">
      <w:pPr>
        <w:shd w:val="clear" w:color="auto" w:fill="FFFFFF"/>
        <w:spacing w:after="0"/>
        <w:jc w:val="both"/>
        <w:rPr>
          <w:rFonts w:cstheme="minorHAnsi"/>
          <w:color w:val="4A4A4A"/>
          <w:sz w:val="21"/>
          <w:szCs w:val="21"/>
          <w:lang w:eastAsia="en-GB"/>
        </w:rPr>
      </w:pPr>
    </w:p>
    <w:p w14:paraId="3509BCFD" w14:textId="5FA9657F" w:rsidR="001F4909" w:rsidRPr="00BC58D2" w:rsidRDefault="001D3845" w:rsidP="00BC58D2">
      <w:pPr>
        <w:shd w:val="clear" w:color="auto" w:fill="FFFFFF"/>
        <w:spacing w:after="0"/>
        <w:jc w:val="both"/>
        <w:rPr>
          <w:rFonts w:eastAsia="Times New Roman" w:cstheme="minorHAnsi"/>
          <w:color w:val="4A4A4A"/>
          <w:sz w:val="21"/>
          <w:szCs w:val="21"/>
          <w:lang w:eastAsia="en-GB"/>
        </w:rPr>
      </w:pPr>
      <w:r>
        <w:rPr>
          <w:rFonts w:eastAsia="Times New Roman" w:cstheme="minorHAnsi"/>
          <w:color w:val="4A4A4A"/>
          <w:sz w:val="21"/>
          <w:szCs w:val="21"/>
          <w:lang w:eastAsia="en-GB"/>
        </w:rPr>
        <w:t xml:space="preserve">The </w:t>
      </w:r>
      <w:r w:rsidR="00FC478D">
        <w:rPr>
          <w:rFonts w:eastAsia="Times New Roman" w:cstheme="minorHAnsi"/>
          <w:color w:val="4A4A4A"/>
          <w:sz w:val="21"/>
          <w:szCs w:val="21"/>
          <w:lang w:eastAsia="en-GB"/>
        </w:rPr>
        <w:t xml:space="preserve">SDG 12.7.1 </w:t>
      </w:r>
      <w:r>
        <w:rPr>
          <w:rFonts w:eastAsia="Times New Roman" w:cstheme="minorHAnsi"/>
          <w:color w:val="4A4A4A"/>
          <w:sz w:val="21"/>
          <w:szCs w:val="21"/>
          <w:lang w:eastAsia="en-GB"/>
        </w:rPr>
        <w:t>s</w:t>
      </w:r>
      <w:r w:rsidRPr="00532B37">
        <w:rPr>
          <w:rFonts w:eastAsia="Times New Roman" w:cstheme="minorHAnsi"/>
          <w:color w:val="4A4A4A"/>
          <w:sz w:val="21"/>
          <w:szCs w:val="21"/>
          <w:lang w:eastAsia="en-GB"/>
        </w:rPr>
        <w:t xml:space="preserve">urvey </w:t>
      </w:r>
      <w:r>
        <w:rPr>
          <w:rFonts w:eastAsia="Times New Roman" w:cstheme="minorHAnsi"/>
          <w:color w:val="4A4A4A"/>
          <w:sz w:val="21"/>
          <w:szCs w:val="21"/>
          <w:lang w:eastAsia="en-GB"/>
        </w:rPr>
        <w:t xml:space="preserve">was </w:t>
      </w:r>
      <w:r w:rsidRPr="00532B37">
        <w:rPr>
          <w:rFonts w:eastAsia="Times New Roman" w:cstheme="minorHAnsi"/>
          <w:color w:val="4A4A4A"/>
          <w:sz w:val="21"/>
          <w:szCs w:val="21"/>
          <w:lang w:eastAsia="en-GB"/>
        </w:rPr>
        <w:t xml:space="preserve">sent out to </w:t>
      </w:r>
      <w:r>
        <w:rPr>
          <w:rFonts w:eastAsia="Times New Roman" w:cstheme="minorHAnsi"/>
          <w:color w:val="4A4A4A"/>
          <w:sz w:val="21"/>
          <w:szCs w:val="21"/>
          <w:lang w:eastAsia="en-GB"/>
        </w:rPr>
        <w:t xml:space="preserve">those focal points and, as a result, submissions were received from </w:t>
      </w:r>
      <w:r w:rsidR="001F4909" w:rsidRPr="00BC58D2">
        <w:rPr>
          <w:rFonts w:eastAsia="Times New Roman" w:cstheme="minorHAnsi"/>
          <w:color w:val="4A4A4A"/>
          <w:sz w:val="21"/>
          <w:szCs w:val="21"/>
          <w:lang w:eastAsia="en-GB"/>
        </w:rPr>
        <w:t>40 national/federal governments</w:t>
      </w:r>
      <w:r>
        <w:rPr>
          <w:rFonts w:eastAsia="Times New Roman" w:cstheme="minorHAnsi"/>
          <w:color w:val="4A4A4A"/>
          <w:sz w:val="21"/>
          <w:szCs w:val="21"/>
          <w:lang w:eastAsia="en-GB"/>
        </w:rPr>
        <w:t xml:space="preserve"> (</w:t>
      </w:r>
      <w:r w:rsidR="001F4909" w:rsidRPr="00BC58D2">
        <w:rPr>
          <w:rFonts w:eastAsia="Times New Roman" w:cstheme="minorHAnsi"/>
          <w:color w:val="4A4A4A"/>
          <w:sz w:val="21"/>
          <w:szCs w:val="21"/>
          <w:lang w:eastAsia="en-GB"/>
        </w:rPr>
        <w:t>some of which included subnational data as well</w:t>
      </w:r>
      <w:r w:rsidR="004265E8">
        <w:rPr>
          <w:rFonts w:eastAsia="Times New Roman" w:cstheme="minorHAnsi"/>
          <w:color w:val="4A4A4A"/>
          <w:sz w:val="21"/>
          <w:szCs w:val="21"/>
          <w:lang w:eastAsia="en-GB"/>
        </w:rPr>
        <w:t xml:space="preserve"> from provinces or municipalities</w:t>
      </w:r>
      <w:r>
        <w:rPr>
          <w:rFonts w:eastAsia="Times New Roman" w:cstheme="minorHAnsi"/>
          <w:color w:val="4A4A4A"/>
          <w:sz w:val="21"/>
          <w:szCs w:val="21"/>
          <w:lang w:eastAsia="en-GB"/>
        </w:rPr>
        <w:t>).</w:t>
      </w:r>
      <w:r w:rsidR="00395965" w:rsidRPr="00BC58D2">
        <w:rPr>
          <w:rFonts w:eastAsia="Times New Roman" w:cstheme="minorHAnsi"/>
          <w:color w:val="4A4A4A"/>
          <w:sz w:val="21"/>
          <w:szCs w:val="21"/>
          <w:lang w:eastAsia="en-GB"/>
        </w:rPr>
        <w:t xml:space="preserve"> 8 subnational governments also reported independently on their SPP policy and action plan implementation efforts.</w:t>
      </w:r>
    </w:p>
    <w:p w14:paraId="3DC1E8DE" w14:textId="77777777" w:rsidR="00BA2C53" w:rsidRDefault="00BA2C53" w:rsidP="0039496D">
      <w:pPr>
        <w:shd w:val="clear" w:color="auto" w:fill="FFFFFF"/>
        <w:spacing w:after="0"/>
        <w:rPr>
          <w:rFonts w:eastAsia="Times New Roman" w:cstheme="minorHAnsi"/>
          <w:color w:val="4A4A4A"/>
          <w:sz w:val="21"/>
          <w:szCs w:val="21"/>
          <w:lang w:eastAsia="en-GB"/>
        </w:rPr>
      </w:pP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70635F31" w14:textId="63D90A11" w:rsidR="00102EE5" w:rsidRPr="00532B37" w:rsidRDefault="00102EE5" w:rsidP="00102EE5">
      <w:pPr>
        <w:ind w:left="166" w:hanging="166"/>
        <w:rPr>
          <w:rFonts w:eastAsia="Times New Roman" w:cstheme="minorHAnsi"/>
          <w:color w:val="4A4A4A"/>
          <w:sz w:val="21"/>
          <w:szCs w:val="21"/>
          <w:lang w:eastAsia="en-GB"/>
        </w:rPr>
      </w:pPr>
      <w:r w:rsidRPr="00532B37">
        <w:rPr>
          <w:rFonts w:eastAsia="Times New Roman" w:cstheme="minorHAnsi"/>
          <w:color w:val="4A4A4A"/>
          <w:sz w:val="21"/>
          <w:szCs w:val="21"/>
          <w:lang w:eastAsia="en-GB"/>
        </w:rPr>
        <w:t xml:space="preserve">All individual components should be collected at the same source, i.e. focal points </w:t>
      </w:r>
      <w:r w:rsidR="00A713EB">
        <w:rPr>
          <w:rFonts w:eastAsia="Times New Roman" w:cstheme="minorHAnsi"/>
          <w:color w:val="4A4A4A"/>
          <w:sz w:val="21"/>
          <w:szCs w:val="21"/>
          <w:lang w:eastAsia="en-GB"/>
        </w:rPr>
        <w:t xml:space="preserve"> nominated to report</w:t>
      </w:r>
      <w:r w:rsidR="00C94879">
        <w:rPr>
          <w:rFonts w:eastAsia="Times New Roman" w:cstheme="minorHAnsi"/>
          <w:color w:val="4A4A4A"/>
          <w:sz w:val="21"/>
          <w:szCs w:val="21"/>
          <w:lang w:eastAsia="en-GB"/>
        </w:rPr>
        <w:t xml:space="preserve"> </w:t>
      </w:r>
      <w:r w:rsidR="00A713EB">
        <w:rPr>
          <w:rFonts w:eastAsia="Times New Roman" w:cstheme="minorHAnsi"/>
          <w:color w:val="4A4A4A"/>
          <w:sz w:val="21"/>
          <w:szCs w:val="21"/>
          <w:lang w:eastAsia="en-GB"/>
        </w:rPr>
        <w:t>on SDG 12.7.1. indicator</w:t>
      </w:r>
      <w:r w:rsidR="003D4195">
        <w:rPr>
          <w:rFonts w:eastAsia="Times New Roman" w:cstheme="minorHAnsi"/>
          <w:color w:val="4A4A4A"/>
          <w:sz w:val="21"/>
          <w:szCs w:val="21"/>
          <w:lang w:eastAsia="en-GB"/>
        </w:rPr>
        <w:t>, or SDG focal points</w:t>
      </w:r>
      <w:r w:rsidRPr="00532B37">
        <w:rPr>
          <w:rFonts w:eastAsia="Times New Roman" w:cstheme="minorHAnsi"/>
          <w:color w:val="4A4A4A"/>
          <w:sz w:val="21"/>
          <w:szCs w:val="21"/>
          <w:lang w:eastAsia="en-GB"/>
        </w:rPr>
        <w:t>, every two years, 202</w:t>
      </w:r>
      <w:r w:rsidR="005B4060">
        <w:rPr>
          <w:rFonts w:eastAsia="Times New Roman" w:cstheme="minorHAnsi"/>
          <w:color w:val="4A4A4A"/>
          <w:sz w:val="21"/>
          <w:szCs w:val="21"/>
          <w:lang w:eastAsia="en-GB"/>
        </w:rPr>
        <w:t>1</w:t>
      </w:r>
      <w:r w:rsidRPr="00532B37">
        <w:rPr>
          <w:rFonts w:eastAsia="Times New Roman" w:cstheme="minorHAnsi"/>
          <w:color w:val="4A4A4A"/>
          <w:sz w:val="21"/>
          <w:szCs w:val="21"/>
          <w:lang w:eastAsia="en-GB"/>
        </w:rPr>
        <w:t xml:space="preserve"> onwards</w:t>
      </w:r>
      <w:r w:rsidR="00FC478D">
        <w:rPr>
          <w:rStyle w:val="FootnoteReference"/>
          <w:rFonts w:eastAsia="Times New Roman" w:cstheme="minorHAnsi"/>
          <w:color w:val="4A4A4A"/>
          <w:sz w:val="21"/>
          <w:szCs w:val="21"/>
          <w:lang w:eastAsia="en-GB"/>
        </w:rPr>
        <w:footnoteReference w:id="2"/>
      </w:r>
      <w:r w:rsidRPr="00532B37">
        <w:rPr>
          <w:rFonts w:eastAsia="Times New Roman" w:cstheme="minorHAnsi"/>
          <w:color w:val="4A4A4A"/>
          <w:sz w:val="21"/>
          <w:szCs w:val="21"/>
          <w:lang w:eastAsia="en-GB"/>
        </w:rPr>
        <w:t>.</w:t>
      </w:r>
    </w:p>
    <w:p w14:paraId="2F47CC2B" w14:textId="482EAD2B" w:rsidR="00102EE5" w:rsidRPr="00532B37" w:rsidRDefault="00A5378C" w:rsidP="00BC58D2">
      <w:pPr>
        <w:jc w:val="both"/>
        <w:rPr>
          <w:rFonts w:eastAsia="Times New Roman" w:cstheme="minorHAnsi"/>
          <w:color w:val="4A4A4A"/>
          <w:sz w:val="21"/>
          <w:szCs w:val="21"/>
          <w:lang w:eastAsia="en-GB"/>
        </w:rPr>
      </w:pPr>
      <w:r w:rsidRPr="00BC58D2">
        <w:rPr>
          <w:rFonts w:eastAsia="Times New Roman" w:cstheme="minorHAnsi"/>
          <w:color w:val="4A4A4A"/>
          <w:sz w:val="21"/>
          <w:szCs w:val="21"/>
          <w:lang w:eastAsia="en-GB"/>
        </w:rPr>
        <w:t xml:space="preserve">To facilitate the data collection effort and reporting process, </w:t>
      </w:r>
      <w:r w:rsidRPr="00BC58D2">
        <w:rPr>
          <w:rFonts w:eastAsia="Times New Roman" w:cstheme="minorHAnsi"/>
          <w:b/>
          <w:bCs/>
          <w:color w:val="4A4A4A"/>
          <w:sz w:val="21"/>
          <w:szCs w:val="21"/>
          <w:lang w:eastAsia="en-GB"/>
        </w:rPr>
        <w:t>a Microsoft Excel®-based calculation tool</w:t>
      </w:r>
      <w:r w:rsidRPr="00BC58D2">
        <w:rPr>
          <w:rFonts w:eastAsia="Times New Roman" w:cstheme="minorHAnsi"/>
          <w:color w:val="4A4A4A"/>
          <w:sz w:val="21"/>
          <w:szCs w:val="21"/>
          <w:lang w:eastAsia="en-GB"/>
        </w:rPr>
        <w:t xml:space="preserve"> was designed </w:t>
      </w:r>
      <w:r w:rsidRPr="00BC58D2">
        <w:rPr>
          <w:rFonts w:eastAsia="Times New Roman" w:cstheme="minorHAnsi"/>
          <w:b/>
          <w:bCs/>
          <w:color w:val="4A4A4A"/>
          <w:sz w:val="21"/>
          <w:szCs w:val="21"/>
          <w:lang w:eastAsia="en-GB"/>
        </w:rPr>
        <w:t>to collect inputs</w:t>
      </w:r>
      <w:r w:rsidRPr="00BC58D2">
        <w:rPr>
          <w:rFonts w:eastAsia="Times New Roman" w:cstheme="minorHAnsi"/>
          <w:color w:val="4A4A4A"/>
          <w:sz w:val="21"/>
          <w:szCs w:val="21"/>
          <w:lang w:eastAsia="en-GB"/>
        </w:rPr>
        <w:t xml:space="preserve">, along with </w:t>
      </w:r>
      <w:r w:rsidRPr="00BC58D2">
        <w:rPr>
          <w:rFonts w:eastAsia="Times New Roman" w:cstheme="minorHAnsi"/>
          <w:b/>
          <w:bCs/>
          <w:color w:val="4A4A4A"/>
          <w:sz w:val="21"/>
          <w:szCs w:val="21"/>
          <w:lang w:eastAsia="en-GB"/>
        </w:rPr>
        <w:t>PDF Reporting Instructions</w:t>
      </w:r>
      <w:r w:rsidRPr="00BC58D2">
        <w:rPr>
          <w:rFonts w:eastAsia="Times New Roman" w:cstheme="minorHAnsi"/>
          <w:color w:val="4A4A4A"/>
          <w:sz w:val="21"/>
          <w:szCs w:val="21"/>
          <w:lang w:eastAsia="en-GB"/>
        </w:rPr>
        <w:t xml:space="preserve">, and </w:t>
      </w:r>
      <w:r w:rsidRPr="00BC58D2">
        <w:rPr>
          <w:rFonts w:eastAsia="Times New Roman" w:cstheme="minorHAnsi"/>
          <w:b/>
          <w:bCs/>
          <w:color w:val="4A4A4A"/>
          <w:sz w:val="21"/>
          <w:szCs w:val="21"/>
          <w:lang w:eastAsia="en-GB"/>
        </w:rPr>
        <w:t>Frequently Asked Questions</w:t>
      </w:r>
      <w:r w:rsidRPr="00BC58D2">
        <w:rPr>
          <w:rFonts w:eastAsia="Times New Roman" w:cstheme="minorHAnsi"/>
          <w:color w:val="4A4A4A"/>
          <w:sz w:val="21"/>
          <w:szCs w:val="21"/>
          <w:lang w:eastAsia="en-GB"/>
        </w:rPr>
        <w:t xml:space="preserve">. This Excel®-based form provides </w:t>
      </w:r>
      <w:r w:rsidRPr="00BC58D2">
        <w:rPr>
          <w:rFonts w:eastAsia="Times New Roman" w:cstheme="minorHAnsi"/>
          <w:b/>
          <w:bCs/>
          <w:color w:val="4A4A4A"/>
          <w:sz w:val="21"/>
          <w:szCs w:val="21"/>
          <w:lang w:eastAsia="en-GB"/>
        </w:rPr>
        <w:t>a set of answers</w:t>
      </w:r>
      <w:r w:rsidRPr="00BC58D2">
        <w:rPr>
          <w:rFonts w:eastAsia="Times New Roman" w:cstheme="minorHAnsi"/>
          <w:color w:val="4A4A4A"/>
          <w:sz w:val="21"/>
          <w:szCs w:val="21"/>
          <w:lang w:eastAsia="en-GB"/>
        </w:rPr>
        <w:t xml:space="preserve"> for each question, which need to be </w:t>
      </w:r>
      <w:r w:rsidRPr="00BC58D2">
        <w:rPr>
          <w:rFonts w:eastAsia="Times New Roman" w:cstheme="minorHAnsi"/>
          <w:b/>
          <w:bCs/>
          <w:color w:val="4A4A4A"/>
          <w:sz w:val="21"/>
          <w:szCs w:val="21"/>
          <w:lang w:eastAsia="en-GB"/>
        </w:rPr>
        <w:t xml:space="preserve">supported by evidence </w:t>
      </w:r>
      <w:r w:rsidR="00102EE5" w:rsidRPr="00BC58D2">
        <w:rPr>
          <w:rFonts w:eastAsia="Times New Roman" w:cstheme="minorHAnsi"/>
          <w:b/>
          <w:bCs/>
          <w:color w:val="4A4A4A"/>
          <w:sz w:val="21"/>
          <w:szCs w:val="21"/>
          <w:lang w:eastAsia="en-GB"/>
        </w:rPr>
        <w:t xml:space="preserve"> </w:t>
      </w:r>
      <w:r w:rsidR="00102EE5" w:rsidRPr="00532B37">
        <w:rPr>
          <w:rFonts w:eastAsia="Times New Roman" w:cstheme="minorHAnsi"/>
          <w:color w:val="4A4A4A"/>
          <w:sz w:val="21"/>
          <w:szCs w:val="21"/>
          <w:lang w:eastAsia="en-GB"/>
        </w:rPr>
        <w:t>(policy document, procurement guidelines inclusive of sustainability criteria, enabling legislation, trainings, green contracts, etc.).</w:t>
      </w:r>
    </w:p>
    <w:p w14:paraId="4710D6CC" w14:textId="77777777" w:rsidR="00A5378C" w:rsidRPr="00A96255" w:rsidRDefault="00A5378C" w:rsidP="00576CFA">
      <w:pPr>
        <w:pStyle w:val="MText"/>
      </w:pPr>
    </w:p>
    <w:p w14:paraId="170A2C05" w14:textId="34873ECA" w:rsidR="00E46D96" w:rsidRPr="00A96255" w:rsidRDefault="00E46D96" w:rsidP="00F719A8">
      <w:pPr>
        <w:pStyle w:val="MHeader2"/>
      </w:pPr>
      <w:r w:rsidRPr="00A96255">
        <w:t>3.c. Data collection calendar</w:t>
      </w:r>
    </w:p>
    <w:p w14:paraId="69B3A08F" w14:textId="336CD215" w:rsidR="000273DA" w:rsidRPr="00532B37" w:rsidRDefault="000273DA" w:rsidP="000273DA">
      <w:pPr>
        <w:keepNext/>
        <w:keepLines/>
        <w:shd w:val="clear" w:color="auto" w:fill="FFFFFF"/>
        <w:spacing w:after="0"/>
        <w:jc w:val="both"/>
        <w:rPr>
          <w:rFonts w:eastAsia="Times New Roman" w:cstheme="minorHAnsi"/>
          <w:color w:val="4A4A4A"/>
          <w:sz w:val="21"/>
          <w:szCs w:val="21"/>
          <w:lang w:eastAsia="en-GB"/>
        </w:rPr>
      </w:pPr>
      <w:r w:rsidRPr="00532B37">
        <w:rPr>
          <w:rFonts w:eastAsia="Times New Roman" w:cstheme="minorHAnsi"/>
          <w:color w:val="4A4A4A"/>
          <w:sz w:val="21"/>
          <w:szCs w:val="21"/>
          <w:lang w:eastAsia="en-GB"/>
        </w:rPr>
        <w:t xml:space="preserve">First data collection: </w:t>
      </w:r>
      <w:r w:rsidR="00FA63F3">
        <w:rPr>
          <w:rFonts w:eastAsia="Times New Roman" w:cstheme="minorHAnsi"/>
          <w:color w:val="4A4A4A"/>
          <w:sz w:val="21"/>
          <w:szCs w:val="21"/>
          <w:lang w:eastAsia="en-GB"/>
        </w:rPr>
        <w:t xml:space="preserve">November 2020 – February 2021 </w:t>
      </w:r>
      <w:r w:rsidRPr="00532B37">
        <w:rPr>
          <w:rFonts w:eastAsia="Times New Roman" w:cstheme="minorHAnsi"/>
          <w:color w:val="4A4A4A"/>
          <w:sz w:val="21"/>
          <w:szCs w:val="21"/>
          <w:lang w:eastAsia="en-GB"/>
        </w:rPr>
        <w:t xml:space="preserve">for </w:t>
      </w:r>
      <w:r w:rsidR="00EB22E0">
        <w:rPr>
          <w:rFonts w:eastAsia="Times New Roman" w:cstheme="minorHAnsi"/>
          <w:color w:val="4A4A4A"/>
          <w:sz w:val="21"/>
          <w:szCs w:val="21"/>
          <w:lang w:eastAsia="en-GB"/>
        </w:rPr>
        <w:t xml:space="preserve">2018-2020 implementation of </w:t>
      </w:r>
      <w:r w:rsidRPr="00532B37">
        <w:rPr>
          <w:rFonts w:eastAsia="Times New Roman" w:cstheme="minorHAnsi"/>
          <w:color w:val="4A4A4A"/>
          <w:sz w:val="21"/>
          <w:szCs w:val="21"/>
          <w:lang w:eastAsia="en-GB"/>
        </w:rPr>
        <w:t>sustainable public procurement policies and action plans.</w:t>
      </w:r>
      <w:r w:rsidR="00FC478D">
        <w:rPr>
          <w:rFonts w:eastAsia="Times New Roman" w:cstheme="minorHAnsi"/>
          <w:color w:val="4A4A4A"/>
          <w:sz w:val="21"/>
          <w:szCs w:val="21"/>
          <w:lang w:eastAsia="en-GB"/>
        </w:rPr>
        <w:t xml:space="preserve"> Following data collection exercises: November-December 2021 and on a biennial </w:t>
      </w:r>
      <w:r w:rsidR="004D3B1B">
        <w:rPr>
          <w:rFonts w:eastAsia="Times New Roman" w:cstheme="minorHAnsi"/>
          <w:color w:val="4A4A4A"/>
          <w:sz w:val="21"/>
          <w:szCs w:val="21"/>
          <w:lang w:eastAsia="en-GB"/>
        </w:rPr>
        <w:t>mode thereafter.</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3.d. Data release calendar</w:t>
      </w:r>
    </w:p>
    <w:p w14:paraId="021FC8FF" w14:textId="247CF420" w:rsidR="007C64BE" w:rsidRPr="00532B37" w:rsidRDefault="004D3B1B" w:rsidP="009E0EF0">
      <w:pPr>
        <w:pStyle w:val="MText"/>
      </w:pPr>
      <w:r>
        <w:t>2020</w:t>
      </w:r>
      <w:r w:rsidRPr="00532B37">
        <w:t xml:space="preserve"> </w:t>
      </w:r>
      <w:r>
        <w:t>data collection</w:t>
      </w:r>
      <w:r w:rsidR="007C64BE" w:rsidRPr="00532B37">
        <w:t>:</w:t>
      </w:r>
      <w:r>
        <w:t xml:space="preserve"> data to be released in March 2021</w:t>
      </w:r>
      <w:r w:rsidR="003B0D67">
        <w:t>.</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3.e. Data providers</w:t>
      </w:r>
    </w:p>
    <w:p w14:paraId="6A5DC8DF" w14:textId="7EB5C963" w:rsidR="00D7369F" w:rsidRPr="00532B37" w:rsidRDefault="008D16C1" w:rsidP="00D7369F">
      <w:pPr>
        <w:shd w:val="clear" w:color="auto" w:fill="FFFFFF"/>
        <w:spacing w:after="0"/>
        <w:rPr>
          <w:rFonts w:eastAsia="Times New Roman" w:cstheme="minorHAnsi"/>
          <w:color w:val="4A4A4A"/>
          <w:sz w:val="21"/>
          <w:szCs w:val="21"/>
          <w:lang w:eastAsia="en-GB"/>
        </w:rPr>
      </w:pPr>
      <w:r>
        <w:rPr>
          <w:rFonts w:eastAsia="Times New Roman" w:cstheme="minorHAnsi"/>
          <w:color w:val="4A4A4A"/>
          <w:sz w:val="21"/>
          <w:szCs w:val="21"/>
          <w:lang w:eastAsia="en-GB"/>
        </w:rPr>
        <w:t>SDG 12.7.</w:t>
      </w:r>
      <w:r w:rsidR="00D7369F" w:rsidRPr="00532B37">
        <w:rPr>
          <w:rFonts w:eastAsia="Times New Roman" w:cstheme="minorHAnsi"/>
          <w:color w:val="4A4A4A"/>
          <w:sz w:val="21"/>
          <w:szCs w:val="21"/>
          <w:lang w:eastAsia="en-GB"/>
        </w:rPr>
        <w:t xml:space="preserve"> Focal Points</w:t>
      </w:r>
      <w:r w:rsidR="001924DF">
        <w:rPr>
          <w:rFonts w:eastAsia="Times New Roman" w:cstheme="minorHAnsi"/>
          <w:color w:val="4A4A4A"/>
          <w:sz w:val="21"/>
          <w:szCs w:val="21"/>
          <w:lang w:eastAsia="en-GB"/>
        </w:rPr>
        <w:t xml:space="preserve"> nominated by governments.</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3.f. Data compilers</w:t>
      </w:r>
    </w:p>
    <w:p w14:paraId="44AF89FA" w14:textId="1EFBC73D" w:rsidR="00E379EA" w:rsidRPr="008E77B3" w:rsidRDefault="00E379EA" w:rsidP="00E379EA">
      <w:pPr>
        <w:shd w:val="clear" w:color="auto" w:fill="FFFFFF"/>
        <w:spacing w:after="0"/>
        <w:rPr>
          <w:rFonts w:eastAsia="Times New Roman" w:cstheme="minorHAnsi"/>
          <w:color w:val="4A4A4A"/>
          <w:sz w:val="21"/>
          <w:szCs w:val="21"/>
          <w:lang w:val="en-US" w:eastAsia="en-GB"/>
        </w:rPr>
      </w:pPr>
      <w:r w:rsidRPr="008E77B3">
        <w:rPr>
          <w:rFonts w:eastAsia="Times New Roman" w:cstheme="minorHAnsi"/>
          <w:color w:val="4A4A4A"/>
          <w:sz w:val="21"/>
          <w:szCs w:val="21"/>
          <w:lang w:val="en-US" w:eastAsia="en-GB"/>
        </w:rPr>
        <w:t>United Nations Environment Programme (UNEP)</w:t>
      </w:r>
      <w:r w:rsidR="003B0D67">
        <w:rPr>
          <w:rFonts w:eastAsia="Times New Roman" w:cstheme="minorHAnsi"/>
          <w:color w:val="4A4A4A"/>
          <w:sz w:val="21"/>
          <w:szCs w:val="21"/>
          <w:lang w:val="en-US" w:eastAsia="en-GB"/>
        </w:rPr>
        <w:t>.</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3.g. Institutional mandate</w:t>
      </w:r>
    </w:p>
    <w:p w14:paraId="28107C1D" w14:textId="0D3A349A" w:rsidR="007B35CD" w:rsidRPr="00A96255" w:rsidRDefault="007B35CD" w:rsidP="00576CFA">
      <w:pPr>
        <w:pStyle w:val="MText"/>
      </w:pPr>
      <w:r>
        <w:t xml:space="preserve">UNEP </w:t>
      </w:r>
      <w:r w:rsidR="00222C40">
        <w:t>has been nominated as</w:t>
      </w:r>
      <w:r>
        <w:t xml:space="preserve"> the custodian of SDG 12</w:t>
      </w:r>
      <w:r w:rsidR="00222C40">
        <w:t xml:space="preserve"> </w:t>
      </w:r>
      <w:r w:rsidR="004D3B1B">
        <w:t xml:space="preserve">and </w:t>
      </w:r>
      <w:r w:rsidR="00222C40">
        <w:t>SDG 12.7.1. indicator.</w:t>
      </w:r>
    </w:p>
    <w:p w14:paraId="7D007C3C" w14:textId="68631AC1" w:rsidR="00EC2915" w:rsidRDefault="00EC2915" w:rsidP="00576CFA">
      <w:pPr>
        <w:pStyle w:val="MText"/>
      </w:pP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2DA4EA8D" w14:textId="77777777" w:rsidR="0044635B" w:rsidRPr="00F03B4A" w:rsidRDefault="0044635B" w:rsidP="00BC58D2">
      <w:pPr>
        <w:pStyle w:val="MText"/>
        <w:jc w:val="both"/>
      </w:pPr>
      <w:r w:rsidRPr="00F03B4A">
        <w:t>Public procurement wields enormous purchasing power, accounting for an average of 12 percent of gross domestic product (GDP) in OECD countries, and up to 30 percent of GDP in many developing countries. Leveraging this purchasing power by buying more sustainable goods and services can help drive markets in the direction of sustainability, reduce the negative impacts of an organization, and also produce positive benefits for the environment and society. The advancement of sustainable public procurement (SPP) practices is recognized as being a key strategic component of the global efforts towards achieving more sustainable consumption and production patterns. SPP stakeholders have long requested reliable and up-to-date information on activities and organizations involved in SPP.</w:t>
      </w:r>
    </w:p>
    <w:p w14:paraId="2AC6E8E8" w14:textId="12867F8C" w:rsidR="0044635B" w:rsidRPr="00F03B4A" w:rsidRDefault="0087731A" w:rsidP="00BC58D2">
      <w:pPr>
        <w:pStyle w:val="MText"/>
        <w:jc w:val="both"/>
      </w:pPr>
      <w:r>
        <w:t>As</w:t>
      </w:r>
      <w:r w:rsidR="0044635B" w:rsidRPr="00F03B4A">
        <w:t xml:space="preserve"> very few countries are able to measure the proportion of their public procurement which is green or sustainable, the methodology tries instead to assess the means and efforts countries are devoting to the implementation of SPP policies or national SPP programmes. Countries scoring above a certain threshold will be considered as SPP implementing countries.</w:t>
      </w:r>
    </w:p>
    <w:p w14:paraId="18EA7892" w14:textId="77777777" w:rsidR="00576CFA" w:rsidRPr="00A96255" w:rsidRDefault="00576CFA" w:rsidP="009E0EF0">
      <w:pPr>
        <w:pStyle w:val="MText"/>
      </w:pPr>
    </w:p>
    <w:p w14:paraId="2529B069" w14:textId="618DCD10" w:rsidR="00E1050F" w:rsidRPr="00A96255" w:rsidRDefault="00E1050F" w:rsidP="00F719A8">
      <w:pPr>
        <w:pStyle w:val="MHeader2"/>
      </w:pPr>
      <w:r w:rsidRPr="00A96255">
        <w:t>4.b. Comment and limitations</w:t>
      </w:r>
    </w:p>
    <w:p w14:paraId="10C51B34" w14:textId="75ED6449" w:rsidR="00E02A2C" w:rsidRPr="00BC58D2" w:rsidRDefault="00E02A2C" w:rsidP="00E02A2C">
      <w:pPr>
        <w:shd w:val="clear" w:color="auto" w:fill="FFFFFF"/>
        <w:spacing w:after="0"/>
        <w:jc w:val="both"/>
        <w:rPr>
          <w:rFonts w:eastAsia="Times New Roman" w:cs="Times New Roman"/>
          <w:color w:val="4A4A4A"/>
          <w:sz w:val="21"/>
          <w:szCs w:val="21"/>
          <w:lang w:eastAsia="en-GB"/>
        </w:rPr>
      </w:pPr>
      <w:r w:rsidRPr="00BC58D2">
        <w:rPr>
          <w:rFonts w:eastAsia="Times New Roman" w:cs="Times New Roman"/>
          <w:color w:val="4A4A4A"/>
          <w:sz w:val="21"/>
          <w:szCs w:val="21"/>
          <w:lang w:eastAsia="en-GB"/>
        </w:rPr>
        <w:t>The index aims to measure not only SPP but also GPP (Green Public Procurement) and SRPP (Socially –Responsible Public Procurement).</w:t>
      </w:r>
      <w:r w:rsidR="0080768B" w:rsidRPr="00BC58D2">
        <w:rPr>
          <w:rFonts w:eastAsia="Times New Roman" w:cs="Times New Roman"/>
          <w:color w:val="4A4A4A"/>
          <w:sz w:val="21"/>
          <w:szCs w:val="21"/>
          <w:lang w:eastAsia="en-GB"/>
        </w:rPr>
        <w:t xml:space="preserve"> </w:t>
      </w:r>
      <w:r w:rsidRPr="00BC58D2">
        <w:rPr>
          <w:rFonts w:eastAsia="Times New Roman" w:cs="Times New Roman"/>
          <w:color w:val="4A4A4A"/>
          <w:sz w:val="21"/>
          <w:szCs w:val="21"/>
          <w:lang w:eastAsia="en-GB"/>
        </w:rPr>
        <w:t xml:space="preserve">However, </w:t>
      </w:r>
      <w:r w:rsidRPr="00BC58D2">
        <w:rPr>
          <w:rFonts w:eastAsia="Times New Roman" w:cs="Times New Roman"/>
          <w:b/>
          <w:bCs/>
          <w:color w:val="4A4A4A"/>
          <w:sz w:val="21"/>
          <w:szCs w:val="21"/>
          <w:lang w:eastAsia="en-GB"/>
        </w:rPr>
        <w:t>SPP, GPP and SRPP may be addressed in very different ways</w:t>
      </w:r>
      <w:r w:rsidRPr="00BC58D2">
        <w:rPr>
          <w:rFonts w:eastAsia="Times New Roman" w:cs="Times New Roman"/>
          <w:color w:val="4A4A4A"/>
          <w:sz w:val="21"/>
          <w:szCs w:val="21"/>
          <w:lang w:eastAsia="en-GB"/>
        </w:rPr>
        <w:t xml:space="preserve"> depending on the country. They may appear as a component of overarching policies such as Sustainable Development Strategies, Green Economy Roadmaps, etc. </w:t>
      </w:r>
      <w:r w:rsidRPr="00BC58D2">
        <w:rPr>
          <w:rFonts w:eastAsia="Times New Roman" w:cs="Times New Roman"/>
          <w:b/>
          <w:bCs/>
          <w:color w:val="4A4A4A"/>
          <w:sz w:val="21"/>
          <w:szCs w:val="21"/>
          <w:lang w:eastAsia="en-GB"/>
        </w:rPr>
        <w:t>They may also be addressed directly with the adoption of a SPP action plan or policy, or through regulatory means</w:t>
      </w:r>
      <w:r w:rsidRPr="00BC58D2">
        <w:rPr>
          <w:rFonts w:eastAsia="Times New Roman" w:cs="Times New Roman"/>
          <w:color w:val="4A4A4A"/>
          <w:sz w:val="21"/>
          <w:szCs w:val="21"/>
          <w:lang w:eastAsia="en-GB"/>
        </w:rPr>
        <w:t>, such as specific provisions in the Public Procurement legal framework.</w:t>
      </w:r>
    </w:p>
    <w:p w14:paraId="74B1589A" w14:textId="77777777" w:rsidR="00E02A2C" w:rsidRPr="006940C5" w:rsidRDefault="00E02A2C" w:rsidP="00E02A2C">
      <w:pPr>
        <w:shd w:val="clear" w:color="auto" w:fill="FFFFFF"/>
        <w:tabs>
          <w:tab w:val="left" w:pos="1740"/>
        </w:tabs>
        <w:spacing w:after="0"/>
        <w:jc w:val="both"/>
        <w:rPr>
          <w:rFonts w:eastAsia="Times New Roman" w:cs="Times New Roman"/>
          <w:color w:val="4A4A4A"/>
          <w:sz w:val="21"/>
          <w:szCs w:val="21"/>
          <w:lang w:eastAsia="en-GB"/>
        </w:rPr>
      </w:pPr>
      <w:r w:rsidRPr="006940C5">
        <w:rPr>
          <w:rFonts w:eastAsia="Times New Roman" w:cs="Times New Roman"/>
          <w:color w:val="4A4A4A"/>
          <w:sz w:val="21"/>
          <w:szCs w:val="21"/>
          <w:lang w:eastAsia="en-GB"/>
        </w:rPr>
        <w:tab/>
      </w:r>
    </w:p>
    <w:p w14:paraId="52A10D6C" w14:textId="77777777" w:rsidR="00E02A2C" w:rsidRPr="006940C5" w:rsidRDefault="00E02A2C" w:rsidP="00E02A2C">
      <w:pPr>
        <w:shd w:val="clear" w:color="auto" w:fill="FFFFFF"/>
        <w:spacing w:after="0"/>
        <w:jc w:val="both"/>
        <w:rPr>
          <w:rFonts w:eastAsia="Times New Roman" w:cs="Times New Roman"/>
          <w:color w:val="4A4A4A"/>
          <w:sz w:val="21"/>
          <w:szCs w:val="21"/>
          <w:lang w:eastAsia="en-GB"/>
        </w:rPr>
      </w:pPr>
      <w:r w:rsidRPr="006940C5">
        <w:rPr>
          <w:rFonts w:eastAsia="Times New Roman" w:cs="Times New Roman"/>
          <w:color w:val="4A4A4A"/>
          <w:sz w:val="21"/>
          <w:szCs w:val="21"/>
          <w:lang w:eastAsia="en-GB"/>
        </w:rPr>
        <w:t>The main issues faced during the development of this indicator are:</w:t>
      </w:r>
    </w:p>
    <w:p w14:paraId="078CBD48" w14:textId="77777777" w:rsidR="00E02A2C" w:rsidRPr="006940C5" w:rsidRDefault="00E02A2C" w:rsidP="00E02A2C">
      <w:pPr>
        <w:shd w:val="clear" w:color="auto" w:fill="FFFFFF"/>
        <w:spacing w:after="0"/>
        <w:jc w:val="both"/>
        <w:rPr>
          <w:rFonts w:eastAsia="Times New Roman" w:cs="Times New Roman"/>
          <w:color w:val="4A4A4A"/>
          <w:sz w:val="21"/>
          <w:szCs w:val="21"/>
          <w:lang w:eastAsia="en-GB"/>
        </w:rPr>
      </w:pPr>
    </w:p>
    <w:p w14:paraId="3D462CDA" w14:textId="0D4D5004" w:rsidR="00E02A2C" w:rsidRPr="006940C5" w:rsidRDefault="00E02A2C" w:rsidP="00E02A2C">
      <w:pPr>
        <w:numPr>
          <w:ilvl w:val="0"/>
          <w:numId w:val="5"/>
        </w:numPr>
        <w:shd w:val="clear" w:color="auto" w:fill="FFFFFF"/>
        <w:spacing w:after="0"/>
        <w:jc w:val="both"/>
        <w:rPr>
          <w:rFonts w:eastAsia="Times New Roman" w:cs="Times New Roman"/>
          <w:color w:val="4A4A4A"/>
          <w:sz w:val="21"/>
          <w:szCs w:val="21"/>
          <w:lang w:eastAsia="en-GB"/>
        </w:rPr>
      </w:pPr>
      <w:r w:rsidRPr="006940C5">
        <w:rPr>
          <w:rFonts w:eastAsia="Times New Roman" w:cs="Times New Roman"/>
          <w:color w:val="4A4A4A"/>
          <w:sz w:val="21"/>
          <w:szCs w:val="21"/>
          <w:lang w:eastAsia="en-GB"/>
        </w:rPr>
        <w:t xml:space="preserve">Data on the proportion of sustainable public procurement </w:t>
      </w:r>
      <w:r w:rsidR="0078168A" w:rsidRPr="006940C5">
        <w:rPr>
          <w:rFonts w:eastAsia="Times New Roman" w:cs="Times New Roman"/>
          <w:color w:val="4A4A4A"/>
          <w:sz w:val="21"/>
          <w:szCs w:val="21"/>
          <w:lang w:eastAsia="en-GB"/>
        </w:rPr>
        <w:t xml:space="preserve">are </w:t>
      </w:r>
      <w:r w:rsidRPr="006940C5">
        <w:rPr>
          <w:rFonts w:eastAsia="Times New Roman" w:cs="Times New Roman"/>
          <w:color w:val="4A4A4A"/>
          <w:sz w:val="21"/>
          <w:szCs w:val="21"/>
          <w:lang w:eastAsia="en-GB"/>
        </w:rPr>
        <w:t xml:space="preserve">not available because there is no agreement on which products are green or sustainable and because data </w:t>
      </w:r>
      <w:r w:rsidR="0078168A" w:rsidRPr="006940C5">
        <w:rPr>
          <w:rFonts w:eastAsia="Times New Roman" w:cs="Times New Roman"/>
          <w:color w:val="4A4A4A"/>
          <w:sz w:val="21"/>
          <w:szCs w:val="21"/>
          <w:lang w:eastAsia="en-GB"/>
        </w:rPr>
        <w:t xml:space="preserve">are </w:t>
      </w:r>
      <w:r w:rsidRPr="006940C5">
        <w:rPr>
          <w:rFonts w:eastAsia="Times New Roman" w:cs="Times New Roman"/>
          <w:color w:val="4A4A4A"/>
          <w:sz w:val="21"/>
          <w:szCs w:val="21"/>
          <w:lang w:eastAsia="en-GB"/>
        </w:rPr>
        <w:t xml:space="preserve">very often not classified in terms of volumes and value of purchased products. </w:t>
      </w:r>
    </w:p>
    <w:p w14:paraId="48337BCA" w14:textId="77777777" w:rsidR="00E02A2C" w:rsidRPr="006940C5" w:rsidRDefault="00E02A2C" w:rsidP="00E02A2C">
      <w:pPr>
        <w:shd w:val="clear" w:color="auto" w:fill="FFFFFF"/>
        <w:spacing w:after="0"/>
        <w:jc w:val="both"/>
        <w:rPr>
          <w:rFonts w:eastAsia="Times New Roman" w:cs="Times New Roman"/>
          <w:color w:val="4A4A4A"/>
          <w:sz w:val="21"/>
          <w:szCs w:val="21"/>
          <w:lang w:eastAsia="en-GB"/>
        </w:rPr>
      </w:pPr>
    </w:p>
    <w:p w14:paraId="7A20D0FE" w14:textId="77777777" w:rsidR="00E02A2C" w:rsidRPr="006940C5" w:rsidRDefault="00E02A2C" w:rsidP="00E02A2C">
      <w:pPr>
        <w:numPr>
          <w:ilvl w:val="0"/>
          <w:numId w:val="5"/>
        </w:numPr>
        <w:shd w:val="clear" w:color="auto" w:fill="FFFFFF"/>
        <w:spacing w:after="0"/>
        <w:jc w:val="both"/>
        <w:rPr>
          <w:rFonts w:eastAsia="Times New Roman" w:cs="Times New Roman"/>
          <w:color w:val="4A4A4A"/>
          <w:sz w:val="21"/>
          <w:szCs w:val="21"/>
          <w:lang w:eastAsia="en-GB"/>
        </w:rPr>
      </w:pPr>
      <w:r w:rsidRPr="006940C5">
        <w:rPr>
          <w:rFonts w:eastAsia="Times New Roman" w:cs="Times New Roman"/>
          <w:color w:val="4A4A4A"/>
          <w:sz w:val="21"/>
          <w:szCs w:val="21"/>
          <w:lang w:eastAsia="en-GB"/>
        </w:rPr>
        <w:t>Another limitation is related to the existence of multiple layers and components of public procurement: central government, provinces in federal countries, municipal level, public enterprises, hospitals, defence, etc. Procurement data from these different sectors are very often not aggregated.</w:t>
      </w:r>
    </w:p>
    <w:p w14:paraId="57FE8D98" w14:textId="77777777" w:rsidR="00E02A2C" w:rsidRPr="006940C5" w:rsidRDefault="00E02A2C" w:rsidP="00E02A2C">
      <w:pPr>
        <w:rPr>
          <w:rFonts w:eastAsia="Times New Roman" w:cs="Times New Roman"/>
          <w:color w:val="4A4A4A"/>
          <w:sz w:val="21"/>
          <w:szCs w:val="21"/>
          <w:lang w:eastAsia="en-GB"/>
        </w:rPr>
      </w:pPr>
    </w:p>
    <w:p w14:paraId="5B8ADAA8" w14:textId="77777777" w:rsidR="00E02A2C" w:rsidRPr="006940C5" w:rsidRDefault="00E02A2C" w:rsidP="00E02A2C">
      <w:pPr>
        <w:numPr>
          <w:ilvl w:val="0"/>
          <w:numId w:val="5"/>
        </w:numPr>
        <w:shd w:val="clear" w:color="auto" w:fill="FFFFFF"/>
        <w:spacing w:after="0"/>
        <w:jc w:val="both"/>
        <w:rPr>
          <w:rFonts w:eastAsia="Times New Roman" w:cs="Times New Roman"/>
          <w:color w:val="4A4A4A"/>
          <w:sz w:val="21"/>
          <w:szCs w:val="21"/>
          <w:lang w:eastAsia="en-GB"/>
        </w:rPr>
      </w:pPr>
      <w:r w:rsidRPr="006940C5">
        <w:rPr>
          <w:rFonts w:eastAsia="Times New Roman" w:cs="Times New Roman"/>
          <w:color w:val="4A4A4A"/>
          <w:sz w:val="21"/>
          <w:szCs w:val="21"/>
          <w:lang w:eastAsia="en-GB"/>
        </w:rPr>
        <w:t>In addition, contracts below a certain threshold are not monitored.</w:t>
      </w:r>
    </w:p>
    <w:p w14:paraId="78F34215" w14:textId="77777777" w:rsidR="00E02A2C" w:rsidRPr="006940C5" w:rsidRDefault="00E02A2C" w:rsidP="00E02A2C">
      <w:pPr>
        <w:shd w:val="clear" w:color="auto" w:fill="FFFFFF"/>
        <w:spacing w:after="0"/>
        <w:jc w:val="both"/>
        <w:rPr>
          <w:rFonts w:eastAsia="Times New Roman" w:cs="Times New Roman"/>
          <w:color w:val="4A4A4A"/>
          <w:sz w:val="21"/>
          <w:szCs w:val="21"/>
          <w:lang w:eastAsia="en-GB"/>
        </w:rPr>
      </w:pPr>
    </w:p>
    <w:p w14:paraId="273B24C7" w14:textId="6A035150" w:rsidR="00E02A2C" w:rsidRPr="006940C5" w:rsidRDefault="00E02A2C" w:rsidP="00E02A2C">
      <w:pPr>
        <w:shd w:val="clear" w:color="auto" w:fill="FFFFFF"/>
        <w:spacing w:after="0"/>
        <w:jc w:val="both"/>
        <w:rPr>
          <w:rFonts w:eastAsia="Times New Roman" w:cs="Times New Roman"/>
          <w:color w:val="4A4A4A"/>
          <w:sz w:val="21"/>
          <w:szCs w:val="21"/>
          <w:lang w:eastAsia="en-GB"/>
        </w:rPr>
      </w:pPr>
      <w:r w:rsidRPr="006940C5">
        <w:rPr>
          <w:rFonts w:eastAsia="Times New Roman" w:cs="Times New Roman"/>
          <w:color w:val="4A4A4A"/>
          <w:sz w:val="21"/>
          <w:szCs w:val="21"/>
          <w:lang w:eastAsia="en-GB"/>
        </w:rPr>
        <w:t xml:space="preserve">As a result, and in line with the comment in the rationale section, it was decided to focus on process sub-indicators </w:t>
      </w:r>
      <w:r w:rsidR="0080768B" w:rsidRPr="006940C5">
        <w:rPr>
          <w:rFonts w:eastAsia="Times New Roman" w:cs="Times New Roman"/>
          <w:color w:val="4A4A4A"/>
          <w:sz w:val="21"/>
          <w:szCs w:val="21"/>
          <w:lang w:eastAsia="en-GB"/>
        </w:rPr>
        <w:t xml:space="preserve">which </w:t>
      </w:r>
      <w:r w:rsidRPr="006940C5">
        <w:rPr>
          <w:rFonts w:eastAsia="Times New Roman" w:cs="Times New Roman"/>
          <w:color w:val="4A4A4A"/>
          <w:sz w:val="21"/>
          <w:szCs w:val="21"/>
          <w:lang w:eastAsia="en-GB"/>
        </w:rPr>
        <w:t>will measure the means and efforts countries are investing in the implementation of their SPP plans, policies and programmes.</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p>
    <w:p w14:paraId="1C8B2F6C" w14:textId="7AC1FA0D" w:rsidR="009C7AEB" w:rsidRDefault="009C7AEB" w:rsidP="00165EA3">
      <w:pPr>
        <w:shd w:val="clear" w:color="auto" w:fill="FFFFFF"/>
        <w:spacing w:after="0"/>
        <w:jc w:val="both"/>
        <w:rPr>
          <w:rFonts w:eastAsia="Times New Roman" w:cs="Times New Roman"/>
          <w:color w:val="4A4A4A"/>
          <w:sz w:val="21"/>
          <w:szCs w:val="21"/>
          <w:lang w:eastAsia="en-GB"/>
        </w:rPr>
      </w:pPr>
      <w:r w:rsidRPr="00BC58D2">
        <w:rPr>
          <w:rFonts w:eastAsia="Times New Roman" w:cs="Times New Roman"/>
          <w:color w:val="4A4A4A"/>
          <w:sz w:val="21"/>
          <w:szCs w:val="21"/>
          <w:lang w:eastAsia="en-GB"/>
        </w:rPr>
        <w:lastRenderedPageBreak/>
        <w:t>So as to evaluate the “</w:t>
      </w:r>
      <w:r w:rsidRPr="00BC58D2">
        <w:rPr>
          <w:rFonts w:eastAsia="Times New Roman" w:cs="Times New Roman"/>
          <w:i/>
          <w:iCs/>
          <w:color w:val="4A4A4A"/>
          <w:sz w:val="21"/>
          <w:szCs w:val="21"/>
          <w:lang w:eastAsia="en-GB"/>
        </w:rPr>
        <w:t>number of countries implementing a sustainable public procurement policy and action plans</w:t>
      </w:r>
      <w:r w:rsidRPr="00BC58D2">
        <w:rPr>
          <w:rFonts w:eastAsia="Times New Roman" w:cs="Times New Roman"/>
          <w:color w:val="4A4A4A"/>
          <w:sz w:val="21"/>
          <w:szCs w:val="21"/>
          <w:lang w:eastAsia="en-GB"/>
        </w:rPr>
        <w:t xml:space="preserve">”, </w:t>
      </w:r>
      <w:r w:rsidRPr="00BC58D2">
        <w:rPr>
          <w:rFonts w:eastAsia="Times New Roman" w:cs="Times New Roman"/>
          <w:b/>
          <w:bCs/>
          <w:color w:val="4A4A4A"/>
          <w:sz w:val="21"/>
          <w:szCs w:val="21"/>
          <w:lang w:eastAsia="en-GB"/>
        </w:rPr>
        <w:t>a</w:t>
      </w:r>
      <w:r w:rsidRPr="00BC58D2">
        <w:rPr>
          <w:rFonts w:eastAsia="Times New Roman" w:cs="Times New Roman"/>
          <w:color w:val="4A4A4A"/>
          <w:sz w:val="21"/>
          <w:szCs w:val="21"/>
          <w:lang w:eastAsia="en-GB"/>
        </w:rPr>
        <w:t xml:space="preserve"> </w:t>
      </w:r>
      <w:r w:rsidRPr="00BC58D2">
        <w:rPr>
          <w:rFonts w:eastAsia="Times New Roman" w:cs="Times New Roman"/>
          <w:b/>
          <w:bCs/>
          <w:color w:val="4A4A4A"/>
          <w:sz w:val="21"/>
          <w:szCs w:val="21"/>
          <w:lang w:eastAsia="en-GB"/>
        </w:rPr>
        <w:t>specific threshold</w:t>
      </w:r>
      <w:r w:rsidRPr="00BC58D2">
        <w:rPr>
          <w:rFonts w:eastAsia="Times New Roman" w:cs="Times New Roman"/>
          <w:color w:val="4A4A4A"/>
          <w:sz w:val="21"/>
          <w:szCs w:val="21"/>
          <w:lang w:eastAsia="en-GB"/>
        </w:rPr>
        <w:t xml:space="preserve"> </w:t>
      </w:r>
      <w:r w:rsidRPr="00BC58D2">
        <w:rPr>
          <w:rFonts w:eastAsia="Times New Roman" w:cs="Times New Roman"/>
          <w:b/>
          <w:bCs/>
          <w:color w:val="4A4A4A"/>
          <w:sz w:val="21"/>
          <w:szCs w:val="21"/>
          <w:lang w:eastAsia="en-GB"/>
        </w:rPr>
        <w:t>above which a country will be</w:t>
      </w:r>
      <w:r w:rsidRPr="00BC58D2">
        <w:rPr>
          <w:rFonts w:eastAsia="Times New Roman" w:cs="Times New Roman"/>
          <w:color w:val="4A4A4A"/>
          <w:sz w:val="21"/>
          <w:szCs w:val="21"/>
          <w:lang w:eastAsia="en-GB"/>
        </w:rPr>
        <w:t xml:space="preserve"> </w:t>
      </w:r>
      <w:r w:rsidRPr="00BC58D2">
        <w:rPr>
          <w:rFonts w:eastAsia="Times New Roman" w:cs="Times New Roman"/>
          <w:b/>
          <w:bCs/>
          <w:color w:val="4A4A4A"/>
          <w:sz w:val="21"/>
          <w:szCs w:val="21"/>
          <w:lang w:eastAsia="en-GB"/>
        </w:rPr>
        <w:t xml:space="preserve">considered as having a sound SPP policy or action plan </w:t>
      </w:r>
      <w:r w:rsidR="00C4544C">
        <w:rPr>
          <w:rFonts w:eastAsia="Times New Roman" w:cs="Times New Roman"/>
          <w:color w:val="4A4A4A"/>
          <w:sz w:val="21"/>
          <w:szCs w:val="21"/>
          <w:lang w:eastAsia="en-GB"/>
        </w:rPr>
        <w:t>has been</w:t>
      </w:r>
      <w:r w:rsidRPr="00BC58D2">
        <w:rPr>
          <w:rFonts w:eastAsia="Times New Roman" w:cs="Times New Roman"/>
          <w:color w:val="4A4A4A"/>
          <w:sz w:val="21"/>
          <w:szCs w:val="21"/>
          <w:lang w:eastAsia="en-GB"/>
        </w:rPr>
        <w:t xml:space="preserve"> set, to determine whether this country will be considered</w:t>
      </w:r>
      <w:r w:rsidR="00C4544C">
        <w:rPr>
          <w:rFonts w:eastAsia="Times New Roman" w:cs="Times New Roman"/>
          <w:color w:val="4A4A4A"/>
          <w:sz w:val="21"/>
          <w:szCs w:val="21"/>
          <w:lang w:eastAsia="en-GB"/>
        </w:rPr>
        <w:t xml:space="preserve"> </w:t>
      </w:r>
      <w:r w:rsidRPr="00BC58D2">
        <w:rPr>
          <w:rFonts w:eastAsia="Times New Roman" w:cs="Times New Roman"/>
          <w:color w:val="4A4A4A"/>
          <w:sz w:val="21"/>
          <w:szCs w:val="21"/>
          <w:lang w:eastAsia="en-GB"/>
        </w:rPr>
        <w:t>compliant with the indicator in the final calculation of SDG 12.7.1.</w:t>
      </w:r>
    </w:p>
    <w:p w14:paraId="35255A12" w14:textId="77777777" w:rsidR="00C4544C" w:rsidRPr="00BC58D2" w:rsidRDefault="00C4544C" w:rsidP="00BC58D2">
      <w:pPr>
        <w:shd w:val="clear" w:color="auto" w:fill="FFFFFF"/>
        <w:spacing w:after="0"/>
        <w:jc w:val="both"/>
        <w:rPr>
          <w:color w:val="4A4A4A"/>
          <w:sz w:val="21"/>
          <w:szCs w:val="21"/>
          <w:lang w:eastAsia="en-GB"/>
        </w:rPr>
      </w:pPr>
    </w:p>
    <w:p w14:paraId="22A6FC75" w14:textId="21609772" w:rsidR="009C7AEB" w:rsidRDefault="009C7AEB" w:rsidP="00165EA3">
      <w:pPr>
        <w:shd w:val="clear" w:color="auto" w:fill="FFFFFF"/>
        <w:spacing w:after="0"/>
        <w:jc w:val="both"/>
        <w:rPr>
          <w:rFonts w:eastAsia="Times New Roman" w:cs="Times New Roman"/>
          <w:b/>
          <w:bCs/>
          <w:i/>
          <w:iCs/>
          <w:color w:val="4A4A4A"/>
          <w:sz w:val="21"/>
          <w:szCs w:val="21"/>
          <w:lang w:eastAsia="en-GB"/>
        </w:rPr>
      </w:pPr>
      <w:r w:rsidRPr="00BC58D2">
        <w:rPr>
          <w:rFonts w:eastAsia="Times New Roman" w:cs="Times New Roman"/>
          <w:color w:val="4A4A4A"/>
          <w:sz w:val="21"/>
          <w:szCs w:val="21"/>
          <w:lang w:eastAsia="en-GB"/>
        </w:rPr>
        <w:t xml:space="preserve">It is proposed that this assessment is </w:t>
      </w:r>
      <w:r w:rsidRPr="00BC58D2">
        <w:rPr>
          <w:rFonts w:eastAsia="Times New Roman" w:cs="Times New Roman"/>
          <w:b/>
          <w:bCs/>
          <w:color w:val="4A4A4A"/>
          <w:sz w:val="21"/>
          <w:szCs w:val="21"/>
          <w:lang w:eastAsia="en-GB"/>
        </w:rPr>
        <w:t xml:space="preserve">based on the evaluation of a national government’s SPP implementation </w:t>
      </w:r>
      <w:r w:rsidR="004D3B1B">
        <w:rPr>
          <w:rFonts w:eastAsia="Times New Roman" w:cs="Times New Roman"/>
          <w:b/>
          <w:bCs/>
          <w:color w:val="4A4A4A"/>
          <w:sz w:val="21"/>
          <w:szCs w:val="21"/>
          <w:lang w:eastAsia="en-GB"/>
        </w:rPr>
        <w:t>level</w:t>
      </w:r>
      <w:r w:rsidRPr="00BC58D2">
        <w:rPr>
          <w:rFonts w:eastAsia="Times New Roman" w:cs="Times New Roman"/>
          <w:b/>
          <w:bCs/>
          <w:color w:val="4A4A4A"/>
          <w:sz w:val="21"/>
          <w:szCs w:val="21"/>
          <w:lang w:eastAsia="en-GB"/>
        </w:rPr>
        <w:t>, scope and comprehensiveness</w:t>
      </w:r>
      <w:r w:rsidRPr="00BC58D2">
        <w:rPr>
          <w:rFonts w:eastAsia="Times New Roman" w:cs="Times New Roman"/>
          <w:color w:val="4A4A4A"/>
          <w:sz w:val="21"/>
          <w:szCs w:val="21"/>
          <w:lang w:eastAsia="en-GB"/>
        </w:rPr>
        <w:t xml:space="preserve">, through the </w:t>
      </w:r>
      <w:r w:rsidRPr="00BC58D2">
        <w:rPr>
          <w:rFonts w:eastAsia="Times New Roman" w:cs="Times New Roman"/>
          <w:b/>
          <w:bCs/>
          <w:color w:val="4A4A4A"/>
          <w:sz w:val="21"/>
          <w:szCs w:val="21"/>
          <w:lang w:eastAsia="en-GB"/>
        </w:rPr>
        <w:t>appraisal of 6 specific parameters</w:t>
      </w:r>
      <w:r w:rsidRPr="00BC58D2">
        <w:rPr>
          <w:rFonts w:eastAsia="Times New Roman" w:cs="Times New Roman"/>
          <w:color w:val="4A4A4A"/>
          <w:sz w:val="21"/>
          <w:szCs w:val="21"/>
          <w:lang w:eastAsia="en-GB"/>
        </w:rPr>
        <w:t xml:space="preserve"> (described in the table below), which will lead to the calculation of a </w:t>
      </w:r>
      <w:r w:rsidRPr="00BC58D2">
        <w:rPr>
          <w:rFonts w:eastAsia="Times New Roman" w:cs="Times New Roman"/>
          <w:b/>
          <w:bCs/>
          <w:i/>
          <w:iCs/>
          <w:color w:val="4A4A4A"/>
          <w:sz w:val="21"/>
          <w:szCs w:val="21"/>
          <w:lang w:eastAsia="en-GB"/>
        </w:rPr>
        <w:t xml:space="preserve">Government SPP Implementation </w:t>
      </w:r>
      <w:r w:rsidR="00EA2D29">
        <w:rPr>
          <w:rFonts w:eastAsia="Times New Roman" w:cs="Times New Roman"/>
          <w:b/>
          <w:bCs/>
          <w:i/>
          <w:iCs/>
          <w:color w:val="4A4A4A"/>
          <w:sz w:val="21"/>
          <w:szCs w:val="21"/>
          <w:lang w:eastAsia="en-GB"/>
        </w:rPr>
        <w:t>Score</w:t>
      </w:r>
      <w:r w:rsidRPr="00BC58D2">
        <w:rPr>
          <w:rFonts w:eastAsia="Times New Roman" w:cs="Times New Roman"/>
          <w:b/>
          <w:bCs/>
          <w:i/>
          <w:iCs/>
          <w:color w:val="4A4A4A"/>
          <w:sz w:val="21"/>
          <w:szCs w:val="21"/>
          <w:lang w:eastAsia="en-GB"/>
        </w:rPr>
        <w:t xml:space="preserve">. </w:t>
      </w:r>
    </w:p>
    <w:p w14:paraId="7B2FCD25" w14:textId="026BCED8" w:rsidR="009C7AEB" w:rsidRPr="00BC58D2" w:rsidRDefault="009C7AEB" w:rsidP="003B0D67">
      <w:pPr>
        <w:shd w:val="clear" w:color="auto" w:fill="FFFFFF"/>
        <w:spacing w:after="0"/>
        <w:jc w:val="center"/>
        <w:rPr>
          <w:color w:val="4A4A4A"/>
          <w:sz w:val="21"/>
          <w:szCs w:val="21"/>
          <w:lang w:val="fr-FR" w:eastAsia="en-GB"/>
        </w:rPr>
      </w:pPr>
      <w:r w:rsidRPr="00BC58D2">
        <w:rPr>
          <w:rFonts w:eastAsia="Times New Roman" w:cs="Times New Roman"/>
          <w:color w:val="4BACC6" w:themeColor="accent5"/>
          <w:sz w:val="21"/>
          <w:szCs w:val="21"/>
          <w:lang w:val="fr-FR" w:eastAsia="en-GB"/>
        </w:rPr>
        <w:t xml:space="preserve">SPP Implementation </w:t>
      </w:r>
      <w:r w:rsidR="00EA2D29" w:rsidRPr="00BC58D2">
        <w:rPr>
          <w:rFonts w:eastAsia="Times New Roman" w:cs="Times New Roman"/>
          <w:color w:val="4BACC6" w:themeColor="accent5"/>
          <w:sz w:val="21"/>
          <w:szCs w:val="21"/>
          <w:lang w:val="fr-FR" w:eastAsia="en-GB"/>
        </w:rPr>
        <w:t>Score</w:t>
      </w:r>
      <w:r w:rsidRPr="00BC58D2">
        <w:rPr>
          <w:rFonts w:eastAsia="Times New Roman" w:cs="Times New Roman"/>
          <w:color w:val="4BACC6" w:themeColor="accent5"/>
          <w:sz w:val="21"/>
          <w:szCs w:val="21"/>
          <w:lang w:val="fr-FR" w:eastAsia="en-GB"/>
        </w:rPr>
        <w:t xml:space="preserve"> </w:t>
      </w:r>
      <m:oMath>
        <m:r>
          <m:rPr>
            <m:sty m:val="p"/>
          </m:rPr>
          <w:rPr>
            <w:rFonts w:ascii="Cambria Math" w:eastAsia="Times New Roman" w:hAnsi="Cambria Math" w:cs="Times New Roman"/>
            <w:color w:val="4BACC6" w:themeColor="accent5"/>
            <w:sz w:val="21"/>
            <w:szCs w:val="21"/>
            <w:lang w:val="fr-FR" w:eastAsia="en-GB"/>
          </w:rPr>
          <m:t xml:space="preserve">=     </m:t>
        </m:r>
        <m:sSub>
          <m:sSubPr>
            <m:ctrlPr>
              <w:rPr>
                <w:rFonts w:ascii="Cambria Math" w:eastAsia="Times New Roman" w:hAnsi="Cambria Math" w:cs="Times New Roman"/>
                <w:color w:val="4BACC6" w:themeColor="accent5"/>
                <w:sz w:val="21"/>
                <w:szCs w:val="21"/>
                <w:lang w:eastAsia="en-GB"/>
              </w:rPr>
            </m:ctrlPr>
          </m:sSubPr>
          <m:e>
            <m:r>
              <w:rPr>
                <w:rFonts w:ascii="Cambria Math" w:eastAsia="Times New Roman" w:hAnsi="Cambria Math" w:cs="Times New Roman"/>
                <w:color w:val="4BACC6" w:themeColor="accent5"/>
                <w:sz w:val="21"/>
                <w:szCs w:val="21"/>
                <w:lang w:eastAsia="en-GB"/>
              </w:rPr>
              <m:t>A</m:t>
            </m:r>
          </m:e>
          <m:sub/>
        </m:sSub>
        <m:r>
          <m:rPr>
            <m:sty m:val="p"/>
          </m:rPr>
          <w:rPr>
            <w:rFonts w:ascii="Cambria Math" w:eastAsia="Times New Roman" w:hAnsi="Cambria Math" w:cs="Times New Roman"/>
            <w:color w:val="4BACC6" w:themeColor="accent5"/>
            <w:sz w:val="21"/>
            <w:szCs w:val="21"/>
            <w:lang w:val="fr-FR" w:eastAsia="en-GB"/>
          </w:rPr>
          <m:t>×</m:t>
        </m:r>
        <m:nary>
          <m:naryPr>
            <m:chr m:val="∑"/>
            <m:limLoc m:val="subSup"/>
            <m:ctrlPr>
              <w:rPr>
                <w:rFonts w:ascii="Cambria Math" w:eastAsia="Times New Roman" w:hAnsi="Cambria Math" w:cs="Times New Roman"/>
                <w:color w:val="4BACC6" w:themeColor="accent5"/>
                <w:sz w:val="21"/>
                <w:szCs w:val="21"/>
                <w:lang w:eastAsia="en-GB"/>
              </w:rPr>
            </m:ctrlPr>
          </m:naryPr>
          <m:sub>
            <m:r>
              <w:rPr>
                <w:rFonts w:ascii="Cambria Math" w:eastAsia="Times New Roman" w:hAnsi="Cambria Math" w:cs="Times New Roman"/>
                <w:color w:val="4BACC6" w:themeColor="accent5"/>
                <w:sz w:val="21"/>
                <w:szCs w:val="21"/>
                <w:lang w:eastAsia="en-GB"/>
              </w:rPr>
              <m:t>i</m:t>
            </m:r>
            <m:r>
              <m:rPr>
                <m:sty m:val="p"/>
              </m:rPr>
              <w:rPr>
                <w:rFonts w:ascii="Cambria Math" w:eastAsia="Times New Roman" w:hAnsi="Cambria Math" w:cs="Times New Roman"/>
                <w:color w:val="4BACC6" w:themeColor="accent5"/>
                <w:sz w:val="21"/>
                <w:szCs w:val="21"/>
                <w:lang w:val="fr-FR" w:eastAsia="en-GB"/>
              </w:rPr>
              <m:t>=</m:t>
            </m:r>
            <m:r>
              <w:rPr>
                <w:rFonts w:ascii="Cambria Math" w:eastAsia="Times New Roman" w:hAnsi="Cambria Math" w:cs="Times New Roman"/>
                <w:color w:val="4BACC6" w:themeColor="accent5"/>
                <w:sz w:val="21"/>
                <w:szCs w:val="21"/>
                <w:lang w:eastAsia="en-GB"/>
              </w:rPr>
              <m:t>B</m:t>
            </m:r>
          </m:sub>
          <m:sup>
            <m:r>
              <w:rPr>
                <w:rFonts w:ascii="Cambria Math" w:eastAsia="Times New Roman" w:hAnsi="Cambria Math" w:cs="Times New Roman"/>
                <w:color w:val="4BACC6" w:themeColor="accent5"/>
                <w:sz w:val="21"/>
                <w:szCs w:val="21"/>
                <w:lang w:eastAsia="en-GB"/>
              </w:rPr>
              <m:t>F</m:t>
            </m:r>
          </m:sup>
          <m:e>
            <m:sSub>
              <m:sSubPr>
                <m:ctrlPr>
                  <w:rPr>
                    <w:rFonts w:ascii="Cambria Math" w:eastAsia="Times New Roman" w:hAnsi="Cambria Math" w:cs="Times New Roman"/>
                    <w:color w:val="4BACC6" w:themeColor="accent5"/>
                    <w:sz w:val="21"/>
                    <w:szCs w:val="21"/>
                    <w:lang w:eastAsia="en-GB"/>
                  </w:rPr>
                </m:ctrlPr>
              </m:sSubPr>
              <m:e>
                <m:r>
                  <w:rPr>
                    <w:rFonts w:ascii="Cambria Math" w:eastAsia="Times New Roman" w:hAnsi="Cambria Math" w:cs="Times New Roman"/>
                    <w:color w:val="4BACC6" w:themeColor="accent5"/>
                    <w:sz w:val="21"/>
                    <w:szCs w:val="21"/>
                    <w:lang w:eastAsia="en-GB"/>
                  </w:rPr>
                  <m:t>i</m:t>
                </m:r>
              </m:e>
              <m:sub/>
            </m:sSub>
          </m:e>
        </m:nary>
        <m:r>
          <m:rPr>
            <m:sty m:val="p"/>
          </m:rPr>
          <w:rPr>
            <w:rFonts w:ascii="Cambria Math" w:eastAsia="Times New Roman" w:hAnsi="Cambria Math" w:cs="Times New Roman"/>
            <w:color w:val="4BACC6" w:themeColor="accent5"/>
            <w:sz w:val="21"/>
            <w:szCs w:val="21"/>
            <w:lang w:val="fr-FR" w:eastAsia="en-GB"/>
          </w:rPr>
          <m:t xml:space="preserve">  =</m:t>
        </m:r>
        <m:sSub>
          <m:sSubPr>
            <m:ctrlPr>
              <w:rPr>
                <w:rFonts w:ascii="Cambria Math" w:eastAsia="Times New Roman" w:hAnsi="Cambria Math" w:cs="Times New Roman"/>
                <w:color w:val="4BACC6" w:themeColor="accent5"/>
                <w:sz w:val="21"/>
                <w:szCs w:val="21"/>
                <w:lang w:eastAsia="en-GB"/>
              </w:rPr>
            </m:ctrlPr>
          </m:sSubPr>
          <m:e>
            <m:r>
              <m:rPr>
                <m:sty m:val="p"/>
              </m:rPr>
              <w:rPr>
                <w:rFonts w:ascii="Cambria Math" w:eastAsia="Times New Roman" w:hAnsi="Cambria Math" w:cs="Times New Roman"/>
                <w:color w:val="4BACC6" w:themeColor="accent5"/>
                <w:sz w:val="21"/>
                <w:szCs w:val="21"/>
                <w:lang w:val="fr-FR" w:eastAsia="en-GB"/>
              </w:rPr>
              <m:t xml:space="preserve"> </m:t>
            </m:r>
            <m:r>
              <w:rPr>
                <w:rFonts w:ascii="Cambria Math" w:eastAsia="Times New Roman" w:hAnsi="Cambria Math" w:cs="Times New Roman"/>
                <w:color w:val="4BACC6" w:themeColor="accent5"/>
                <w:sz w:val="21"/>
                <w:szCs w:val="21"/>
                <w:lang w:eastAsia="en-GB"/>
              </w:rPr>
              <m:t>A</m:t>
            </m:r>
          </m:e>
          <m:sub/>
        </m:sSub>
        <m:r>
          <m:rPr>
            <m:sty m:val="p"/>
          </m:rPr>
          <w:rPr>
            <w:rFonts w:ascii="Cambria Math" w:eastAsia="Times New Roman" w:hAnsi="Cambria Math" w:cs="Times New Roman"/>
            <w:color w:val="4BACC6" w:themeColor="accent5"/>
            <w:sz w:val="21"/>
            <w:szCs w:val="21"/>
            <w:lang w:val="fr-FR" w:eastAsia="en-GB"/>
          </w:rPr>
          <m:t>×</m:t>
        </m:r>
        <m:nary>
          <m:naryPr>
            <m:chr m:val="∑"/>
            <m:limLoc m:val="undOvr"/>
            <m:subHide m:val="1"/>
            <m:supHide m:val="1"/>
            <m:ctrlPr>
              <w:rPr>
                <w:rFonts w:ascii="Cambria Math" w:eastAsia="Times New Roman" w:hAnsi="Cambria Math" w:cs="Times New Roman"/>
                <w:color w:val="4BACC6" w:themeColor="accent5"/>
                <w:sz w:val="21"/>
                <w:szCs w:val="21"/>
                <w:lang w:eastAsia="en-GB"/>
              </w:rPr>
            </m:ctrlPr>
          </m:naryPr>
          <m:sub/>
          <m:sup/>
          <m:e>
            <m:d>
              <m:dPr>
                <m:begChr m:val="{"/>
                <m:endChr m:val="}"/>
                <m:ctrlPr>
                  <w:rPr>
                    <w:rFonts w:ascii="Cambria Math" w:eastAsia="Times New Roman" w:hAnsi="Cambria Math" w:cs="Times New Roman"/>
                    <w:color w:val="4BACC6" w:themeColor="accent5"/>
                    <w:sz w:val="21"/>
                    <w:szCs w:val="21"/>
                    <w:lang w:eastAsia="en-GB"/>
                  </w:rPr>
                </m:ctrlPr>
              </m:dPr>
              <m:e>
                <m:sSub>
                  <m:sSubPr>
                    <m:ctrlPr>
                      <w:rPr>
                        <w:rFonts w:ascii="Cambria Math" w:eastAsia="Times New Roman" w:hAnsi="Cambria Math" w:cs="Times New Roman"/>
                        <w:color w:val="4BACC6" w:themeColor="accent5"/>
                        <w:sz w:val="21"/>
                        <w:szCs w:val="21"/>
                        <w:lang w:eastAsia="en-GB"/>
                      </w:rPr>
                    </m:ctrlPr>
                  </m:sSubPr>
                  <m:e>
                    <m:r>
                      <w:rPr>
                        <w:rFonts w:ascii="Cambria Math" w:eastAsia="Times New Roman" w:hAnsi="Cambria Math" w:cs="Times New Roman"/>
                        <w:color w:val="4BACC6" w:themeColor="accent5"/>
                        <w:sz w:val="21"/>
                        <w:szCs w:val="21"/>
                        <w:lang w:eastAsia="en-GB"/>
                      </w:rPr>
                      <m:t>B</m:t>
                    </m:r>
                  </m:e>
                  <m:sub/>
                </m:sSub>
                <m:r>
                  <m:rPr>
                    <m:sty m:val="p"/>
                  </m:rPr>
                  <w:rPr>
                    <w:rFonts w:ascii="Cambria Math" w:eastAsia="Times New Roman" w:hAnsi="Cambria Math" w:cs="Times New Roman"/>
                    <w:color w:val="4BACC6" w:themeColor="accent5"/>
                    <w:sz w:val="21"/>
                    <w:szCs w:val="21"/>
                    <w:lang w:val="fr-FR" w:eastAsia="en-GB"/>
                  </w:rPr>
                  <m:t>⋯</m:t>
                </m:r>
                <m:sSub>
                  <m:sSubPr>
                    <m:ctrlPr>
                      <w:rPr>
                        <w:rFonts w:ascii="Cambria Math" w:eastAsia="Times New Roman" w:hAnsi="Cambria Math" w:cs="Times New Roman"/>
                        <w:color w:val="4BACC6" w:themeColor="accent5"/>
                        <w:sz w:val="21"/>
                        <w:szCs w:val="21"/>
                        <w:lang w:eastAsia="en-GB"/>
                      </w:rPr>
                    </m:ctrlPr>
                  </m:sSubPr>
                  <m:e>
                    <m:r>
                      <w:rPr>
                        <w:rFonts w:ascii="Cambria Math" w:eastAsia="Times New Roman" w:hAnsi="Cambria Math" w:cs="Times New Roman"/>
                        <w:color w:val="4BACC6" w:themeColor="accent5"/>
                        <w:sz w:val="21"/>
                        <w:szCs w:val="21"/>
                        <w:lang w:eastAsia="en-GB"/>
                      </w:rPr>
                      <m:t>F</m:t>
                    </m:r>
                  </m:e>
                  <m:sub/>
                </m:sSub>
              </m:e>
            </m:d>
          </m:e>
        </m:nary>
      </m:oMath>
    </w:p>
    <w:p w14:paraId="73DE10EE" w14:textId="77777777" w:rsidR="009C7AEB" w:rsidRPr="00BC58D2" w:rsidRDefault="009C7AEB" w:rsidP="003B0D67">
      <w:pPr>
        <w:shd w:val="clear" w:color="auto" w:fill="FFFFFF"/>
        <w:spacing w:after="0"/>
        <w:jc w:val="both"/>
        <w:rPr>
          <w:color w:val="4A4A4A"/>
          <w:sz w:val="21"/>
          <w:szCs w:val="21"/>
          <w:lang w:val="fr-FR" w:eastAsia="en-GB"/>
        </w:rPr>
      </w:pPr>
    </w:p>
    <w:p w14:paraId="0DCDB971" w14:textId="77777777" w:rsidR="009C7AEB" w:rsidRPr="00BC58D2" w:rsidRDefault="009C7AEB" w:rsidP="00BC58D2">
      <w:pPr>
        <w:shd w:val="clear" w:color="auto" w:fill="FFFFFF"/>
        <w:spacing w:after="0"/>
        <w:jc w:val="both"/>
        <w:rPr>
          <w:color w:val="4A4A4A"/>
          <w:sz w:val="21"/>
          <w:szCs w:val="21"/>
          <w:lang w:val="fr-FR" w:eastAsia="en-GB"/>
        </w:rPr>
      </w:pPr>
    </w:p>
    <w:tbl>
      <w:tblPr>
        <w:tblStyle w:val="TableGrid"/>
        <w:tblpPr w:leftFromText="141" w:rightFromText="141" w:vertAnchor="text" w:horzAnchor="margin" w:tblpY="-15"/>
        <w:tblW w:w="9074" w:type="dxa"/>
        <w:tblLook w:val="04A0" w:firstRow="1" w:lastRow="0" w:firstColumn="1" w:lastColumn="0" w:noHBand="0" w:noVBand="1"/>
      </w:tblPr>
      <w:tblGrid>
        <w:gridCol w:w="1212"/>
        <w:gridCol w:w="6154"/>
        <w:gridCol w:w="1708"/>
      </w:tblGrid>
      <w:tr w:rsidR="00EA70DF" w:rsidRPr="00165EA3" w14:paraId="4A5416EE" w14:textId="77777777" w:rsidTr="005A276A">
        <w:trPr>
          <w:trHeight w:val="332"/>
        </w:trPr>
        <w:tc>
          <w:tcPr>
            <w:tcW w:w="9074" w:type="dxa"/>
            <w:gridSpan w:val="3"/>
          </w:tcPr>
          <w:p w14:paraId="68696B06" w14:textId="77777777" w:rsidR="00EA70DF" w:rsidRPr="00BC58D2" w:rsidRDefault="00EA70DF" w:rsidP="00EA70DF">
            <w:pPr>
              <w:pStyle w:val="ListParagraph"/>
              <w:spacing w:line="360" w:lineRule="auto"/>
              <w:ind w:left="1146"/>
              <w:jc w:val="center"/>
              <w:rPr>
                <w:rFonts w:eastAsia="Times New Roman" w:cs="Times New Roman"/>
                <w:b/>
                <w:bCs/>
                <w:color w:val="4A4A4A"/>
                <w:sz w:val="21"/>
                <w:szCs w:val="21"/>
                <w:lang w:eastAsia="en-GB"/>
              </w:rPr>
            </w:pPr>
            <w:r w:rsidRPr="00BC58D2">
              <w:rPr>
                <w:rFonts w:eastAsia="Times New Roman" w:cs="Times New Roman"/>
                <w:b/>
                <w:bCs/>
                <w:color w:val="4A4A4A"/>
                <w:sz w:val="21"/>
                <w:szCs w:val="21"/>
                <w:lang w:eastAsia="en-GB"/>
              </w:rPr>
              <w:t>Description of parameters and scoring used for the assessment of SPP implementation</w:t>
            </w:r>
          </w:p>
          <w:p w14:paraId="26D812C0" w14:textId="77777777" w:rsidR="00EA70DF" w:rsidRPr="00EA70DF" w:rsidRDefault="00EA70DF">
            <w:pPr>
              <w:shd w:val="clear" w:color="auto" w:fill="FFFFFF"/>
              <w:jc w:val="both"/>
              <w:rPr>
                <w:rFonts w:eastAsia="Times New Roman" w:cs="Times New Roman"/>
                <w:b/>
                <w:bCs/>
                <w:color w:val="4A4A4A"/>
                <w:sz w:val="21"/>
                <w:szCs w:val="21"/>
                <w:lang w:eastAsia="en-GB"/>
              </w:rPr>
            </w:pPr>
          </w:p>
        </w:tc>
      </w:tr>
      <w:tr w:rsidR="009C7AEB" w:rsidRPr="00165EA3" w14:paraId="6E52BFF6" w14:textId="77777777" w:rsidTr="00BC58D2">
        <w:trPr>
          <w:trHeight w:val="332"/>
        </w:trPr>
        <w:tc>
          <w:tcPr>
            <w:tcW w:w="1212" w:type="dxa"/>
          </w:tcPr>
          <w:p w14:paraId="284FE5D7" w14:textId="77777777" w:rsidR="009C7AEB" w:rsidRPr="00BC58D2" w:rsidRDefault="009C7AEB" w:rsidP="00BC58D2">
            <w:pPr>
              <w:shd w:val="clear" w:color="auto" w:fill="FFFFFF"/>
              <w:spacing w:line="276" w:lineRule="auto"/>
              <w:jc w:val="both"/>
              <w:rPr>
                <w:rFonts w:eastAsia="Times New Roman" w:cs="Times New Roman"/>
                <w:b/>
                <w:bCs/>
                <w:color w:val="4A4A4A"/>
                <w:sz w:val="21"/>
                <w:szCs w:val="21"/>
                <w:lang w:eastAsia="en-GB"/>
              </w:rPr>
            </w:pPr>
            <w:r w:rsidRPr="00BC58D2">
              <w:rPr>
                <w:rFonts w:eastAsia="Times New Roman" w:cs="Times New Roman"/>
                <w:b/>
                <w:bCs/>
                <w:color w:val="4A4A4A"/>
                <w:sz w:val="21"/>
                <w:szCs w:val="21"/>
                <w:lang w:eastAsia="en-GB"/>
              </w:rPr>
              <w:t>Denoted as:</w:t>
            </w:r>
          </w:p>
        </w:tc>
        <w:tc>
          <w:tcPr>
            <w:tcW w:w="6154" w:type="dxa"/>
          </w:tcPr>
          <w:p w14:paraId="1C312F04" w14:textId="77777777" w:rsidR="009C7AEB" w:rsidRPr="00BC58D2" w:rsidRDefault="009C7AEB" w:rsidP="00BC58D2">
            <w:pPr>
              <w:shd w:val="clear" w:color="auto" w:fill="FFFFFF"/>
              <w:spacing w:line="276" w:lineRule="auto"/>
              <w:jc w:val="both"/>
              <w:rPr>
                <w:rFonts w:eastAsia="Times New Roman" w:cs="Times New Roman"/>
                <w:b/>
                <w:bCs/>
                <w:color w:val="4A4A4A"/>
                <w:sz w:val="21"/>
                <w:szCs w:val="21"/>
                <w:lang w:eastAsia="en-GB"/>
              </w:rPr>
            </w:pPr>
            <w:r w:rsidRPr="00BC58D2">
              <w:rPr>
                <w:rFonts w:eastAsia="Times New Roman" w:cs="Times New Roman"/>
                <w:b/>
                <w:bCs/>
                <w:color w:val="4A4A4A"/>
                <w:sz w:val="21"/>
                <w:szCs w:val="21"/>
                <w:lang w:eastAsia="en-GB"/>
              </w:rPr>
              <w:t>Parameter and sub-indicators</w:t>
            </w:r>
          </w:p>
        </w:tc>
        <w:tc>
          <w:tcPr>
            <w:tcW w:w="1708" w:type="dxa"/>
          </w:tcPr>
          <w:p w14:paraId="25E571FD" w14:textId="77777777" w:rsidR="009C7AEB" w:rsidRPr="00BC58D2" w:rsidRDefault="009C7AEB" w:rsidP="00BC58D2">
            <w:pPr>
              <w:shd w:val="clear" w:color="auto" w:fill="FFFFFF"/>
              <w:spacing w:line="276" w:lineRule="auto"/>
              <w:jc w:val="both"/>
              <w:rPr>
                <w:rFonts w:eastAsia="Times New Roman" w:cs="Times New Roman"/>
                <w:b/>
                <w:bCs/>
                <w:color w:val="4A4A4A"/>
                <w:sz w:val="21"/>
                <w:szCs w:val="21"/>
                <w:lang w:eastAsia="en-GB"/>
              </w:rPr>
            </w:pPr>
            <w:r w:rsidRPr="00BC58D2">
              <w:rPr>
                <w:rFonts w:eastAsia="Times New Roman" w:cs="Times New Roman"/>
                <w:b/>
                <w:bCs/>
                <w:color w:val="4A4A4A"/>
                <w:sz w:val="21"/>
                <w:szCs w:val="21"/>
                <w:lang w:eastAsia="en-GB"/>
              </w:rPr>
              <w:t>Scoring</w:t>
            </w:r>
          </w:p>
        </w:tc>
      </w:tr>
      <w:tr w:rsidR="009C7AEB" w:rsidRPr="00165EA3" w14:paraId="0F38B603" w14:textId="77777777" w:rsidTr="00BC58D2">
        <w:trPr>
          <w:trHeight w:val="828"/>
        </w:trPr>
        <w:tc>
          <w:tcPr>
            <w:tcW w:w="1212" w:type="dxa"/>
          </w:tcPr>
          <w:p w14:paraId="779B4463" w14:textId="77777777" w:rsidR="009C7AEB" w:rsidRPr="00BC58D2" w:rsidDel="00D379B4" w:rsidRDefault="009C7AEB" w:rsidP="00BC58D2">
            <w:pPr>
              <w:shd w:val="clear" w:color="auto" w:fill="FFFFFF"/>
              <w:spacing w:line="276" w:lineRule="auto"/>
              <w:jc w:val="both"/>
              <w:rPr>
                <w:rFonts w:eastAsia="Times New Roman" w:cs="Times New Roman"/>
                <w:color w:val="4A4A4A"/>
                <w:sz w:val="21"/>
                <w:szCs w:val="21"/>
                <w:lang w:eastAsia="en-GB"/>
              </w:rPr>
            </w:pPr>
            <w:r w:rsidRPr="00BC58D2">
              <w:rPr>
                <w:rFonts w:eastAsia="Times New Roman" w:cs="Times New Roman"/>
                <w:color w:val="4A4A4A"/>
                <w:sz w:val="21"/>
                <w:szCs w:val="21"/>
                <w:lang w:eastAsia="en-GB"/>
              </w:rPr>
              <w:t>A</w:t>
            </w:r>
          </w:p>
        </w:tc>
        <w:tc>
          <w:tcPr>
            <w:tcW w:w="6154" w:type="dxa"/>
          </w:tcPr>
          <w:p w14:paraId="1A9B8C45" w14:textId="77777777" w:rsidR="009C7AEB" w:rsidRPr="00BC58D2" w:rsidRDefault="009C7AEB" w:rsidP="00BC58D2">
            <w:pPr>
              <w:shd w:val="clear" w:color="auto" w:fill="FFFFFF"/>
              <w:spacing w:line="276" w:lineRule="auto"/>
              <w:jc w:val="both"/>
              <w:rPr>
                <w:rFonts w:eastAsia="Times New Roman" w:cs="Times New Roman"/>
                <w:color w:val="4A4A4A"/>
                <w:sz w:val="21"/>
                <w:szCs w:val="21"/>
                <w:lang w:eastAsia="en-GB"/>
              </w:rPr>
            </w:pPr>
            <w:r w:rsidRPr="00BC58D2">
              <w:rPr>
                <w:rFonts w:eastAsia="Times New Roman" w:cs="Times New Roman"/>
                <w:color w:val="4A4A4A"/>
                <w:sz w:val="21"/>
                <w:szCs w:val="21"/>
                <w:lang w:eastAsia="en-GB"/>
              </w:rPr>
              <w:t>Existence of a SPP action plan/policy, and/or SPP regulatory requirements.</w:t>
            </w:r>
          </w:p>
          <w:p w14:paraId="5C60E1BF" w14:textId="77777777" w:rsidR="009C7AEB" w:rsidRPr="00BC58D2" w:rsidRDefault="009C7AEB" w:rsidP="00BC58D2">
            <w:pPr>
              <w:shd w:val="clear" w:color="auto" w:fill="FFFFFF"/>
              <w:spacing w:line="276" w:lineRule="auto"/>
              <w:jc w:val="both"/>
              <w:rPr>
                <w:rFonts w:eastAsia="Times New Roman" w:cs="Times New Roman"/>
                <w:color w:val="4A4A4A"/>
                <w:sz w:val="21"/>
                <w:szCs w:val="21"/>
                <w:lang w:eastAsia="en-GB"/>
              </w:rPr>
            </w:pPr>
            <w:r w:rsidRPr="00BC58D2">
              <w:rPr>
                <w:rFonts w:eastAsia="Times New Roman" w:cs="Times New Roman"/>
                <w:color w:val="4A4A4A"/>
                <w:sz w:val="21"/>
                <w:szCs w:val="21"/>
                <w:lang w:eastAsia="en-GB"/>
              </w:rPr>
              <w:t>0 means no SPP policy in place, 1 means existence of SPP action plan, policy and/or SPP regulatory requirements at national, local or both levels.</w:t>
            </w:r>
          </w:p>
        </w:tc>
        <w:tc>
          <w:tcPr>
            <w:tcW w:w="1708" w:type="dxa"/>
          </w:tcPr>
          <w:p w14:paraId="0BC13C73" w14:textId="77777777" w:rsidR="009C7AEB" w:rsidRPr="00BC58D2" w:rsidRDefault="009C7AEB" w:rsidP="00BC58D2">
            <w:pPr>
              <w:shd w:val="clear" w:color="auto" w:fill="FFFFFF"/>
              <w:spacing w:line="276" w:lineRule="auto"/>
              <w:jc w:val="both"/>
              <w:rPr>
                <w:rFonts w:eastAsia="Times New Roman" w:cs="Times New Roman"/>
                <w:color w:val="4A4A4A"/>
                <w:sz w:val="21"/>
                <w:szCs w:val="21"/>
                <w:lang w:eastAsia="en-GB"/>
              </w:rPr>
            </w:pPr>
            <w:r w:rsidRPr="00BC58D2">
              <w:rPr>
                <w:rFonts w:eastAsia="Times New Roman" w:cs="Times New Roman"/>
                <w:color w:val="4A4A4A"/>
                <w:sz w:val="21"/>
                <w:szCs w:val="21"/>
                <w:lang w:eastAsia="en-GB"/>
              </w:rPr>
              <w:t>0 or 1</w:t>
            </w:r>
          </w:p>
        </w:tc>
      </w:tr>
      <w:tr w:rsidR="009C7AEB" w:rsidRPr="00165EA3" w14:paraId="31A17216" w14:textId="77777777" w:rsidTr="00BC58D2">
        <w:trPr>
          <w:trHeight w:val="544"/>
        </w:trPr>
        <w:tc>
          <w:tcPr>
            <w:tcW w:w="1212" w:type="dxa"/>
          </w:tcPr>
          <w:p w14:paraId="0DAB4757" w14:textId="77777777" w:rsidR="009C7AEB" w:rsidRPr="00BC58D2" w:rsidRDefault="009C7AEB" w:rsidP="00BC58D2">
            <w:pPr>
              <w:shd w:val="clear" w:color="auto" w:fill="FFFFFF"/>
              <w:spacing w:line="276" w:lineRule="auto"/>
              <w:jc w:val="both"/>
              <w:rPr>
                <w:rFonts w:eastAsia="Times New Roman" w:cs="Times New Roman"/>
                <w:color w:val="4A4A4A"/>
                <w:sz w:val="21"/>
                <w:szCs w:val="21"/>
                <w:lang w:eastAsia="en-GB"/>
              </w:rPr>
            </w:pPr>
            <w:r w:rsidRPr="00BC58D2">
              <w:rPr>
                <w:rFonts w:eastAsia="Times New Roman" w:cs="Times New Roman"/>
                <w:color w:val="4A4A4A"/>
                <w:sz w:val="21"/>
                <w:szCs w:val="21"/>
                <w:lang w:eastAsia="en-GB"/>
              </w:rPr>
              <w:t>B</w:t>
            </w:r>
          </w:p>
        </w:tc>
        <w:tc>
          <w:tcPr>
            <w:tcW w:w="6154" w:type="dxa"/>
          </w:tcPr>
          <w:p w14:paraId="7EDC9B8F" w14:textId="77777777" w:rsidR="009C7AEB" w:rsidRPr="00BC58D2" w:rsidRDefault="009C7AEB" w:rsidP="00BC58D2">
            <w:pPr>
              <w:shd w:val="clear" w:color="auto" w:fill="FFFFFF"/>
              <w:spacing w:line="276" w:lineRule="auto"/>
              <w:jc w:val="both"/>
              <w:rPr>
                <w:rFonts w:eastAsia="Times New Roman" w:cs="Times New Roman"/>
                <w:color w:val="4A4A4A"/>
                <w:sz w:val="21"/>
                <w:szCs w:val="21"/>
                <w:lang w:eastAsia="en-GB"/>
              </w:rPr>
            </w:pPr>
            <w:r w:rsidRPr="00BC58D2">
              <w:rPr>
                <w:rFonts w:eastAsia="Times New Roman" w:cs="Times New Roman"/>
                <w:color w:val="4A4A4A"/>
                <w:sz w:val="21"/>
                <w:szCs w:val="21"/>
                <w:lang w:eastAsia="en-GB"/>
              </w:rPr>
              <w:t>Public procurement regulatory framework conducive to sustainable public procurement.</w:t>
            </w:r>
          </w:p>
        </w:tc>
        <w:tc>
          <w:tcPr>
            <w:tcW w:w="1708" w:type="dxa"/>
          </w:tcPr>
          <w:p w14:paraId="7048BDAC" w14:textId="1DCD92E3" w:rsidR="009C7AEB" w:rsidRPr="00BC58D2" w:rsidRDefault="009C7AEB" w:rsidP="00BC58D2">
            <w:pPr>
              <w:shd w:val="clear" w:color="auto" w:fill="FFFFFF"/>
              <w:spacing w:line="276" w:lineRule="auto"/>
              <w:jc w:val="both"/>
              <w:rPr>
                <w:rFonts w:eastAsia="Times New Roman" w:cs="Times New Roman"/>
                <w:color w:val="4A4A4A"/>
                <w:sz w:val="21"/>
                <w:szCs w:val="21"/>
                <w:lang w:eastAsia="en-GB"/>
              </w:rPr>
            </w:pPr>
            <w:r w:rsidRPr="00BC58D2">
              <w:rPr>
                <w:rFonts w:eastAsia="Times New Roman" w:cs="Times New Roman"/>
                <w:color w:val="4A4A4A"/>
                <w:sz w:val="21"/>
                <w:szCs w:val="21"/>
                <w:lang w:eastAsia="en-GB"/>
              </w:rPr>
              <w:t>0 to 1</w:t>
            </w:r>
          </w:p>
        </w:tc>
      </w:tr>
      <w:tr w:rsidR="009C7AEB" w:rsidRPr="00165EA3" w14:paraId="3E778965" w14:textId="77777777" w:rsidTr="00BC58D2">
        <w:trPr>
          <w:trHeight w:val="556"/>
        </w:trPr>
        <w:tc>
          <w:tcPr>
            <w:tcW w:w="1212" w:type="dxa"/>
          </w:tcPr>
          <w:p w14:paraId="19A2808C" w14:textId="77777777" w:rsidR="009C7AEB" w:rsidRPr="00BC58D2" w:rsidRDefault="009C7AEB" w:rsidP="00BC58D2">
            <w:pPr>
              <w:shd w:val="clear" w:color="auto" w:fill="FFFFFF"/>
              <w:spacing w:line="276" w:lineRule="auto"/>
              <w:jc w:val="both"/>
              <w:rPr>
                <w:rFonts w:eastAsia="Times New Roman" w:cs="Times New Roman"/>
                <w:color w:val="4A4A4A"/>
                <w:sz w:val="21"/>
                <w:szCs w:val="21"/>
                <w:lang w:eastAsia="en-GB"/>
              </w:rPr>
            </w:pPr>
            <w:r w:rsidRPr="00BC58D2">
              <w:rPr>
                <w:rFonts w:eastAsia="Times New Roman" w:cs="Times New Roman"/>
                <w:color w:val="4A4A4A"/>
                <w:sz w:val="21"/>
                <w:szCs w:val="21"/>
                <w:lang w:eastAsia="en-GB"/>
              </w:rPr>
              <w:t>C</w:t>
            </w:r>
          </w:p>
        </w:tc>
        <w:tc>
          <w:tcPr>
            <w:tcW w:w="6154" w:type="dxa"/>
          </w:tcPr>
          <w:p w14:paraId="0A2A4A70" w14:textId="77777777" w:rsidR="009C7AEB" w:rsidRPr="00BC58D2" w:rsidRDefault="009C7AEB" w:rsidP="00BC58D2">
            <w:pPr>
              <w:shd w:val="clear" w:color="auto" w:fill="FFFFFF"/>
              <w:spacing w:line="276" w:lineRule="auto"/>
              <w:jc w:val="both"/>
              <w:rPr>
                <w:rFonts w:eastAsia="Times New Roman" w:cs="Times New Roman"/>
                <w:color w:val="4A4A4A"/>
                <w:sz w:val="21"/>
                <w:szCs w:val="21"/>
                <w:lang w:eastAsia="en-GB"/>
              </w:rPr>
            </w:pPr>
            <w:r w:rsidRPr="00BC58D2">
              <w:rPr>
                <w:rFonts w:eastAsia="Times New Roman" w:cs="Times New Roman"/>
                <w:color w:val="4A4A4A"/>
                <w:sz w:val="21"/>
                <w:szCs w:val="21"/>
                <w:lang w:eastAsia="en-GB"/>
              </w:rPr>
              <w:t>Practical support delivered to public procurement practitioners in the implementation of SPP.</w:t>
            </w:r>
          </w:p>
        </w:tc>
        <w:tc>
          <w:tcPr>
            <w:tcW w:w="1708" w:type="dxa"/>
          </w:tcPr>
          <w:p w14:paraId="13765A6B" w14:textId="7288E17C" w:rsidR="009C7AEB" w:rsidRPr="00BC58D2" w:rsidRDefault="009C7AEB" w:rsidP="00BC58D2">
            <w:pPr>
              <w:shd w:val="clear" w:color="auto" w:fill="FFFFFF"/>
              <w:spacing w:line="276" w:lineRule="auto"/>
              <w:jc w:val="both"/>
              <w:rPr>
                <w:rFonts w:eastAsia="Times New Roman" w:cs="Times New Roman"/>
                <w:color w:val="4A4A4A"/>
                <w:sz w:val="21"/>
                <w:szCs w:val="21"/>
                <w:lang w:eastAsia="en-GB"/>
              </w:rPr>
            </w:pPr>
            <w:r w:rsidRPr="00BC58D2">
              <w:rPr>
                <w:rFonts w:eastAsia="Times New Roman" w:cs="Times New Roman"/>
                <w:color w:val="4A4A4A"/>
                <w:sz w:val="21"/>
                <w:szCs w:val="21"/>
                <w:lang w:eastAsia="en-GB"/>
              </w:rPr>
              <w:t>0 to 1</w:t>
            </w:r>
          </w:p>
        </w:tc>
      </w:tr>
      <w:tr w:rsidR="009C7AEB" w:rsidRPr="00165EA3" w14:paraId="55AAE890" w14:textId="77777777" w:rsidTr="00BC58D2">
        <w:trPr>
          <w:trHeight w:val="272"/>
        </w:trPr>
        <w:tc>
          <w:tcPr>
            <w:tcW w:w="1212" w:type="dxa"/>
          </w:tcPr>
          <w:p w14:paraId="0ADECF52" w14:textId="77777777" w:rsidR="009C7AEB" w:rsidRPr="00BC58D2" w:rsidRDefault="009C7AEB" w:rsidP="00BC58D2">
            <w:pPr>
              <w:shd w:val="clear" w:color="auto" w:fill="FFFFFF"/>
              <w:spacing w:line="276" w:lineRule="auto"/>
              <w:jc w:val="both"/>
              <w:rPr>
                <w:rFonts w:eastAsia="Times New Roman" w:cs="Times New Roman"/>
                <w:color w:val="4A4A4A"/>
                <w:sz w:val="21"/>
                <w:szCs w:val="21"/>
                <w:lang w:eastAsia="en-GB"/>
              </w:rPr>
            </w:pPr>
            <w:r w:rsidRPr="00BC58D2">
              <w:rPr>
                <w:rFonts w:eastAsia="Times New Roman" w:cs="Times New Roman"/>
                <w:color w:val="4A4A4A"/>
                <w:sz w:val="21"/>
                <w:szCs w:val="21"/>
                <w:lang w:eastAsia="en-GB"/>
              </w:rPr>
              <w:t>D</w:t>
            </w:r>
          </w:p>
        </w:tc>
        <w:tc>
          <w:tcPr>
            <w:tcW w:w="6154" w:type="dxa"/>
          </w:tcPr>
          <w:p w14:paraId="20C43849" w14:textId="77777777" w:rsidR="009C7AEB" w:rsidRPr="00BC58D2" w:rsidRDefault="009C7AEB" w:rsidP="00BC58D2">
            <w:pPr>
              <w:shd w:val="clear" w:color="auto" w:fill="FFFFFF"/>
              <w:spacing w:line="276" w:lineRule="auto"/>
              <w:jc w:val="both"/>
              <w:rPr>
                <w:rFonts w:eastAsia="Times New Roman" w:cs="Times New Roman"/>
                <w:color w:val="4A4A4A"/>
                <w:sz w:val="21"/>
                <w:szCs w:val="21"/>
                <w:lang w:eastAsia="en-GB"/>
              </w:rPr>
            </w:pPr>
            <w:r w:rsidRPr="00BC58D2">
              <w:rPr>
                <w:rFonts w:eastAsia="Times New Roman" w:cs="Times New Roman"/>
                <w:color w:val="4A4A4A"/>
                <w:sz w:val="21"/>
                <w:szCs w:val="21"/>
                <w:lang w:eastAsia="en-GB"/>
              </w:rPr>
              <w:t>SPP purchasing criteria/ buying standards / requirements.</w:t>
            </w:r>
          </w:p>
        </w:tc>
        <w:tc>
          <w:tcPr>
            <w:tcW w:w="1708" w:type="dxa"/>
          </w:tcPr>
          <w:p w14:paraId="22B0048A" w14:textId="083F4CC8" w:rsidR="009C7AEB" w:rsidRPr="00BC58D2" w:rsidRDefault="009C7AEB" w:rsidP="00BC58D2">
            <w:pPr>
              <w:shd w:val="clear" w:color="auto" w:fill="FFFFFF"/>
              <w:spacing w:line="276" w:lineRule="auto"/>
              <w:jc w:val="both"/>
              <w:rPr>
                <w:rFonts w:eastAsia="Times New Roman" w:cs="Times New Roman"/>
                <w:color w:val="4A4A4A"/>
                <w:sz w:val="21"/>
                <w:szCs w:val="21"/>
                <w:lang w:eastAsia="en-GB"/>
              </w:rPr>
            </w:pPr>
            <w:r w:rsidRPr="00BC58D2">
              <w:rPr>
                <w:rFonts w:eastAsia="Times New Roman" w:cs="Times New Roman"/>
                <w:color w:val="4A4A4A"/>
                <w:sz w:val="21"/>
                <w:szCs w:val="21"/>
                <w:lang w:eastAsia="en-GB"/>
              </w:rPr>
              <w:t>0 to 1</w:t>
            </w:r>
          </w:p>
        </w:tc>
      </w:tr>
      <w:tr w:rsidR="009C7AEB" w:rsidRPr="00165EA3" w14:paraId="7B334F69" w14:textId="77777777" w:rsidTr="00BC58D2">
        <w:trPr>
          <w:trHeight w:val="272"/>
        </w:trPr>
        <w:tc>
          <w:tcPr>
            <w:tcW w:w="1212" w:type="dxa"/>
          </w:tcPr>
          <w:p w14:paraId="18A8D2A1" w14:textId="77777777" w:rsidR="009C7AEB" w:rsidRPr="00BC58D2" w:rsidRDefault="009C7AEB" w:rsidP="00BC58D2">
            <w:pPr>
              <w:shd w:val="clear" w:color="auto" w:fill="FFFFFF"/>
              <w:spacing w:line="276" w:lineRule="auto"/>
              <w:jc w:val="both"/>
              <w:rPr>
                <w:rFonts w:eastAsia="Times New Roman" w:cs="Times New Roman"/>
                <w:color w:val="4A4A4A"/>
                <w:sz w:val="21"/>
                <w:szCs w:val="21"/>
                <w:lang w:eastAsia="en-GB"/>
              </w:rPr>
            </w:pPr>
            <w:r w:rsidRPr="00BC58D2">
              <w:rPr>
                <w:rFonts w:eastAsia="Times New Roman" w:cs="Times New Roman"/>
                <w:color w:val="4A4A4A"/>
                <w:sz w:val="21"/>
                <w:szCs w:val="21"/>
                <w:lang w:eastAsia="en-GB"/>
              </w:rPr>
              <w:t>E</w:t>
            </w:r>
          </w:p>
        </w:tc>
        <w:tc>
          <w:tcPr>
            <w:tcW w:w="6154" w:type="dxa"/>
          </w:tcPr>
          <w:p w14:paraId="1FA516B3" w14:textId="77777777" w:rsidR="009C7AEB" w:rsidRPr="00BC58D2" w:rsidRDefault="009C7AEB" w:rsidP="00BC58D2">
            <w:pPr>
              <w:shd w:val="clear" w:color="auto" w:fill="FFFFFF"/>
              <w:spacing w:line="276" w:lineRule="auto"/>
              <w:jc w:val="both"/>
              <w:rPr>
                <w:rFonts w:eastAsia="Times New Roman" w:cs="Times New Roman"/>
                <w:color w:val="4A4A4A"/>
                <w:sz w:val="21"/>
                <w:szCs w:val="21"/>
                <w:lang w:eastAsia="en-GB"/>
              </w:rPr>
            </w:pPr>
            <w:r w:rsidRPr="00BC58D2">
              <w:rPr>
                <w:rFonts w:eastAsia="Times New Roman" w:cs="Times New Roman"/>
                <w:color w:val="4A4A4A"/>
                <w:sz w:val="21"/>
                <w:szCs w:val="21"/>
                <w:lang w:eastAsia="en-GB"/>
              </w:rPr>
              <w:t>Existence of a SPP monitoring system.</w:t>
            </w:r>
          </w:p>
        </w:tc>
        <w:tc>
          <w:tcPr>
            <w:tcW w:w="1708" w:type="dxa"/>
          </w:tcPr>
          <w:p w14:paraId="1B648AF3" w14:textId="7F715C82" w:rsidR="009C7AEB" w:rsidRPr="00BC58D2" w:rsidRDefault="009C7AEB" w:rsidP="00BC58D2">
            <w:pPr>
              <w:shd w:val="clear" w:color="auto" w:fill="FFFFFF"/>
              <w:spacing w:line="276" w:lineRule="auto"/>
              <w:jc w:val="both"/>
              <w:rPr>
                <w:rFonts w:eastAsia="Times New Roman" w:cs="Times New Roman"/>
                <w:color w:val="4A4A4A"/>
                <w:sz w:val="21"/>
                <w:szCs w:val="21"/>
                <w:lang w:eastAsia="en-GB"/>
              </w:rPr>
            </w:pPr>
            <w:r w:rsidRPr="00BC58D2">
              <w:rPr>
                <w:rFonts w:eastAsia="Times New Roman" w:cs="Times New Roman"/>
                <w:color w:val="4A4A4A"/>
                <w:sz w:val="21"/>
                <w:szCs w:val="21"/>
                <w:lang w:eastAsia="en-GB"/>
              </w:rPr>
              <w:t>0 to 1</w:t>
            </w:r>
          </w:p>
        </w:tc>
      </w:tr>
      <w:tr w:rsidR="009C7AEB" w:rsidRPr="00165EA3" w14:paraId="1C0B2026" w14:textId="77777777" w:rsidTr="00BC58D2">
        <w:trPr>
          <w:trHeight w:val="318"/>
        </w:trPr>
        <w:tc>
          <w:tcPr>
            <w:tcW w:w="1212" w:type="dxa"/>
          </w:tcPr>
          <w:p w14:paraId="7A7A65C1" w14:textId="77777777" w:rsidR="009C7AEB" w:rsidRPr="00BC58D2" w:rsidRDefault="009C7AEB" w:rsidP="00BC58D2">
            <w:pPr>
              <w:shd w:val="clear" w:color="auto" w:fill="FFFFFF"/>
              <w:spacing w:line="276" w:lineRule="auto"/>
              <w:jc w:val="both"/>
              <w:rPr>
                <w:rFonts w:eastAsia="Times New Roman" w:cs="Times New Roman"/>
                <w:color w:val="4A4A4A"/>
                <w:sz w:val="21"/>
                <w:szCs w:val="21"/>
                <w:lang w:eastAsia="en-GB"/>
              </w:rPr>
            </w:pPr>
            <w:r w:rsidRPr="00BC58D2">
              <w:rPr>
                <w:rFonts w:eastAsia="Times New Roman" w:cs="Times New Roman"/>
                <w:color w:val="4A4A4A"/>
                <w:sz w:val="21"/>
                <w:szCs w:val="21"/>
                <w:lang w:eastAsia="en-GB"/>
              </w:rPr>
              <w:t>F</w:t>
            </w:r>
          </w:p>
        </w:tc>
        <w:tc>
          <w:tcPr>
            <w:tcW w:w="6154" w:type="dxa"/>
          </w:tcPr>
          <w:p w14:paraId="449E8BA2" w14:textId="77777777" w:rsidR="009C7AEB" w:rsidRPr="00BC58D2" w:rsidRDefault="009C7AEB" w:rsidP="00BC58D2">
            <w:pPr>
              <w:shd w:val="clear" w:color="auto" w:fill="FFFFFF"/>
              <w:spacing w:line="276" w:lineRule="auto"/>
              <w:jc w:val="both"/>
              <w:rPr>
                <w:rFonts w:eastAsia="Times New Roman" w:cs="Times New Roman"/>
                <w:color w:val="4A4A4A"/>
                <w:sz w:val="21"/>
                <w:szCs w:val="21"/>
                <w:lang w:eastAsia="en-GB"/>
              </w:rPr>
            </w:pPr>
            <w:r w:rsidRPr="00BC58D2">
              <w:rPr>
                <w:rFonts w:eastAsia="Times New Roman" w:cs="Times New Roman"/>
                <w:color w:val="4A4A4A"/>
                <w:sz w:val="21"/>
                <w:szCs w:val="21"/>
                <w:lang w:eastAsia="en-GB"/>
              </w:rPr>
              <w:t>Percentage of sustainable purchase of priority products/services.</w:t>
            </w:r>
          </w:p>
        </w:tc>
        <w:tc>
          <w:tcPr>
            <w:tcW w:w="1708" w:type="dxa"/>
          </w:tcPr>
          <w:p w14:paraId="115F9CB2" w14:textId="77777777" w:rsidR="009C7AEB" w:rsidRPr="00BC58D2" w:rsidRDefault="009C7AEB" w:rsidP="00BC58D2">
            <w:pPr>
              <w:shd w:val="clear" w:color="auto" w:fill="FFFFFF"/>
              <w:spacing w:line="276" w:lineRule="auto"/>
              <w:jc w:val="both"/>
              <w:rPr>
                <w:rFonts w:eastAsia="Times New Roman" w:cs="Times New Roman"/>
                <w:color w:val="4A4A4A"/>
                <w:sz w:val="21"/>
                <w:szCs w:val="21"/>
                <w:lang w:eastAsia="en-GB"/>
              </w:rPr>
            </w:pPr>
            <w:r w:rsidRPr="00BC58D2">
              <w:rPr>
                <w:rFonts w:eastAsia="Times New Roman" w:cs="Times New Roman"/>
                <w:color w:val="4A4A4A"/>
                <w:sz w:val="21"/>
                <w:szCs w:val="21"/>
                <w:lang w:eastAsia="en-GB"/>
              </w:rPr>
              <w:t>0-100%</w:t>
            </w:r>
          </w:p>
        </w:tc>
      </w:tr>
    </w:tbl>
    <w:p w14:paraId="71DD1038" w14:textId="77777777" w:rsidR="009C7AEB" w:rsidRPr="00BC58D2" w:rsidRDefault="009C7AEB" w:rsidP="00BC58D2">
      <w:pPr>
        <w:shd w:val="clear" w:color="auto" w:fill="FFFFFF"/>
        <w:spacing w:after="0"/>
        <w:jc w:val="both"/>
        <w:rPr>
          <w:rFonts w:eastAsia="Times New Roman" w:cs="Times New Roman"/>
          <w:color w:val="4A4A4A"/>
          <w:sz w:val="21"/>
          <w:szCs w:val="21"/>
          <w:lang w:eastAsia="en-GB"/>
        </w:rPr>
      </w:pPr>
    </w:p>
    <w:p w14:paraId="48C419F2" w14:textId="1ADD048A" w:rsidR="009C7AEB" w:rsidRPr="00BC58D2" w:rsidRDefault="009C7AEB" w:rsidP="00165EA3">
      <w:pPr>
        <w:shd w:val="clear" w:color="auto" w:fill="FFFFFF"/>
        <w:spacing w:after="0"/>
        <w:jc w:val="both"/>
        <w:rPr>
          <w:rFonts w:eastAsia="Times New Roman" w:cs="Times New Roman"/>
          <w:b/>
          <w:bCs/>
          <w:color w:val="4A4A4A"/>
          <w:sz w:val="21"/>
          <w:szCs w:val="21"/>
          <w:lang w:eastAsia="en-GB"/>
        </w:rPr>
      </w:pPr>
      <w:r w:rsidRPr="00BC58D2">
        <w:rPr>
          <w:rFonts w:eastAsia="Times New Roman" w:cs="Times New Roman"/>
          <w:color w:val="4A4A4A"/>
          <w:sz w:val="21"/>
          <w:szCs w:val="21"/>
          <w:lang w:eastAsia="en-GB"/>
        </w:rPr>
        <w:t xml:space="preserve">It is proposed that the </w:t>
      </w:r>
      <w:r w:rsidRPr="00BC58D2">
        <w:rPr>
          <w:rFonts w:eastAsia="Times New Roman" w:cs="Times New Roman"/>
          <w:b/>
          <w:bCs/>
          <w:color w:val="4A4A4A"/>
          <w:sz w:val="21"/>
          <w:szCs w:val="21"/>
          <w:lang w:eastAsia="en-GB"/>
        </w:rPr>
        <w:t>specific threshold</w:t>
      </w:r>
      <w:r w:rsidRPr="00BC58D2">
        <w:rPr>
          <w:rFonts w:eastAsia="Times New Roman" w:cs="Times New Roman"/>
          <w:color w:val="4A4A4A"/>
          <w:sz w:val="21"/>
          <w:szCs w:val="21"/>
          <w:lang w:eastAsia="en-GB"/>
        </w:rPr>
        <w:t xml:space="preserve"> above which a country is considered as having a sound SPP policy or action plan and considered compliant with SDG 12.7.1. indicator </w:t>
      </w:r>
      <w:r w:rsidRPr="00BC58D2">
        <w:rPr>
          <w:rFonts w:eastAsia="Times New Roman" w:cs="Times New Roman"/>
          <w:b/>
          <w:bCs/>
          <w:color w:val="4A4A4A"/>
          <w:sz w:val="21"/>
          <w:szCs w:val="21"/>
          <w:lang w:eastAsia="en-GB"/>
        </w:rPr>
        <w:t xml:space="preserve">is set at </w:t>
      </w:r>
      <w:r w:rsidR="00EA2D29" w:rsidRPr="00BC58D2">
        <w:rPr>
          <w:rFonts w:eastAsia="Times New Roman" w:cs="Times New Roman"/>
          <w:b/>
          <w:bCs/>
          <w:color w:val="4A4A4A"/>
          <w:sz w:val="21"/>
          <w:szCs w:val="21"/>
          <w:lang w:eastAsia="en-GB"/>
        </w:rPr>
        <w:t>a score equal to</w:t>
      </w:r>
      <w:r w:rsidR="000E22AE" w:rsidRPr="00BC58D2">
        <w:rPr>
          <w:rFonts w:eastAsia="Times New Roman" w:cs="Times New Roman"/>
          <w:b/>
          <w:bCs/>
          <w:color w:val="4A4A4A"/>
          <w:sz w:val="21"/>
          <w:szCs w:val="21"/>
          <w:lang w:eastAsia="en-GB"/>
        </w:rPr>
        <w:t xml:space="preserve"> 1.</w:t>
      </w:r>
    </w:p>
    <w:p w14:paraId="36FBB5C6" w14:textId="77777777" w:rsidR="007E0792" w:rsidRDefault="007E0792" w:rsidP="00165EA3">
      <w:pPr>
        <w:shd w:val="clear" w:color="auto" w:fill="FFFFFF"/>
        <w:spacing w:after="0"/>
        <w:jc w:val="both"/>
        <w:rPr>
          <w:rFonts w:eastAsia="Times New Roman" w:cs="Times New Roman"/>
          <w:color w:val="4A4A4A"/>
          <w:sz w:val="21"/>
          <w:szCs w:val="21"/>
          <w:lang w:eastAsia="en-GB"/>
        </w:rPr>
      </w:pPr>
    </w:p>
    <w:p w14:paraId="26243E72" w14:textId="46C46C49" w:rsidR="009C7AEB" w:rsidRPr="00BC58D2" w:rsidRDefault="009C7AEB" w:rsidP="00165EA3">
      <w:pPr>
        <w:shd w:val="clear" w:color="auto" w:fill="FFFFFF"/>
        <w:spacing w:after="0"/>
        <w:jc w:val="both"/>
        <w:rPr>
          <w:rFonts w:eastAsia="Times New Roman" w:cs="Times New Roman"/>
          <w:b/>
          <w:bCs/>
          <w:color w:val="4A4A4A"/>
          <w:sz w:val="21"/>
          <w:szCs w:val="21"/>
          <w:lang w:eastAsia="en-GB"/>
        </w:rPr>
      </w:pPr>
      <w:r w:rsidRPr="00BC58D2">
        <w:rPr>
          <w:rFonts w:eastAsia="Times New Roman" w:cs="Times New Roman"/>
          <w:b/>
          <w:bCs/>
          <w:color w:val="4A4A4A"/>
          <w:sz w:val="21"/>
          <w:szCs w:val="21"/>
          <w:lang w:eastAsia="en-GB"/>
        </w:rPr>
        <w:t>Five classification groups</w:t>
      </w:r>
      <w:r w:rsidRPr="00BC58D2">
        <w:rPr>
          <w:rFonts w:eastAsia="Times New Roman" w:cs="Times New Roman"/>
          <w:color w:val="4A4A4A"/>
          <w:sz w:val="21"/>
          <w:szCs w:val="21"/>
          <w:lang w:eastAsia="en-GB"/>
        </w:rPr>
        <w:t xml:space="preserve"> are proposed to </w:t>
      </w:r>
      <w:r w:rsidR="001D42EE" w:rsidRPr="00BC58D2">
        <w:rPr>
          <w:rFonts w:eastAsia="Times New Roman" w:cs="Times New Roman"/>
          <w:color w:val="4A4A4A"/>
          <w:sz w:val="21"/>
          <w:szCs w:val="21"/>
          <w:lang w:eastAsia="en-GB"/>
        </w:rPr>
        <w:t xml:space="preserve">classify submissions received, and </w:t>
      </w:r>
      <w:r w:rsidRPr="00BC58D2">
        <w:rPr>
          <w:rFonts w:eastAsia="Times New Roman" w:cs="Times New Roman"/>
          <w:color w:val="4A4A4A"/>
          <w:sz w:val="21"/>
          <w:szCs w:val="21"/>
          <w:lang w:eastAsia="en-GB"/>
        </w:rPr>
        <w:t xml:space="preserve">reflect the </w:t>
      </w:r>
      <w:r w:rsidRPr="00BC58D2">
        <w:rPr>
          <w:rFonts w:eastAsia="Times New Roman" w:cs="Times New Roman"/>
          <w:b/>
          <w:bCs/>
          <w:color w:val="4A4A4A"/>
          <w:sz w:val="21"/>
          <w:szCs w:val="21"/>
          <w:lang w:eastAsia="en-GB"/>
        </w:rPr>
        <w:t>different stages in the advancement of SPP implementation:</w:t>
      </w:r>
    </w:p>
    <w:p w14:paraId="787AFAF7" w14:textId="77777777" w:rsidR="00165EA3" w:rsidRPr="00BC58D2" w:rsidRDefault="00165EA3" w:rsidP="00BC58D2">
      <w:pPr>
        <w:shd w:val="clear" w:color="auto" w:fill="FFFFFF"/>
        <w:spacing w:after="0"/>
        <w:jc w:val="both"/>
        <w:rPr>
          <w:color w:val="4A4A4A"/>
          <w:sz w:val="21"/>
          <w:szCs w:val="21"/>
          <w:lang w:eastAsia="en-GB"/>
        </w:rPr>
      </w:pPr>
    </w:p>
    <w:p w14:paraId="03A91A91" w14:textId="11C34192" w:rsidR="00EA70DF" w:rsidRDefault="00EA70DF" w:rsidP="00BC58D2">
      <w:pPr>
        <w:pBdr>
          <w:top w:val="single" w:sz="4" w:space="1" w:color="auto" w:shadow="1"/>
          <w:left w:val="single" w:sz="4" w:space="4" w:color="auto" w:shadow="1"/>
          <w:bottom w:val="single" w:sz="4" w:space="1" w:color="auto" w:shadow="1"/>
          <w:right w:val="single" w:sz="4" w:space="4" w:color="auto" w:shadow="1"/>
        </w:pBdr>
        <w:shd w:val="clear" w:color="auto" w:fill="FFFFFF"/>
        <w:spacing w:after="0"/>
        <w:jc w:val="center"/>
        <w:rPr>
          <w:rFonts w:eastAsia="Times New Roman" w:cs="Times New Roman"/>
          <w:b/>
          <w:bCs/>
          <w:color w:val="4A4A4A"/>
          <w:sz w:val="21"/>
          <w:szCs w:val="21"/>
          <w:lang w:eastAsia="en-GB"/>
        </w:rPr>
      </w:pPr>
      <w:bookmarkStart w:id="5" w:name="_GoBack"/>
      <w:r w:rsidRPr="00BC58D2">
        <w:rPr>
          <w:rFonts w:eastAsia="Times New Roman" w:cs="Times New Roman"/>
          <w:b/>
          <w:bCs/>
          <w:color w:val="4A4A4A"/>
          <w:sz w:val="21"/>
          <w:szCs w:val="21"/>
          <w:lang w:eastAsia="en-GB"/>
        </w:rPr>
        <w:t>SPP Implementation Classification Groups</w:t>
      </w:r>
      <w:bookmarkEnd w:id="5"/>
    </w:p>
    <w:p w14:paraId="331EEFFA" w14:textId="77777777" w:rsidR="00EA70DF" w:rsidRDefault="00EA70DF">
      <w:pPr>
        <w:pBdr>
          <w:top w:val="single" w:sz="4" w:space="1" w:color="auto" w:shadow="1"/>
          <w:left w:val="single" w:sz="4" w:space="4" w:color="auto" w:shadow="1"/>
          <w:bottom w:val="single" w:sz="4" w:space="1" w:color="auto" w:shadow="1"/>
          <w:right w:val="single" w:sz="4" w:space="4" w:color="auto" w:shadow="1"/>
        </w:pBdr>
        <w:shd w:val="clear" w:color="auto" w:fill="FFFFFF"/>
        <w:spacing w:after="0"/>
        <w:jc w:val="both"/>
        <w:rPr>
          <w:rFonts w:eastAsia="Times New Roman" w:cs="Times New Roman"/>
          <w:b/>
          <w:bCs/>
          <w:color w:val="4A4A4A"/>
          <w:sz w:val="21"/>
          <w:szCs w:val="21"/>
          <w:lang w:eastAsia="en-GB"/>
        </w:rPr>
      </w:pPr>
    </w:p>
    <w:p w14:paraId="577C539C" w14:textId="096CEF24" w:rsidR="009C7AEB" w:rsidRPr="00BC58D2" w:rsidRDefault="009C7AEB" w:rsidP="00BC58D2">
      <w:pPr>
        <w:pBdr>
          <w:top w:val="single" w:sz="4" w:space="1" w:color="auto" w:shadow="1"/>
          <w:left w:val="single" w:sz="4" w:space="4" w:color="auto" w:shadow="1"/>
          <w:bottom w:val="single" w:sz="4" w:space="1" w:color="auto" w:shadow="1"/>
          <w:right w:val="single" w:sz="4" w:space="4" w:color="auto" w:shadow="1"/>
        </w:pBdr>
        <w:shd w:val="clear" w:color="auto" w:fill="FFFFFF"/>
        <w:spacing w:after="0"/>
        <w:jc w:val="both"/>
        <w:rPr>
          <w:color w:val="4A4A4A"/>
          <w:sz w:val="21"/>
          <w:szCs w:val="21"/>
          <w:lang w:eastAsia="en-GB"/>
        </w:rPr>
      </w:pPr>
      <w:r w:rsidRPr="00BC58D2">
        <w:rPr>
          <w:rFonts w:eastAsia="Times New Roman" w:cs="Times New Roman"/>
          <w:b/>
          <w:bCs/>
          <w:color w:val="4A4A4A"/>
          <w:sz w:val="21"/>
          <w:szCs w:val="21"/>
          <w:lang w:eastAsia="en-GB"/>
        </w:rPr>
        <w:t xml:space="preserve">Level 0: </w:t>
      </w:r>
      <w:r w:rsidR="0066553C">
        <w:rPr>
          <w:rFonts w:eastAsia="Times New Roman" w:cs="Times New Roman"/>
          <w:b/>
          <w:bCs/>
          <w:color w:val="4A4A4A"/>
          <w:sz w:val="21"/>
          <w:szCs w:val="21"/>
          <w:lang w:eastAsia="en-GB"/>
        </w:rPr>
        <w:t>I</w:t>
      </w:r>
      <w:r w:rsidRPr="00BC58D2">
        <w:rPr>
          <w:rFonts w:eastAsia="Times New Roman" w:cs="Times New Roman"/>
          <w:b/>
          <w:bCs/>
          <w:color w:val="4A4A4A"/>
          <w:sz w:val="21"/>
          <w:szCs w:val="21"/>
          <w:lang w:eastAsia="en-GB"/>
        </w:rPr>
        <w:t>nsufficient</w:t>
      </w:r>
      <w:r w:rsidR="0066553C">
        <w:rPr>
          <w:rFonts w:eastAsia="Times New Roman" w:cs="Times New Roman"/>
          <w:b/>
          <w:bCs/>
          <w:color w:val="4A4A4A"/>
          <w:sz w:val="21"/>
          <w:szCs w:val="21"/>
          <w:lang w:eastAsia="en-GB"/>
        </w:rPr>
        <w:t xml:space="preserve"> data or insufficient</w:t>
      </w:r>
      <w:r w:rsidRPr="00BC58D2">
        <w:rPr>
          <w:rFonts w:eastAsia="Times New Roman" w:cs="Times New Roman"/>
          <w:b/>
          <w:bCs/>
          <w:color w:val="4A4A4A"/>
          <w:sz w:val="21"/>
          <w:szCs w:val="21"/>
          <w:lang w:eastAsia="en-GB"/>
        </w:rPr>
        <w:t xml:space="preserve"> implementation</w:t>
      </w:r>
      <w:r w:rsidR="000555C1">
        <w:rPr>
          <w:rFonts w:eastAsia="Times New Roman" w:cs="Times New Roman"/>
          <w:b/>
          <w:bCs/>
          <w:color w:val="4A4A4A"/>
          <w:sz w:val="21"/>
          <w:szCs w:val="21"/>
          <w:lang w:eastAsia="en-GB"/>
        </w:rPr>
        <w:t xml:space="preserve"> </w:t>
      </w:r>
      <w:r w:rsidR="006A2F1C">
        <w:rPr>
          <w:rFonts w:eastAsia="Times New Roman" w:cs="Times New Roman"/>
          <w:b/>
          <w:bCs/>
          <w:color w:val="4A4A4A"/>
          <w:sz w:val="21"/>
          <w:szCs w:val="21"/>
          <w:lang w:eastAsia="en-GB"/>
        </w:rPr>
        <w:t>of SPP policy/ action plan</w:t>
      </w:r>
      <w:r w:rsidRPr="00BC58D2">
        <w:rPr>
          <w:rFonts w:eastAsia="Times New Roman" w:cs="Times New Roman"/>
          <w:color w:val="4A4A4A"/>
          <w:sz w:val="21"/>
          <w:szCs w:val="21"/>
          <w:lang w:eastAsia="en-GB"/>
        </w:rPr>
        <w:t xml:space="preserve"> (SPP Implementation </w:t>
      </w:r>
      <w:r w:rsidR="00EA2D29">
        <w:rPr>
          <w:rFonts w:eastAsia="Times New Roman" w:cs="Times New Roman"/>
          <w:color w:val="4A4A4A"/>
          <w:sz w:val="21"/>
          <w:szCs w:val="21"/>
          <w:lang w:eastAsia="en-GB"/>
        </w:rPr>
        <w:t>Score</w:t>
      </w:r>
      <w:r w:rsidRPr="00BC58D2">
        <w:rPr>
          <w:rFonts w:eastAsia="Times New Roman" w:cs="Times New Roman"/>
          <w:color w:val="4A4A4A"/>
          <w:sz w:val="21"/>
          <w:szCs w:val="21"/>
          <w:lang w:eastAsia="en-GB"/>
        </w:rPr>
        <w:t xml:space="preserve"> below 1), therefore not complying with the expected </w:t>
      </w:r>
      <w:r w:rsidR="00165EA3">
        <w:rPr>
          <w:rFonts w:eastAsia="Times New Roman" w:cs="Times New Roman"/>
          <w:color w:val="4A4A4A"/>
          <w:sz w:val="21"/>
          <w:szCs w:val="21"/>
          <w:lang w:eastAsia="en-GB"/>
        </w:rPr>
        <w:t xml:space="preserve">set </w:t>
      </w:r>
      <w:r w:rsidRPr="00BC58D2">
        <w:rPr>
          <w:rFonts w:eastAsia="Times New Roman" w:cs="Times New Roman"/>
          <w:color w:val="4A4A4A"/>
          <w:sz w:val="21"/>
          <w:szCs w:val="21"/>
          <w:lang w:eastAsia="en-GB"/>
        </w:rPr>
        <w:t>level</w:t>
      </w:r>
      <w:r w:rsidR="00165EA3">
        <w:rPr>
          <w:rFonts w:eastAsia="Times New Roman" w:cs="Times New Roman"/>
          <w:color w:val="4A4A4A"/>
          <w:sz w:val="21"/>
          <w:szCs w:val="21"/>
          <w:lang w:eastAsia="en-GB"/>
        </w:rPr>
        <w:t xml:space="preserve"> of implementation</w:t>
      </w:r>
      <w:r w:rsidRPr="00BC58D2">
        <w:rPr>
          <w:rFonts w:eastAsia="Times New Roman" w:cs="Times New Roman"/>
          <w:color w:val="4A4A4A"/>
          <w:sz w:val="21"/>
          <w:szCs w:val="21"/>
          <w:lang w:eastAsia="en-GB"/>
        </w:rPr>
        <w:t>.</w:t>
      </w:r>
    </w:p>
    <w:p w14:paraId="57A06A5A" w14:textId="493BB759" w:rsidR="009C7AEB" w:rsidRPr="00BC58D2" w:rsidRDefault="009C7AEB" w:rsidP="00BC58D2">
      <w:pPr>
        <w:pBdr>
          <w:top w:val="single" w:sz="4" w:space="1" w:color="auto" w:shadow="1"/>
          <w:left w:val="single" w:sz="4" w:space="4" w:color="auto" w:shadow="1"/>
          <w:bottom w:val="single" w:sz="4" w:space="1" w:color="auto" w:shadow="1"/>
          <w:right w:val="single" w:sz="4" w:space="4" w:color="auto" w:shadow="1"/>
        </w:pBdr>
        <w:shd w:val="clear" w:color="auto" w:fill="FFFFFF"/>
        <w:spacing w:after="0"/>
        <w:jc w:val="both"/>
        <w:rPr>
          <w:b/>
          <w:bCs/>
          <w:color w:val="4BACC6" w:themeColor="accent5"/>
          <w:sz w:val="21"/>
          <w:szCs w:val="21"/>
          <w:lang w:eastAsia="en-GB"/>
        </w:rPr>
      </w:pPr>
      <w:r w:rsidRPr="00BC58D2">
        <w:rPr>
          <w:rFonts w:eastAsia="Times New Roman" w:cs="Times New Roman"/>
          <w:b/>
          <w:bCs/>
          <w:color w:val="4BACC6" w:themeColor="accent5"/>
          <w:sz w:val="21"/>
          <w:szCs w:val="21"/>
          <w:lang w:eastAsia="en-GB"/>
        </w:rPr>
        <w:t xml:space="preserve">------------------------------------------  </w:t>
      </w:r>
      <w:r w:rsidR="009A3406">
        <w:rPr>
          <w:rFonts w:eastAsia="Times New Roman" w:cs="Times New Roman"/>
          <w:b/>
          <w:bCs/>
          <w:color w:val="4BACC6" w:themeColor="accent5"/>
          <w:sz w:val="21"/>
          <w:szCs w:val="21"/>
          <w:lang w:eastAsia="en-GB"/>
        </w:rPr>
        <w:t xml:space="preserve">                   </w:t>
      </w:r>
      <w:r w:rsidRPr="00BC58D2">
        <w:rPr>
          <w:rFonts w:eastAsia="Times New Roman" w:cs="Times New Roman"/>
          <w:b/>
          <w:bCs/>
          <w:i/>
          <w:iCs/>
          <w:color w:val="4BACC6" w:themeColor="accent5"/>
          <w:sz w:val="21"/>
          <w:szCs w:val="21"/>
          <w:lang w:eastAsia="en-GB"/>
        </w:rPr>
        <w:t>Threshold</w:t>
      </w:r>
      <w:r w:rsidRPr="00BC58D2">
        <w:rPr>
          <w:rFonts w:eastAsia="Times New Roman" w:cs="Times New Roman"/>
          <w:b/>
          <w:bCs/>
          <w:color w:val="4BACC6" w:themeColor="accent5"/>
          <w:sz w:val="21"/>
          <w:szCs w:val="21"/>
          <w:lang w:eastAsia="en-GB"/>
        </w:rPr>
        <w:t xml:space="preserve"> </w:t>
      </w:r>
      <w:r w:rsidR="009A3406">
        <w:rPr>
          <w:rFonts w:eastAsia="Times New Roman" w:cs="Times New Roman"/>
          <w:b/>
          <w:bCs/>
          <w:color w:val="4BACC6" w:themeColor="accent5"/>
          <w:sz w:val="21"/>
          <w:szCs w:val="21"/>
          <w:lang w:eastAsia="en-GB"/>
        </w:rPr>
        <w:t xml:space="preserve">        </w:t>
      </w:r>
      <w:r w:rsidRPr="00BC58D2">
        <w:rPr>
          <w:rFonts w:eastAsia="Times New Roman" w:cs="Times New Roman"/>
          <w:b/>
          <w:bCs/>
          <w:color w:val="4BACC6" w:themeColor="accent5"/>
          <w:sz w:val="21"/>
          <w:szCs w:val="21"/>
          <w:lang w:eastAsia="en-GB"/>
        </w:rPr>
        <w:t>--------------------------------------------------------</w:t>
      </w:r>
    </w:p>
    <w:p w14:paraId="401CE100" w14:textId="78C84B59" w:rsidR="009C7AEB" w:rsidRPr="00BC58D2" w:rsidRDefault="009C7AEB" w:rsidP="00BC58D2">
      <w:pPr>
        <w:pBdr>
          <w:top w:val="single" w:sz="4" w:space="1" w:color="auto" w:shadow="1"/>
          <w:left w:val="single" w:sz="4" w:space="4" w:color="auto" w:shadow="1"/>
          <w:bottom w:val="single" w:sz="4" w:space="1" w:color="auto" w:shadow="1"/>
          <w:right w:val="single" w:sz="4" w:space="4" w:color="auto" w:shadow="1"/>
        </w:pBdr>
        <w:shd w:val="clear" w:color="auto" w:fill="FFFFFF"/>
        <w:spacing w:after="0"/>
        <w:jc w:val="both"/>
        <w:rPr>
          <w:color w:val="4A4A4A"/>
          <w:sz w:val="21"/>
          <w:szCs w:val="21"/>
          <w:lang w:eastAsia="en-GB"/>
        </w:rPr>
      </w:pPr>
      <w:r w:rsidRPr="00BC58D2">
        <w:rPr>
          <w:rFonts w:eastAsia="Times New Roman" w:cs="Times New Roman"/>
          <w:b/>
          <w:bCs/>
          <w:color w:val="4A4A4A"/>
          <w:sz w:val="21"/>
          <w:szCs w:val="21"/>
          <w:lang w:eastAsia="en-GB"/>
        </w:rPr>
        <w:t xml:space="preserve">Level 1: </w:t>
      </w:r>
      <w:r w:rsidR="00BF46C9">
        <w:rPr>
          <w:rFonts w:eastAsia="Times New Roman" w:cs="Times New Roman"/>
          <w:b/>
          <w:bCs/>
          <w:color w:val="4A4A4A"/>
          <w:sz w:val="21"/>
          <w:szCs w:val="21"/>
          <w:lang w:eastAsia="en-GB"/>
        </w:rPr>
        <w:t>Initiation of SPP</w:t>
      </w:r>
      <w:r w:rsidRPr="00BC58D2">
        <w:rPr>
          <w:rFonts w:eastAsia="Times New Roman" w:cs="Times New Roman"/>
          <w:b/>
          <w:bCs/>
          <w:color w:val="4A4A4A"/>
          <w:sz w:val="21"/>
          <w:szCs w:val="21"/>
          <w:lang w:eastAsia="en-GB"/>
        </w:rPr>
        <w:t xml:space="preserve"> implementation</w:t>
      </w:r>
      <w:r w:rsidRPr="00BC58D2">
        <w:rPr>
          <w:rFonts w:eastAsia="Times New Roman" w:cs="Times New Roman"/>
          <w:color w:val="4A4A4A"/>
          <w:sz w:val="21"/>
          <w:szCs w:val="21"/>
          <w:lang w:eastAsia="en-GB"/>
        </w:rPr>
        <w:t xml:space="preserve"> (SPP Implementation </w:t>
      </w:r>
      <w:r w:rsidR="00EA2D29">
        <w:rPr>
          <w:rFonts w:eastAsia="Times New Roman" w:cs="Times New Roman"/>
          <w:color w:val="4A4A4A"/>
          <w:sz w:val="21"/>
          <w:szCs w:val="21"/>
          <w:lang w:eastAsia="en-GB"/>
        </w:rPr>
        <w:t>Score</w:t>
      </w:r>
      <w:r w:rsidR="00EA2D29" w:rsidRPr="00053F70">
        <w:rPr>
          <w:rFonts w:eastAsia="Times New Roman" w:cs="Times New Roman"/>
          <w:color w:val="4A4A4A"/>
          <w:sz w:val="21"/>
          <w:szCs w:val="21"/>
          <w:lang w:eastAsia="en-GB"/>
        </w:rPr>
        <w:t xml:space="preserve"> </w:t>
      </w:r>
      <w:r w:rsidRPr="00BC58D2">
        <w:rPr>
          <w:rFonts w:eastAsia="Times New Roman" w:cs="Times New Roman"/>
          <w:color w:val="4A4A4A"/>
          <w:sz w:val="21"/>
          <w:szCs w:val="21"/>
          <w:lang w:eastAsia="en-GB"/>
        </w:rPr>
        <w:t>ranging from 1 to 2)</w:t>
      </w:r>
      <w:r w:rsidR="003B0D67">
        <w:rPr>
          <w:rFonts w:eastAsia="Times New Roman" w:cs="Times New Roman"/>
          <w:color w:val="4A4A4A"/>
          <w:sz w:val="21"/>
          <w:szCs w:val="21"/>
          <w:lang w:eastAsia="en-GB"/>
        </w:rPr>
        <w:t>.</w:t>
      </w:r>
    </w:p>
    <w:p w14:paraId="2EF0A2D4" w14:textId="4D23B3F1" w:rsidR="009C7AEB" w:rsidRPr="00BC58D2" w:rsidRDefault="009C7AEB" w:rsidP="00BC58D2">
      <w:pPr>
        <w:pBdr>
          <w:top w:val="single" w:sz="4" w:space="1" w:color="auto" w:shadow="1"/>
          <w:left w:val="single" w:sz="4" w:space="4" w:color="auto" w:shadow="1"/>
          <w:bottom w:val="single" w:sz="4" w:space="1" w:color="auto" w:shadow="1"/>
          <w:right w:val="single" w:sz="4" w:space="4" w:color="auto" w:shadow="1"/>
        </w:pBdr>
        <w:shd w:val="clear" w:color="auto" w:fill="FFFFFF"/>
        <w:spacing w:after="0"/>
        <w:jc w:val="both"/>
        <w:rPr>
          <w:color w:val="4A4A4A"/>
          <w:sz w:val="21"/>
          <w:szCs w:val="21"/>
          <w:lang w:eastAsia="en-GB"/>
        </w:rPr>
      </w:pPr>
      <w:r w:rsidRPr="00BC58D2">
        <w:rPr>
          <w:rFonts w:eastAsia="Times New Roman" w:cs="Times New Roman"/>
          <w:b/>
          <w:bCs/>
          <w:color w:val="4A4A4A"/>
          <w:sz w:val="21"/>
          <w:szCs w:val="21"/>
          <w:lang w:eastAsia="en-GB"/>
        </w:rPr>
        <w:t xml:space="preserve">Level 2: </w:t>
      </w:r>
      <w:r w:rsidR="006369ED">
        <w:rPr>
          <w:rFonts w:eastAsia="Times New Roman" w:cs="Times New Roman"/>
          <w:b/>
          <w:bCs/>
          <w:color w:val="4A4A4A"/>
          <w:sz w:val="21"/>
          <w:szCs w:val="21"/>
          <w:lang w:eastAsia="en-GB"/>
        </w:rPr>
        <w:t>Lower-i</w:t>
      </w:r>
      <w:r w:rsidR="00973CB9">
        <w:rPr>
          <w:rFonts w:eastAsia="Times New Roman" w:cs="Times New Roman"/>
          <w:b/>
          <w:bCs/>
          <w:color w:val="4A4A4A"/>
          <w:sz w:val="21"/>
          <w:szCs w:val="21"/>
          <w:lang w:eastAsia="en-GB"/>
        </w:rPr>
        <w:t>ntermediate</w:t>
      </w:r>
      <w:r w:rsidRPr="00BC58D2">
        <w:rPr>
          <w:rFonts w:eastAsia="Times New Roman" w:cs="Times New Roman"/>
          <w:b/>
          <w:bCs/>
          <w:color w:val="4A4A4A"/>
          <w:sz w:val="21"/>
          <w:szCs w:val="21"/>
          <w:lang w:eastAsia="en-GB"/>
        </w:rPr>
        <w:t xml:space="preserve"> implementation</w:t>
      </w:r>
      <w:r w:rsidRPr="00BC58D2">
        <w:rPr>
          <w:rFonts w:eastAsia="Times New Roman" w:cs="Times New Roman"/>
          <w:color w:val="4A4A4A"/>
          <w:sz w:val="21"/>
          <w:szCs w:val="21"/>
          <w:lang w:eastAsia="en-GB"/>
        </w:rPr>
        <w:t xml:space="preserve"> (SPP Implementation </w:t>
      </w:r>
      <w:r w:rsidR="00EA2D29">
        <w:rPr>
          <w:rFonts w:eastAsia="Times New Roman" w:cs="Times New Roman"/>
          <w:color w:val="4A4A4A"/>
          <w:sz w:val="21"/>
          <w:szCs w:val="21"/>
          <w:lang w:eastAsia="en-GB"/>
        </w:rPr>
        <w:t>Score</w:t>
      </w:r>
      <w:r w:rsidR="00EA2D29" w:rsidRPr="00053F70">
        <w:rPr>
          <w:rFonts w:eastAsia="Times New Roman" w:cs="Times New Roman"/>
          <w:color w:val="4A4A4A"/>
          <w:sz w:val="21"/>
          <w:szCs w:val="21"/>
          <w:lang w:eastAsia="en-GB"/>
        </w:rPr>
        <w:t xml:space="preserve"> </w:t>
      </w:r>
      <w:r w:rsidRPr="00BC58D2">
        <w:rPr>
          <w:rFonts w:eastAsia="Times New Roman" w:cs="Times New Roman"/>
          <w:color w:val="4A4A4A"/>
          <w:sz w:val="21"/>
          <w:szCs w:val="21"/>
          <w:lang w:eastAsia="en-GB"/>
        </w:rPr>
        <w:t>ranging from 2 to 3)</w:t>
      </w:r>
      <w:r w:rsidR="003B0D67">
        <w:rPr>
          <w:rFonts w:eastAsia="Times New Roman" w:cs="Times New Roman"/>
          <w:color w:val="4A4A4A"/>
          <w:sz w:val="21"/>
          <w:szCs w:val="21"/>
          <w:lang w:eastAsia="en-GB"/>
        </w:rPr>
        <w:t>.</w:t>
      </w:r>
    </w:p>
    <w:p w14:paraId="60A37315" w14:textId="5E98BAC5" w:rsidR="009C7AEB" w:rsidRPr="00BC58D2" w:rsidRDefault="009C7AEB" w:rsidP="00BC58D2">
      <w:pPr>
        <w:pBdr>
          <w:top w:val="single" w:sz="4" w:space="1" w:color="auto" w:shadow="1"/>
          <w:left w:val="single" w:sz="4" w:space="4" w:color="auto" w:shadow="1"/>
          <w:bottom w:val="single" w:sz="4" w:space="1" w:color="auto" w:shadow="1"/>
          <w:right w:val="single" w:sz="4" w:space="4" w:color="auto" w:shadow="1"/>
        </w:pBdr>
        <w:shd w:val="clear" w:color="auto" w:fill="FFFFFF"/>
        <w:spacing w:after="0"/>
        <w:jc w:val="both"/>
        <w:rPr>
          <w:color w:val="4A4A4A"/>
          <w:sz w:val="21"/>
          <w:szCs w:val="21"/>
          <w:lang w:eastAsia="en-GB"/>
        </w:rPr>
      </w:pPr>
      <w:r w:rsidRPr="00BC58D2">
        <w:rPr>
          <w:rFonts w:eastAsia="Times New Roman" w:cs="Times New Roman"/>
          <w:b/>
          <w:bCs/>
          <w:color w:val="4A4A4A"/>
          <w:sz w:val="21"/>
          <w:szCs w:val="21"/>
          <w:lang w:eastAsia="en-GB"/>
        </w:rPr>
        <w:t xml:space="preserve">Level 3: </w:t>
      </w:r>
      <w:r w:rsidR="002865FB">
        <w:rPr>
          <w:rFonts w:eastAsia="Times New Roman" w:cs="Times New Roman"/>
          <w:b/>
          <w:bCs/>
          <w:color w:val="4A4A4A"/>
          <w:sz w:val="21"/>
          <w:szCs w:val="21"/>
          <w:lang w:eastAsia="en-GB"/>
        </w:rPr>
        <w:t xml:space="preserve">Upper-intermediate </w:t>
      </w:r>
      <w:r w:rsidRPr="00BC58D2">
        <w:rPr>
          <w:rFonts w:eastAsia="Times New Roman" w:cs="Times New Roman"/>
          <w:b/>
          <w:bCs/>
          <w:color w:val="4A4A4A"/>
          <w:sz w:val="21"/>
          <w:szCs w:val="21"/>
          <w:lang w:eastAsia="en-GB"/>
        </w:rPr>
        <w:t>implementation</w:t>
      </w:r>
      <w:r w:rsidRPr="00BC58D2">
        <w:rPr>
          <w:rFonts w:eastAsia="Times New Roman" w:cs="Times New Roman"/>
          <w:color w:val="4A4A4A"/>
          <w:sz w:val="21"/>
          <w:szCs w:val="21"/>
          <w:lang w:eastAsia="en-GB"/>
        </w:rPr>
        <w:t xml:space="preserve"> (SPP Implementation </w:t>
      </w:r>
      <w:r w:rsidR="00EA2D29">
        <w:rPr>
          <w:rFonts w:eastAsia="Times New Roman" w:cs="Times New Roman"/>
          <w:color w:val="4A4A4A"/>
          <w:sz w:val="21"/>
          <w:szCs w:val="21"/>
          <w:lang w:eastAsia="en-GB"/>
        </w:rPr>
        <w:t>Score</w:t>
      </w:r>
      <w:r w:rsidR="00EA2D29" w:rsidRPr="00053F70">
        <w:rPr>
          <w:rFonts w:eastAsia="Times New Roman" w:cs="Times New Roman"/>
          <w:color w:val="4A4A4A"/>
          <w:sz w:val="21"/>
          <w:szCs w:val="21"/>
          <w:lang w:eastAsia="en-GB"/>
        </w:rPr>
        <w:t xml:space="preserve"> </w:t>
      </w:r>
      <w:r w:rsidRPr="00BC58D2">
        <w:rPr>
          <w:rFonts w:eastAsia="Times New Roman" w:cs="Times New Roman"/>
          <w:color w:val="4A4A4A"/>
          <w:sz w:val="21"/>
          <w:szCs w:val="21"/>
          <w:lang w:eastAsia="en-GB"/>
        </w:rPr>
        <w:t>ranging from 3 to 4)</w:t>
      </w:r>
      <w:r w:rsidR="003B0D67">
        <w:rPr>
          <w:rFonts w:eastAsia="Times New Roman" w:cs="Times New Roman"/>
          <w:color w:val="4A4A4A"/>
          <w:sz w:val="21"/>
          <w:szCs w:val="21"/>
          <w:lang w:eastAsia="en-GB"/>
        </w:rPr>
        <w:t>.</w:t>
      </w:r>
    </w:p>
    <w:p w14:paraId="7982E52F" w14:textId="78E0364C" w:rsidR="009C7AEB" w:rsidRPr="00BC58D2" w:rsidRDefault="009C7AEB" w:rsidP="00BC58D2">
      <w:pPr>
        <w:pBdr>
          <w:top w:val="single" w:sz="4" w:space="1" w:color="auto" w:shadow="1"/>
          <w:left w:val="single" w:sz="4" w:space="4" w:color="auto" w:shadow="1"/>
          <w:bottom w:val="single" w:sz="4" w:space="1" w:color="auto" w:shadow="1"/>
          <w:right w:val="single" w:sz="4" w:space="4" w:color="auto" w:shadow="1"/>
        </w:pBdr>
        <w:shd w:val="clear" w:color="auto" w:fill="FFFFFF"/>
        <w:spacing w:after="0"/>
        <w:jc w:val="both"/>
        <w:rPr>
          <w:color w:val="4A4A4A"/>
          <w:sz w:val="21"/>
          <w:szCs w:val="21"/>
          <w:lang w:eastAsia="en-GB"/>
        </w:rPr>
      </w:pPr>
      <w:r w:rsidRPr="00BC58D2">
        <w:rPr>
          <w:rFonts w:eastAsia="Times New Roman" w:cs="Times New Roman"/>
          <w:b/>
          <w:bCs/>
          <w:color w:val="4A4A4A"/>
          <w:sz w:val="21"/>
          <w:szCs w:val="21"/>
          <w:lang w:eastAsia="en-GB"/>
        </w:rPr>
        <w:t xml:space="preserve">Level 4: </w:t>
      </w:r>
      <w:r w:rsidR="002865FB" w:rsidRPr="00A30664">
        <w:rPr>
          <w:rFonts w:eastAsia="Times New Roman" w:cs="Times New Roman"/>
          <w:b/>
          <w:bCs/>
          <w:color w:val="4A4A4A"/>
          <w:sz w:val="21"/>
          <w:szCs w:val="21"/>
          <w:lang w:eastAsia="en-GB"/>
        </w:rPr>
        <w:t xml:space="preserve">Advanced </w:t>
      </w:r>
      <w:r w:rsidRPr="00BC58D2">
        <w:rPr>
          <w:rFonts w:eastAsia="Times New Roman" w:cs="Times New Roman"/>
          <w:b/>
          <w:bCs/>
          <w:color w:val="4A4A4A"/>
          <w:sz w:val="21"/>
          <w:szCs w:val="21"/>
          <w:lang w:eastAsia="en-GB"/>
        </w:rPr>
        <w:t>implementation</w:t>
      </w:r>
      <w:r w:rsidR="00BE3F58" w:rsidRPr="00BC58D2">
        <w:rPr>
          <w:rFonts w:eastAsia="Times New Roman" w:cs="Times New Roman"/>
          <w:color w:val="4A4A4A"/>
          <w:sz w:val="21"/>
          <w:szCs w:val="21"/>
          <w:lang w:eastAsia="en-GB"/>
        </w:rPr>
        <w:t xml:space="preserve"> </w:t>
      </w:r>
      <w:r w:rsidRPr="00BC58D2">
        <w:rPr>
          <w:rFonts w:eastAsia="Times New Roman" w:cs="Times New Roman"/>
          <w:color w:val="4A4A4A"/>
          <w:sz w:val="21"/>
          <w:szCs w:val="21"/>
          <w:lang w:eastAsia="en-GB"/>
        </w:rPr>
        <w:t xml:space="preserve">(SPP Implementation </w:t>
      </w:r>
      <w:r w:rsidR="00EA2D29">
        <w:rPr>
          <w:rFonts w:eastAsia="Times New Roman" w:cs="Times New Roman"/>
          <w:color w:val="4A4A4A"/>
          <w:sz w:val="21"/>
          <w:szCs w:val="21"/>
          <w:lang w:eastAsia="en-GB"/>
        </w:rPr>
        <w:t>Score</w:t>
      </w:r>
      <w:r w:rsidR="00EA2D29" w:rsidRPr="00053F70">
        <w:rPr>
          <w:rFonts w:eastAsia="Times New Roman" w:cs="Times New Roman"/>
          <w:color w:val="4A4A4A"/>
          <w:sz w:val="21"/>
          <w:szCs w:val="21"/>
          <w:lang w:eastAsia="en-GB"/>
        </w:rPr>
        <w:t xml:space="preserve"> </w:t>
      </w:r>
      <w:r w:rsidRPr="00BC58D2">
        <w:rPr>
          <w:rFonts w:eastAsia="Times New Roman" w:cs="Times New Roman"/>
          <w:color w:val="4A4A4A"/>
          <w:sz w:val="21"/>
          <w:szCs w:val="21"/>
          <w:lang w:eastAsia="en-GB"/>
        </w:rPr>
        <w:t>larger than 4)</w:t>
      </w:r>
      <w:r w:rsidR="003B0D67">
        <w:rPr>
          <w:rFonts w:eastAsia="Times New Roman" w:cs="Times New Roman"/>
          <w:color w:val="4A4A4A"/>
          <w:sz w:val="21"/>
          <w:szCs w:val="21"/>
          <w:lang w:eastAsia="en-GB"/>
        </w:rPr>
        <w:t>.</w:t>
      </w:r>
    </w:p>
    <w:p w14:paraId="2D9F463E" w14:textId="77777777" w:rsidR="009C7AEB" w:rsidRPr="00BC58D2" w:rsidRDefault="009C7AEB" w:rsidP="00BC58D2">
      <w:pPr>
        <w:pBdr>
          <w:top w:val="single" w:sz="4" w:space="1" w:color="auto" w:shadow="1"/>
          <w:left w:val="single" w:sz="4" w:space="4" w:color="auto" w:shadow="1"/>
          <w:bottom w:val="single" w:sz="4" w:space="1" w:color="auto" w:shadow="1"/>
          <w:right w:val="single" w:sz="4" w:space="4" w:color="auto" w:shadow="1"/>
        </w:pBdr>
        <w:shd w:val="clear" w:color="auto" w:fill="FFFFFF"/>
        <w:spacing w:after="0"/>
        <w:jc w:val="both"/>
        <w:rPr>
          <w:color w:val="4A4A4A"/>
          <w:sz w:val="21"/>
          <w:szCs w:val="21"/>
          <w:lang w:eastAsia="en-GB"/>
        </w:rPr>
      </w:pPr>
    </w:p>
    <w:p w14:paraId="1CA211ED" w14:textId="77777777" w:rsidR="00044201" w:rsidRPr="006940C5" w:rsidRDefault="00044201" w:rsidP="00BC58D2">
      <w:pPr>
        <w:shd w:val="clear" w:color="auto" w:fill="FFFFFF"/>
        <w:spacing w:after="0"/>
        <w:jc w:val="both"/>
        <w:rPr>
          <w:rFonts w:eastAsia="Times New Roman" w:cs="Times New Roman"/>
          <w:color w:val="4A4A4A"/>
          <w:sz w:val="21"/>
          <w:szCs w:val="21"/>
          <w:lang w:eastAsia="en-GB"/>
        </w:rPr>
      </w:pPr>
    </w:p>
    <w:p w14:paraId="109673F0" w14:textId="77777777" w:rsidR="00044201" w:rsidRPr="00FC478D" w:rsidRDefault="00044201" w:rsidP="00BC58D2">
      <w:pPr>
        <w:shd w:val="clear" w:color="auto" w:fill="FFFFFF"/>
        <w:spacing w:after="0"/>
        <w:jc w:val="both"/>
        <w:rPr>
          <w:rFonts w:eastAsia="Times New Roman" w:cs="Times New Roman"/>
          <w:color w:val="4A4A4A"/>
          <w:sz w:val="21"/>
          <w:szCs w:val="21"/>
          <w:lang w:eastAsia="en-GB"/>
        </w:rPr>
      </w:pPr>
      <w:r w:rsidRPr="006940C5">
        <w:rPr>
          <w:rFonts w:eastAsia="Times New Roman" w:cs="Times New Roman"/>
          <w:color w:val="4A4A4A"/>
          <w:sz w:val="21"/>
          <w:szCs w:val="21"/>
          <w:lang w:eastAsia="en-GB"/>
        </w:rPr>
        <w:lastRenderedPageBreak/>
        <w:t>The full calculations and explanation of the index can be found in the attached document “</w:t>
      </w:r>
      <w:r w:rsidRPr="00BC58D2">
        <w:rPr>
          <w:rFonts w:eastAsia="Times New Roman" w:cs="Times New Roman"/>
          <w:b/>
          <w:bCs/>
          <w:i/>
          <w:iCs/>
          <w:color w:val="4A4A4A"/>
          <w:sz w:val="21"/>
          <w:szCs w:val="21"/>
          <w:lang w:eastAsia="en-GB"/>
        </w:rPr>
        <w:t>SPP Index methodology</w:t>
      </w:r>
      <w:r w:rsidRPr="00FC478D">
        <w:rPr>
          <w:rFonts w:eastAsia="Times New Roman" w:cs="Times New Roman"/>
          <w:color w:val="4A4A4A"/>
          <w:sz w:val="21"/>
          <w:szCs w:val="21"/>
          <w:lang w:eastAsia="en-GB"/>
        </w:rPr>
        <w:t>”.</w:t>
      </w:r>
    </w:p>
    <w:p w14:paraId="2ED6BDDA" w14:textId="77777777" w:rsidR="00044201" w:rsidRDefault="00044201" w:rsidP="00F719A8">
      <w:pPr>
        <w:pStyle w:val="MHeader2"/>
      </w:pPr>
    </w:p>
    <w:p w14:paraId="514CE3C0" w14:textId="7C0A366C" w:rsidR="00E1050F" w:rsidRPr="00A96255" w:rsidRDefault="00576CFA" w:rsidP="00F719A8">
      <w:pPr>
        <w:pStyle w:val="MHeader2"/>
      </w:pPr>
      <w:r w:rsidRPr="00A96255">
        <w:t>4.d. Validation</w:t>
      </w:r>
    </w:p>
    <w:p w14:paraId="260A8DB8" w14:textId="77777777" w:rsidR="006A6612" w:rsidRDefault="006A6612" w:rsidP="00BC58D2">
      <w:pPr>
        <w:pStyle w:val="MText"/>
        <w:jc w:val="both"/>
      </w:pPr>
    </w:p>
    <w:p w14:paraId="746FA91F" w14:textId="0B2BAFF9" w:rsidR="00F719A8" w:rsidRDefault="0097557E" w:rsidP="00BC58D2">
      <w:pPr>
        <w:pStyle w:val="MText"/>
        <w:jc w:val="both"/>
      </w:pPr>
      <w:r>
        <w:t xml:space="preserve">Firstly, </w:t>
      </w:r>
      <w:r w:rsidR="00081B24" w:rsidRPr="00BC58D2">
        <w:rPr>
          <w:b/>
          <w:bCs/>
        </w:rPr>
        <w:t>Excel-based self-assessment forms</w:t>
      </w:r>
      <w:r w:rsidR="00081B24">
        <w:t xml:space="preserve">, along with </w:t>
      </w:r>
      <w:r w:rsidR="00081B24" w:rsidRPr="00BC58D2">
        <w:rPr>
          <w:b/>
          <w:bCs/>
        </w:rPr>
        <w:t>PDF Guidance, and Frequently Asked Questions</w:t>
      </w:r>
      <w:r w:rsidR="00111D0F">
        <w:t xml:space="preserve"> are shared with reporting government focal points</w:t>
      </w:r>
      <w:r w:rsidR="00081B24">
        <w:t xml:space="preserve"> to provide relevant instructions on how to </w:t>
      </w:r>
      <w:r w:rsidR="00111D0F">
        <w:t>supply</w:t>
      </w:r>
      <w:r w:rsidR="00081B24">
        <w:t xml:space="preserve"> the required information and data. For each answer provided, it </w:t>
      </w:r>
      <w:r w:rsidR="0078168A">
        <w:t>is</w:t>
      </w:r>
      <w:r w:rsidR="00081B24">
        <w:t xml:space="preserve"> required to provide relevant evidence</w:t>
      </w:r>
      <w:r w:rsidR="0078168A">
        <w:t>,</w:t>
      </w:r>
      <w:r w:rsidR="00081B24">
        <w:t xml:space="preserve"> </w:t>
      </w:r>
      <w:r w:rsidR="0078168A">
        <w:t xml:space="preserve">and precise references to that evidence, </w:t>
      </w:r>
      <w:r w:rsidR="00081B24">
        <w:t xml:space="preserve">supporting the </w:t>
      </w:r>
      <w:r w:rsidR="0078168A">
        <w:t>selected pre-set answer</w:t>
      </w:r>
      <w:r w:rsidR="00081B24">
        <w:t>.</w:t>
      </w:r>
    </w:p>
    <w:p w14:paraId="5C4AF318" w14:textId="425CB882" w:rsidR="00081B24" w:rsidRDefault="00081B24" w:rsidP="00BC58D2">
      <w:pPr>
        <w:pStyle w:val="MText"/>
        <w:jc w:val="both"/>
      </w:pPr>
    </w:p>
    <w:p w14:paraId="47BB4FD3" w14:textId="66A5807E" w:rsidR="00012331" w:rsidRDefault="0097557E" w:rsidP="00BC58D2">
      <w:pPr>
        <w:pStyle w:val="MText"/>
        <w:jc w:val="both"/>
      </w:pPr>
      <w:r>
        <w:t>Secondly, e</w:t>
      </w:r>
      <w:r w:rsidR="00081B24">
        <w:t>ach report</w:t>
      </w:r>
      <w:r w:rsidR="00B42031">
        <w:t xml:space="preserve"> </w:t>
      </w:r>
      <w:r w:rsidR="00012331">
        <w:t>is</w:t>
      </w:r>
      <w:r w:rsidR="00081B24">
        <w:t xml:space="preserve"> verified</w:t>
      </w:r>
      <w:r w:rsidR="00B42031">
        <w:t xml:space="preserve"> to check whether relevant evidence </w:t>
      </w:r>
      <w:r w:rsidR="00012331">
        <w:t>is</w:t>
      </w:r>
      <w:r w:rsidR="00B42031">
        <w:t xml:space="preserve"> provided.</w:t>
      </w:r>
    </w:p>
    <w:p w14:paraId="6C93E755" w14:textId="1BCC6E2A" w:rsidR="00012331" w:rsidRDefault="00012331" w:rsidP="00BC58D2">
      <w:pPr>
        <w:pStyle w:val="MText"/>
        <w:jc w:val="both"/>
      </w:pPr>
      <w:r>
        <w:t>Detailed feedback specific to each question is</w:t>
      </w:r>
      <w:r w:rsidR="00B42031">
        <w:t xml:space="preserve"> sent to the relevant focal points to request for clarifications or further details and evidence.</w:t>
      </w:r>
    </w:p>
    <w:p w14:paraId="0CAAFFD4" w14:textId="77777777" w:rsidR="0097557E" w:rsidRDefault="0097557E" w:rsidP="00BC58D2">
      <w:pPr>
        <w:pStyle w:val="MText"/>
        <w:jc w:val="both"/>
      </w:pPr>
    </w:p>
    <w:p w14:paraId="4B507225" w14:textId="1842C56F" w:rsidR="0097557E" w:rsidRDefault="0097557E" w:rsidP="00BC58D2">
      <w:pPr>
        <w:pStyle w:val="MText"/>
        <w:jc w:val="both"/>
      </w:pPr>
      <w:r>
        <w:t xml:space="preserve">Thirdly, further to those bilateral exchanges, the additional information or evidence provided are further checked. When it appears that the provided details/evidence do not sufficiently support the selected answer, those answers are not considered in the final evaluation. Final information and reports provided are </w:t>
      </w:r>
      <w:r w:rsidR="00437654">
        <w:t>deemed compliant, or not compliant</w:t>
      </w:r>
      <w:r>
        <w:t xml:space="preserve">, leading to the calculation and validation of the final </w:t>
      </w:r>
      <w:r w:rsidR="00EA2D29">
        <w:t xml:space="preserve">SPP </w:t>
      </w:r>
      <w:r>
        <w:t>score.</w:t>
      </w:r>
    </w:p>
    <w:p w14:paraId="690EA5D0" w14:textId="77777777" w:rsidR="00772F7B" w:rsidRDefault="00772F7B" w:rsidP="00BC58D2">
      <w:pPr>
        <w:pStyle w:val="MText"/>
        <w:jc w:val="both"/>
      </w:pPr>
    </w:p>
    <w:p w14:paraId="18C5C070" w14:textId="0744CE90" w:rsidR="00283646" w:rsidRDefault="00283646" w:rsidP="00BC58D2">
      <w:pPr>
        <w:pStyle w:val="MText"/>
        <w:jc w:val="both"/>
      </w:pPr>
      <w:r>
        <w:t xml:space="preserve">The calculation of this final </w:t>
      </w:r>
      <w:r w:rsidR="00EA2D29">
        <w:t>score</w:t>
      </w:r>
      <w:r>
        <w:t xml:space="preserve"> provides a basis for the classification of governments into five different categories reflecting the level of implementation of SPP, as described in section </w:t>
      </w:r>
      <w:r w:rsidR="00772F7B">
        <w:rPr>
          <w:i/>
          <w:iCs/>
        </w:rPr>
        <w:t>4.c. Method of computation</w:t>
      </w:r>
      <w:r>
        <w:t>.</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45036BB3" w14:textId="59711522" w:rsidR="00653A0C" w:rsidRDefault="006C68FB" w:rsidP="00BC58D2">
      <w:pPr>
        <w:pStyle w:val="MText"/>
        <w:jc w:val="both"/>
      </w:pPr>
      <w:r>
        <w:t xml:space="preserve">Despite the fact the evaluation methodology was developed in consultation with national governments and SPP experts from different areas of the world, </w:t>
      </w:r>
      <w:r w:rsidR="000913AB">
        <w:t xml:space="preserve">as </w:t>
      </w:r>
      <w:r>
        <w:t xml:space="preserve">the differences in public procurement systems and framework </w:t>
      </w:r>
      <w:r w:rsidR="000913AB">
        <w:t xml:space="preserve">significantly </w:t>
      </w:r>
      <w:r>
        <w:t xml:space="preserve">differ, </w:t>
      </w:r>
      <w:r w:rsidR="000913AB" w:rsidRPr="006940C5">
        <w:t xml:space="preserve">some governments had difficulties in applying </w:t>
      </w:r>
      <w:r w:rsidR="006A6481" w:rsidRPr="00BC58D2">
        <w:t xml:space="preserve">some </w:t>
      </w:r>
      <w:r w:rsidR="000913AB" w:rsidRPr="006940C5">
        <w:t xml:space="preserve">questions in section B to their own practice of SPP implementation (for example, GPP implementation through the use of ecolabels in Asian countries, </w:t>
      </w:r>
      <w:r w:rsidR="000913AB" w:rsidRPr="00BC58D2">
        <w:t xml:space="preserve">rather than through </w:t>
      </w:r>
      <w:r w:rsidR="00506342" w:rsidRPr="00BC58D2">
        <w:t>(a strong)</w:t>
      </w:r>
      <w:r w:rsidR="000913AB" w:rsidRPr="00BC58D2">
        <w:t xml:space="preserve"> regulatory framework </w:t>
      </w:r>
      <w:r w:rsidR="00506342" w:rsidRPr="00BC58D2">
        <w:t xml:space="preserve">as </w:t>
      </w:r>
      <w:r w:rsidR="000913AB" w:rsidRPr="00BC58D2">
        <w:t>in the European Union</w:t>
      </w:r>
      <w:r w:rsidR="000913AB" w:rsidRPr="006940C5">
        <w:t>)</w:t>
      </w:r>
      <w:r w:rsidRPr="006940C5">
        <w:t xml:space="preserve">. </w:t>
      </w:r>
      <w:r w:rsidR="00583DC2" w:rsidRPr="006940C5">
        <w:t>As regards section B, e</w:t>
      </w:r>
      <w:r w:rsidRPr="006940C5">
        <w:t>quivalent systems of implementation were therefore accepted</w:t>
      </w:r>
      <w:r w:rsidR="00583DC2" w:rsidRPr="006940C5">
        <w:t xml:space="preserve"> after </w:t>
      </w:r>
      <w:r w:rsidR="009E5292" w:rsidRPr="00BC58D2">
        <w:t>deliberation</w:t>
      </w:r>
      <w:r w:rsidR="00583DC2" w:rsidRPr="006940C5">
        <w:t>.</w:t>
      </w:r>
    </w:p>
    <w:p w14:paraId="196E3AB1" w14:textId="77777777" w:rsidR="007B35CD" w:rsidRPr="00A96255" w:rsidRDefault="007B35CD" w:rsidP="00576CFA">
      <w:pPr>
        <w:pStyle w:val="MText"/>
      </w:pP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(i) at country le</w:t>
      </w:r>
      <w:r w:rsidR="00E1050F" w:rsidRPr="00A96255">
        <w:t>vel and (ii) at regional level</w:t>
      </w:r>
    </w:p>
    <w:p w14:paraId="5CB93995" w14:textId="77777777" w:rsidR="001B704D" w:rsidRDefault="001B704D" w:rsidP="00DA615C">
      <w:pPr>
        <w:pStyle w:val="MText"/>
        <w:rPr>
          <w:highlight w:val="yellow"/>
        </w:rPr>
      </w:pPr>
    </w:p>
    <w:p w14:paraId="67043C18" w14:textId="55AE6C9A" w:rsidR="00D51E7C" w:rsidRDefault="00D51E7C" w:rsidP="00DA615C">
      <w:pPr>
        <w:pStyle w:val="MText"/>
      </w:pPr>
    </w:p>
    <w:p w14:paraId="3819B4B3" w14:textId="77777777" w:rsidR="008D2ACB" w:rsidRPr="003B0D67" w:rsidRDefault="008D2ACB" w:rsidP="008D2ACB">
      <w:pPr>
        <w:pStyle w:val="MText"/>
      </w:pPr>
      <w:r w:rsidRPr="003B0D67">
        <w:t>•</w:t>
      </w:r>
      <w:r w:rsidRPr="003B0D67">
        <w:tab/>
        <w:t>At country level</w:t>
      </w:r>
    </w:p>
    <w:p w14:paraId="7BBE513F" w14:textId="77777777" w:rsidR="009E5292" w:rsidRPr="003B0D67" w:rsidRDefault="009E5292" w:rsidP="00DA615C">
      <w:pPr>
        <w:pStyle w:val="MText"/>
        <w:rPr>
          <w:color w:val="auto"/>
          <w:sz w:val="22"/>
          <w:szCs w:val="22"/>
        </w:rPr>
      </w:pPr>
    </w:p>
    <w:p w14:paraId="5D7C0DBE" w14:textId="43CADBB6" w:rsidR="009F641E" w:rsidRPr="003B0D67" w:rsidRDefault="009F641E" w:rsidP="009F641E">
      <w:pPr>
        <w:jc w:val="both"/>
        <w:rPr>
          <w:rFonts w:eastAsia="Times New Roman" w:cs="Times New Roman"/>
          <w:color w:val="4A4A4A"/>
          <w:sz w:val="21"/>
          <w:szCs w:val="21"/>
          <w:lang w:eastAsia="en-GB"/>
        </w:rPr>
      </w:pPr>
      <w:r w:rsidRPr="003B0D67">
        <w:rPr>
          <w:rFonts w:eastAsia="Times New Roman" w:cs="Times New Roman"/>
          <w:color w:val="4A4A4A"/>
          <w:sz w:val="21"/>
          <w:szCs w:val="21"/>
          <w:lang w:eastAsia="en-GB"/>
        </w:rPr>
        <w:t>With regard to the developed SPP government implementation assessment itself, missing values do not significantly impact the calculated score, as governments may report on some sub-indicators only (B, C, D, E, F), only sub-indicator A being mandatory (A: Existence of a SPP action plan/policy, and/or SPP regulatory requirements).</w:t>
      </w:r>
    </w:p>
    <w:p w14:paraId="5AA30A0D" w14:textId="18026312" w:rsidR="002C290F" w:rsidRPr="003B0D67" w:rsidRDefault="009F641E" w:rsidP="003B0D67">
      <w:pPr>
        <w:jc w:val="both"/>
        <w:rPr>
          <w:color w:val="4A4A4A"/>
          <w:sz w:val="21"/>
          <w:szCs w:val="21"/>
          <w:lang w:eastAsia="en-GB"/>
        </w:rPr>
      </w:pPr>
      <w:r w:rsidRPr="003B0D67">
        <w:rPr>
          <w:rFonts w:eastAsia="Times New Roman" w:cs="Times New Roman"/>
          <w:color w:val="4A4A4A"/>
          <w:sz w:val="21"/>
          <w:szCs w:val="21"/>
          <w:lang w:eastAsia="en-GB"/>
        </w:rPr>
        <w:lastRenderedPageBreak/>
        <w:t>With regard to the general assessment of SPP implementation at country level</w:t>
      </w:r>
      <w:r w:rsidRPr="003B0D67">
        <w:rPr>
          <w:rFonts w:eastAsia="Times New Roman" w:cs="Times New Roman"/>
          <w:b/>
          <w:bCs/>
          <w:color w:val="4A4A4A"/>
          <w:sz w:val="21"/>
          <w:szCs w:val="21"/>
          <w:lang w:eastAsia="en-GB"/>
        </w:rPr>
        <w:t>,  i</w:t>
      </w:r>
      <w:r w:rsidR="002C290F" w:rsidRPr="003B0D67">
        <w:rPr>
          <w:rFonts w:eastAsia="Times New Roman" w:cs="Times New Roman"/>
          <w:b/>
          <w:bCs/>
          <w:color w:val="4A4A4A"/>
          <w:sz w:val="21"/>
          <w:szCs w:val="21"/>
          <w:lang w:eastAsia="en-GB"/>
        </w:rPr>
        <w:t>t</w:t>
      </w:r>
      <w:r w:rsidRPr="003B0D67">
        <w:rPr>
          <w:rFonts w:eastAsia="Times New Roman" w:cs="Times New Roman"/>
          <w:b/>
          <w:bCs/>
          <w:color w:val="4A4A4A"/>
          <w:sz w:val="21"/>
          <w:szCs w:val="21"/>
          <w:lang w:eastAsia="en-GB"/>
        </w:rPr>
        <w:t xml:space="preserve"> should however be noted that it</w:t>
      </w:r>
      <w:r w:rsidR="002C290F" w:rsidRPr="003B0D67">
        <w:rPr>
          <w:rFonts w:eastAsia="Times New Roman" w:cs="Times New Roman"/>
          <w:b/>
          <w:bCs/>
          <w:color w:val="4A4A4A"/>
          <w:sz w:val="21"/>
          <w:szCs w:val="21"/>
          <w:lang w:eastAsia="en-GB"/>
        </w:rPr>
        <w:t xml:space="preserve"> had been</w:t>
      </w:r>
      <w:r w:rsidR="002C290F" w:rsidRPr="003B0D67">
        <w:rPr>
          <w:rFonts w:eastAsia="Times New Roman" w:cs="Times New Roman"/>
          <w:color w:val="4A4A4A"/>
          <w:sz w:val="21"/>
          <w:szCs w:val="21"/>
          <w:lang w:eastAsia="en-GB"/>
        </w:rPr>
        <w:t xml:space="preserve"> </w:t>
      </w:r>
      <w:r w:rsidR="002C290F" w:rsidRPr="003B0D67">
        <w:rPr>
          <w:rFonts w:eastAsia="Times New Roman" w:cs="Times New Roman"/>
          <w:b/>
          <w:bCs/>
          <w:color w:val="4A4A4A"/>
          <w:sz w:val="21"/>
          <w:szCs w:val="21"/>
          <w:lang w:eastAsia="en-GB"/>
        </w:rPr>
        <w:t xml:space="preserve">originally planned to calculate </w:t>
      </w:r>
      <w:r w:rsidR="006940C5">
        <w:rPr>
          <w:rFonts w:eastAsia="Times New Roman" w:cs="Times New Roman"/>
          <w:b/>
          <w:bCs/>
          <w:color w:val="4A4A4A"/>
          <w:sz w:val="21"/>
          <w:szCs w:val="21"/>
          <w:lang w:eastAsia="en-GB"/>
        </w:rPr>
        <w:t>a</w:t>
      </w:r>
      <w:r w:rsidR="002C290F" w:rsidRPr="003B0D67">
        <w:rPr>
          <w:rFonts w:eastAsia="Times New Roman" w:cs="Times New Roman"/>
          <w:b/>
          <w:bCs/>
          <w:color w:val="4A4A4A"/>
          <w:sz w:val="21"/>
          <w:szCs w:val="21"/>
          <w:lang w:eastAsia="en-GB"/>
        </w:rPr>
        <w:t xml:space="preserve"> country-level SPP implementation Index based on the aggregation of three sub-indices reflecting three different levels of government</w:t>
      </w:r>
      <w:r w:rsidR="002C290F" w:rsidRPr="003B0D67">
        <w:rPr>
          <w:rFonts w:eastAsia="Times New Roman" w:cs="Times New Roman"/>
          <w:color w:val="4A4A4A"/>
          <w:sz w:val="21"/>
          <w:szCs w:val="21"/>
          <w:lang w:eastAsia="en-GB"/>
        </w:rPr>
        <w:t xml:space="preserve">, including </w:t>
      </w:r>
      <w:r w:rsidR="002C290F" w:rsidRPr="003B0D67">
        <w:rPr>
          <w:rFonts w:eastAsia="Times New Roman" w:cs="Times New Roman"/>
          <w:b/>
          <w:bCs/>
          <w:color w:val="4A4A4A"/>
          <w:sz w:val="21"/>
          <w:szCs w:val="21"/>
          <w:lang w:eastAsia="en-GB"/>
        </w:rPr>
        <w:t xml:space="preserve">a weighting representing the government’s share of procurement </w:t>
      </w:r>
      <w:r w:rsidR="002C290F" w:rsidRPr="003B0D67">
        <w:rPr>
          <w:rFonts w:eastAsia="Times New Roman" w:cs="Times New Roman"/>
          <w:color w:val="4A4A4A"/>
          <w:sz w:val="21"/>
          <w:szCs w:val="21"/>
          <w:lang w:eastAsia="en-GB"/>
        </w:rPr>
        <w:t>in total public procurement value at country level (formula shown below), which would provide a fairer evaluation of SPP efforts at country level.</w:t>
      </w:r>
    </w:p>
    <w:p w14:paraId="3BC57947" w14:textId="5570D9F8" w:rsidR="002C290F" w:rsidRPr="003B0D67" w:rsidRDefault="002C290F" w:rsidP="002C290F">
      <w:pPr>
        <w:pStyle w:val="NormalWeb"/>
        <w:shd w:val="clear" w:color="auto" w:fill="FFFFFF"/>
        <w:spacing w:before="240" w:beforeAutospacing="0" w:after="240" w:afterAutospacing="0"/>
        <w:jc w:val="both"/>
        <w:rPr>
          <w:rFonts w:asciiTheme="minorHAnsi" w:hAnsiTheme="minorHAnsi"/>
          <w:color w:val="4A4A4A"/>
          <w:sz w:val="21"/>
          <w:szCs w:val="21"/>
          <w:lang w:val="en-GB" w:eastAsia="en-GB"/>
        </w:rPr>
      </w:pPr>
      <w:r w:rsidRPr="003B0D67">
        <w:rPr>
          <w:rFonts w:asciiTheme="minorHAnsi" w:hAnsiTheme="minorHAnsi"/>
          <w:color w:val="4A4A4A"/>
          <w:sz w:val="21"/>
          <w:szCs w:val="21"/>
          <w:lang w:val="en-GB" w:eastAsia="en-GB"/>
        </w:rPr>
        <w:t>The actual scope of the national/federal government’s SPP implementation might indeed vary considerably from one country to another, as in some countries, SPP implementation when directed by the central government may apply to most public entities in the country, while in other countries, implementation conducted by the federal government might only represent a small share of public procurement at country level.</w:t>
      </w:r>
    </w:p>
    <w:p w14:paraId="08F0FECE" w14:textId="415BCBF4" w:rsidR="002C290F" w:rsidRPr="003B0D67" w:rsidRDefault="002C290F" w:rsidP="002C290F">
      <w:pPr>
        <w:pStyle w:val="NormalWeb"/>
        <w:shd w:val="clear" w:color="auto" w:fill="FFFFFF"/>
        <w:spacing w:before="240" w:beforeAutospacing="0" w:after="240" w:afterAutospacing="0"/>
        <w:jc w:val="both"/>
        <w:rPr>
          <w:rFonts w:asciiTheme="minorHAnsi" w:hAnsiTheme="minorHAnsi"/>
          <w:color w:val="4A4A4A"/>
          <w:sz w:val="21"/>
          <w:szCs w:val="21"/>
          <w:lang w:val="en-GB" w:eastAsia="en-GB"/>
        </w:rPr>
      </w:pPr>
      <w:r w:rsidRPr="003B0D67">
        <w:rPr>
          <w:rFonts w:asciiTheme="minorHAnsi" w:hAnsiTheme="minorHAnsi"/>
          <w:color w:val="4A4A4A"/>
          <w:sz w:val="21"/>
          <w:szCs w:val="21"/>
          <w:lang w:val="en-GB" w:eastAsia="en-GB"/>
        </w:rPr>
        <w:t xml:space="preserve">The first data collection exercise however </w:t>
      </w:r>
      <w:r w:rsidRPr="003B0D67">
        <w:rPr>
          <w:rFonts w:asciiTheme="minorHAnsi" w:hAnsiTheme="minorHAnsi"/>
          <w:b/>
          <w:bCs/>
          <w:color w:val="4A4A4A"/>
          <w:sz w:val="21"/>
          <w:szCs w:val="21"/>
          <w:lang w:val="en-GB" w:eastAsia="en-GB"/>
        </w:rPr>
        <w:t>showed that the total public procurement value</w:t>
      </w:r>
      <w:r w:rsidRPr="003B0D67">
        <w:rPr>
          <w:rFonts w:asciiTheme="minorHAnsi" w:hAnsiTheme="minorHAnsi"/>
          <w:color w:val="4A4A4A"/>
          <w:sz w:val="21"/>
          <w:szCs w:val="21"/>
          <w:lang w:val="en-GB" w:eastAsia="en-GB"/>
        </w:rPr>
        <w:t xml:space="preserve">, at country level or at the level of the considered government, </w:t>
      </w:r>
      <w:r w:rsidRPr="003B0D67">
        <w:rPr>
          <w:rFonts w:asciiTheme="minorHAnsi" w:hAnsiTheme="minorHAnsi"/>
          <w:b/>
          <w:bCs/>
          <w:color w:val="4A4A4A"/>
          <w:sz w:val="21"/>
          <w:szCs w:val="21"/>
          <w:lang w:val="en-GB" w:eastAsia="en-GB"/>
        </w:rPr>
        <w:t>is not always available</w:t>
      </w:r>
      <w:r w:rsidRPr="003B0D67">
        <w:rPr>
          <w:rFonts w:asciiTheme="minorHAnsi" w:hAnsiTheme="minorHAnsi"/>
          <w:color w:val="4A4A4A"/>
          <w:sz w:val="21"/>
          <w:szCs w:val="21"/>
          <w:lang w:val="en-GB" w:eastAsia="en-GB"/>
        </w:rPr>
        <w:t>, therefore not allowing for the calculation of such an index.</w:t>
      </w:r>
    </w:p>
    <w:p w14:paraId="629E4E94" w14:textId="28A95D32" w:rsidR="009F641E" w:rsidRDefault="002C290F" w:rsidP="002C290F">
      <w:pPr>
        <w:pStyle w:val="NormalWeb"/>
        <w:shd w:val="clear" w:color="auto" w:fill="FFFFFF"/>
        <w:spacing w:before="240" w:beforeAutospacing="0" w:after="240" w:afterAutospacing="0"/>
        <w:jc w:val="both"/>
        <w:rPr>
          <w:rFonts w:asciiTheme="minorHAnsi" w:hAnsiTheme="minorHAnsi"/>
          <w:color w:val="4A4A4A"/>
          <w:sz w:val="21"/>
          <w:szCs w:val="21"/>
          <w:lang w:val="en-GB" w:eastAsia="en-GB"/>
        </w:rPr>
      </w:pPr>
      <w:r w:rsidRPr="003B0D67">
        <w:rPr>
          <w:rFonts w:asciiTheme="minorHAnsi" w:hAnsiTheme="minorHAnsi"/>
          <w:color w:val="4A4A4A"/>
          <w:sz w:val="21"/>
          <w:szCs w:val="21"/>
          <w:lang w:val="en-GB" w:eastAsia="en-GB"/>
        </w:rPr>
        <w:t xml:space="preserve">In the first reporting exercise, </w:t>
      </w:r>
      <w:r w:rsidR="009B2020" w:rsidRPr="003B0D67">
        <w:rPr>
          <w:rFonts w:asciiTheme="minorHAnsi" w:hAnsiTheme="minorHAnsi"/>
          <w:color w:val="4A4A4A"/>
          <w:sz w:val="21"/>
          <w:szCs w:val="21"/>
          <w:lang w:val="en-GB" w:eastAsia="en-GB"/>
        </w:rPr>
        <w:t xml:space="preserve">the assessed level of SPP implementation </w:t>
      </w:r>
      <w:r w:rsidR="00E7276D" w:rsidRPr="003B0D67">
        <w:rPr>
          <w:rFonts w:asciiTheme="minorHAnsi" w:hAnsiTheme="minorHAnsi"/>
          <w:color w:val="4A4A4A"/>
          <w:sz w:val="21"/>
          <w:szCs w:val="21"/>
          <w:lang w:val="en-GB" w:eastAsia="en-GB"/>
        </w:rPr>
        <w:t xml:space="preserve">and further classification in groups, </w:t>
      </w:r>
      <w:r w:rsidRPr="003B0D67">
        <w:rPr>
          <w:rFonts w:asciiTheme="minorHAnsi" w:hAnsiTheme="minorHAnsi"/>
          <w:color w:val="4A4A4A"/>
          <w:sz w:val="21"/>
          <w:szCs w:val="21"/>
          <w:lang w:val="en-GB" w:eastAsia="en-GB"/>
        </w:rPr>
        <w:t xml:space="preserve">is therefore </w:t>
      </w:r>
      <w:r w:rsidR="009B2020" w:rsidRPr="003B0D67">
        <w:rPr>
          <w:rFonts w:asciiTheme="minorHAnsi" w:hAnsiTheme="minorHAnsi"/>
          <w:color w:val="4A4A4A"/>
          <w:sz w:val="21"/>
          <w:szCs w:val="21"/>
          <w:lang w:val="en-GB" w:eastAsia="en-GB"/>
        </w:rPr>
        <w:t>mainly based on the calculated</w:t>
      </w:r>
      <w:r w:rsidRPr="003B0D67">
        <w:rPr>
          <w:rFonts w:asciiTheme="minorHAnsi" w:hAnsiTheme="minorHAnsi"/>
          <w:color w:val="4A4A4A"/>
          <w:sz w:val="21"/>
          <w:szCs w:val="21"/>
          <w:lang w:val="en-GB" w:eastAsia="en-GB"/>
        </w:rPr>
        <w:t xml:space="preserve"> SPP</w:t>
      </w:r>
      <w:r w:rsidR="009B2020" w:rsidRPr="003B0D67">
        <w:rPr>
          <w:rFonts w:asciiTheme="minorHAnsi" w:hAnsiTheme="minorHAnsi"/>
          <w:color w:val="4A4A4A"/>
          <w:sz w:val="21"/>
          <w:szCs w:val="21"/>
          <w:lang w:val="en-GB" w:eastAsia="en-GB"/>
        </w:rPr>
        <w:t xml:space="preserve"> National/Federal Government</w:t>
      </w:r>
      <w:r w:rsidRPr="003B0D67">
        <w:rPr>
          <w:rFonts w:asciiTheme="minorHAnsi" w:hAnsiTheme="minorHAnsi"/>
          <w:color w:val="4A4A4A"/>
          <w:sz w:val="21"/>
          <w:szCs w:val="21"/>
          <w:lang w:val="en-GB" w:eastAsia="en-GB"/>
        </w:rPr>
        <w:t xml:space="preserve"> </w:t>
      </w:r>
      <w:r w:rsidR="006940C5">
        <w:rPr>
          <w:rFonts w:asciiTheme="minorHAnsi" w:hAnsiTheme="minorHAnsi"/>
          <w:color w:val="4A4A4A"/>
          <w:sz w:val="21"/>
          <w:szCs w:val="21"/>
          <w:lang w:val="en-GB" w:eastAsia="en-GB"/>
        </w:rPr>
        <w:t>Score</w:t>
      </w:r>
      <w:r w:rsidR="009B2020" w:rsidRPr="003B0D67">
        <w:rPr>
          <w:rFonts w:asciiTheme="minorHAnsi" w:hAnsiTheme="minorHAnsi"/>
          <w:color w:val="4A4A4A"/>
          <w:sz w:val="21"/>
          <w:szCs w:val="21"/>
          <w:lang w:val="en-GB" w:eastAsia="en-GB"/>
        </w:rPr>
        <w:t>,</w:t>
      </w:r>
      <w:r w:rsidRPr="003B0D67">
        <w:rPr>
          <w:rFonts w:asciiTheme="minorHAnsi" w:hAnsiTheme="minorHAnsi"/>
          <w:color w:val="4A4A4A"/>
          <w:sz w:val="21"/>
          <w:szCs w:val="21"/>
          <w:lang w:val="en-GB" w:eastAsia="en-GB"/>
        </w:rPr>
        <w:t xml:space="preserve"> tak</w:t>
      </w:r>
      <w:r w:rsidR="009B2020" w:rsidRPr="003B0D67">
        <w:rPr>
          <w:rFonts w:asciiTheme="minorHAnsi" w:hAnsiTheme="minorHAnsi"/>
          <w:color w:val="4A4A4A"/>
          <w:sz w:val="21"/>
          <w:szCs w:val="21"/>
          <w:lang w:val="en-GB" w:eastAsia="en-GB"/>
        </w:rPr>
        <w:t>ing</w:t>
      </w:r>
      <w:r w:rsidRPr="003B0D67">
        <w:rPr>
          <w:rFonts w:asciiTheme="minorHAnsi" w:hAnsiTheme="minorHAnsi"/>
          <w:color w:val="4A4A4A"/>
          <w:sz w:val="21"/>
          <w:szCs w:val="21"/>
          <w:lang w:val="en-GB" w:eastAsia="en-GB"/>
        </w:rPr>
        <w:t xml:space="preserve"> account of national/federal government SPP implementation efforts</w:t>
      </w:r>
      <w:r w:rsidR="009B2020" w:rsidRPr="003B0D67">
        <w:rPr>
          <w:rFonts w:asciiTheme="minorHAnsi" w:hAnsiTheme="minorHAnsi"/>
          <w:color w:val="4A4A4A"/>
          <w:sz w:val="21"/>
          <w:szCs w:val="21"/>
          <w:lang w:val="en-GB" w:eastAsia="en-GB"/>
        </w:rPr>
        <w:t>.</w:t>
      </w:r>
      <w:r w:rsidRPr="003B0D67">
        <w:rPr>
          <w:rFonts w:asciiTheme="minorHAnsi" w:hAnsiTheme="minorHAnsi"/>
          <w:color w:val="4A4A4A"/>
          <w:sz w:val="21"/>
          <w:szCs w:val="21"/>
          <w:lang w:val="en-GB" w:eastAsia="en-GB"/>
        </w:rPr>
        <w:t xml:space="preserve"> </w:t>
      </w:r>
    </w:p>
    <w:p w14:paraId="20B216C0" w14:textId="727B6A16" w:rsidR="00A42D06" w:rsidRDefault="00CC5C0D" w:rsidP="002C290F">
      <w:pPr>
        <w:pStyle w:val="NormalWeb"/>
        <w:shd w:val="clear" w:color="auto" w:fill="FFFFFF"/>
        <w:spacing w:before="240" w:beforeAutospacing="0" w:after="240" w:afterAutospacing="0"/>
        <w:jc w:val="both"/>
        <w:rPr>
          <w:rFonts w:asciiTheme="minorHAnsi" w:hAnsiTheme="minorHAnsi"/>
          <w:color w:val="4A4A4A"/>
          <w:sz w:val="21"/>
          <w:szCs w:val="21"/>
          <w:lang w:val="en-GB" w:eastAsia="en-GB"/>
        </w:rPr>
      </w:pPr>
      <w:bookmarkStart w:id="6" w:name="_Hlk65091950"/>
      <w:r>
        <w:rPr>
          <w:rFonts w:asciiTheme="minorHAnsi" w:hAnsiTheme="minorHAnsi"/>
          <w:color w:val="4A4A4A"/>
          <w:sz w:val="21"/>
          <w:szCs w:val="21"/>
          <w:lang w:val="en-GB" w:eastAsia="en-GB"/>
        </w:rPr>
        <w:t>Subnational submissions received may however also be evaluated following the same evaluation framework, and, through the calculation of a similar score, be classified according to their level of SPP implementation, and compared with similar</w:t>
      </w:r>
      <w:r w:rsidR="00A42D06">
        <w:rPr>
          <w:rFonts w:asciiTheme="minorHAnsi" w:hAnsiTheme="minorHAnsi"/>
          <w:color w:val="4A4A4A"/>
          <w:sz w:val="21"/>
          <w:szCs w:val="21"/>
          <w:lang w:val="en-GB" w:eastAsia="en-GB"/>
        </w:rPr>
        <w:t>-</w:t>
      </w:r>
      <w:r>
        <w:rPr>
          <w:rFonts w:asciiTheme="minorHAnsi" w:hAnsiTheme="minorHAnsi"/>
          <w:color w:val="4A4A4A"/>
          <w:sz w:val="21"/>
          <w:szCs w:val="21"/>
          <w:lang w:val="en-GB" w:eastAsia="en-GB"/>
        </w:rPr>
        <w:t>level governments (higher-level subnational government – such as provinces, or states in the case of Brazil and the US – and lower-level subnational government – such as cities and municipalities).</w:t>
      </w:r>
    </w:p>
    <w:bookmarkEnd w:id="6"/>
    <w:p w14:paraId="06DDC253" w14:textId="2CED14F0" w:rsidR="00D51E7C" w:rsidRDefault="00D51E7C" w:rsidP="00D51E7C">
      <w:pPr>
        <w:pStyle w:val="MText"/>
      </w:pPr>
      <w:r w:rsidRPr="003B0D67">
        <w:t>•</w:t>
      </w:r>
      <w:r w:rsidRPr="003B0D67">
        <w:tab/>
        <w:t>At regional and global levels</w:t>
      </w:r>
      <w:r w:rsidR="008D2ACB" w:rsidRPr="0058678F">
        <w:t>:</w:t>
      </w:r>
    </w:p>
    <w:p w14:paraId="38FA9F8B" w14:textId="608D08F3" w:rsidR="009E5292" w:rsidRDefault="008D2ACB" w:rsidP="009E5292">
      <w:pPr>
        <w:pStyle w:val="NormalWeb"/>
        <w:shd w:val="clear" w:color="auto" w:fill="FFFFFF"/>
        <w:spacing w:before="240" w:beforeAutospacing="0" w:after="240" w:afterAutospacing="0"/>
        <w:jc w:val="both"/>
        <w:rPr>
          <w:rFonts w:asciiTheme="minorHAnsi" w:hAnsiTheme="minorHAnsi"/>
          <w:color w:val="4A4A4A"/>
          <w:sz w:val="21"/>
          <w:szCs w:val="21"/>
          <w:lang w:val="en-GB" w:eastAsia="en-GB"/>
        </w:rPr>
      </w:pPr>
      <w:r w:rsidRPr="00BC58D2">
        <w:rPr>
          <w:rFonts w:asciiTheme="minorHAnsi" w:hAnsiTheme="minorHAnsi"/>
          <w:color w:val="4A4A4A"/>
          <w:sz w:val="21"/>
          <w:szCs w:val="21"/>
          <w:lang w:val="en-GB" w:eastAsia="en-GB"/>
        </w:rPr>
        <w:t xml:space="preserve">As SDG 12.7.1. indicator measures the number of countries implementing SPP action plans and policies, </w:t>
      </w:r>
      <w:r w:rsidR="002C7D01" w:rsidRPr="00BC58D2">
        <w:rPr>
          <w:rFonts w:asciiTheme="minorHAnsi" w:hAnsiTheme="minorHAnsi"/>
          <w:color w:val="4A4A4A"/>
          <w:sz w:val="21"/>
          <w:szCs w:val="21"/>
          <w:lang w:val="en-GB" w:eastAsia="en-GB"/>
        </w:rPr>
        <w:t>therefore missing data (countries not submitting reports on their implementation of SPP) do not significantly impact the indicator measurement.</w:t>
      </w:r>
    </w:p>
    <w:p w14:paraId="314AC749" w14:textId="7563005C" w:rsidR="009E5292" w:rsidRPr="009E5292" w:rsidRDefault="00E1050F">
      <w:pPr>
        <w:pStyle w:val="MHeader2"/>
      </w:pPr>
      <w:r w:rsidRPr="00FC478D">
        <w:t>4.g. Regional aggregations</w:t>
      </w:r>
    </w:p>
    <w:p w14:paraId="5B702140" w14:textId="7211C846" w:rsidR="005979AC" w:rsidRPr="00BC58D2" w:rsidRDefault="005979AC" w:rsidP="003B0D67">
      <w:pPr>
        <w:pStyle w:val="NormalWeb"/>
        <w:shd w:val="clear" w:color="auto" w:fill="FFFFFF"/>
        <w:spacing w:before="240" w:beforeAutospacing="0" w:after="240" w:afterAutospacing="0"/>
        <w:jc w:val="both"/>
        <w:rPr>
          <w:bCs/>
          <w:color w:val="4A4A4A"/>
          <w:sz w:val="21"/>
          <w:szCs w:val="21"/>
          <w:lang w:val="en-US" w:eastAsia="en-GB"/>
        </w:rPr>
      </w:pPr>
      <w:r w:rsidRPr="003B0D67">
        <w:rPr>
          <w:rFonts w:asciiTheme="minorHAnsi" w:hAnsiTheme="minorHAnsi"/>
          <w:color w:val="4A4A4A"/>
          <w:sz w:val="21"/>
          <w:szCs w:val="21"/>
          <w:lang w:val="en-GB" w:eastAsia="en-GB"/>
        </w:rPr>
        <w:t>The data will be aggregated at the sub-regional, regional and global levels.</w:t>
      </w:r>
      <w:r w:rsidR="009E5292">
        <w:rPr>
          <w:rFonts w:asciiTheme="minorHAnsi" w:hAnsiTheme="minorHAnsi"/>
          <w:color w:val="4A4A4A"/>
          <w:sz w:val="21"/>
          <w:szCs w:val="21"/>
          <w:lang w:val="en-GB" w:eastAsia="en-GB"/>
        </w:rPr>
        <w:t xml:space="preserve"> </w:t>
      </w:r>
      <w:r w:rsidRPr="00BC58D2">
        <w:rPr>
          <w:rFonts w:asciiTheme="minorHAnsi" w:hAnsiTheme="minorHAnsi"/>
          <w:color w:val="4A4A4A"/>
          <w:sz w:val="21"/>
          <w:szCs w:val="21"/>
          <w:lang w:val="en-GB" w:eastAsia="en-GB"/>
        </w:rPr>
        <w:t xml:space="preserve">For the aggregation methods, please see:  </w:t>
      </w:r>
      <w:hyperlink r:id="rId11" w:history="1">
        <w:r w:rsidRPr="00BC58D2">
          <w:rPr>
            <w:rFonts w:asciiTheme="minorHAnsi" w:hAnsiTheme="minorHAnsi"/>
            <w:color w:val="4A4A4A"/>
            <w:sz w:val="21"/>
            <w:szCs w:val="21"/>
            <w:lang w:val="en-GB" w:eastAsia="en-GB"/>
          </w:rPr>
          <w:t>http://uneplive.unep.org/media/docs/graphs/aggregation_methods.pdf</w:t>
        </w:r>
      </w:hyperlink>
      <w:r w:rsidRPr="003B0D67">
        <w:rPr>
          <w:rFonts w:asciiTheme="minorHAnsi" w:hAnsiTheme="minorHAnsi"/>
          <w:color w:val="4A4A4A"/>
          <w:sz w:val="21"/>
          <w:szCs w:val="21"/>
          <w:lang w:val="en-GB" w:eastAsia="en-GB"/>
        </w:rPr>
        <w:t xml:space="preserve">.    </w:t>
      </w:r>
    </w:p>
    <w:p w14:paraId="71213FF2" w14:textId="43D5E1BC"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23231923" w14:textId="04CF6233" w:rsidR="00B80021" w:rsidRDefault="003235E5" w:rsidP="00BC58D2">
      <w:pPr>
        <w:pStyle w:val="MText"/>
        <w:jc w:val="both"/>
      </w:pPr>
      <w:r>
        <w:t xml:space="preserve">To facilitate 2020 data </w:t>
      </w:r>
      <w:r w:rsidRPr="00D60F56">
        <w:t xml:space="preserve">collection </w:t>
      </w:r>
      <w:r>
        <w:t>exercise</w:t>
      </w:r>
      <w:r w:rsidR="00FA5520">
        <w:t xml:space="preserve"> and ensure the widest possible participation</w:t>
      </w:r>
      <w:r>
        <w:t xml:space="preserve">, the following documents were </w:t>
      </w:r>
      <w:r w:rsidR="00FA5520">
        <w:t xml:space="preserve">made available to focal points and </w:t>
      </w:r>
      <w:r>
        <w:t xml:space="preserve">developed </w:t>
      </w:r>
      <w:r w:rsidRPr="003B0D67">
        <w:rPr>
          <w:u w:val="single"/>
        </w:rPr>
        <w:t>in three languages</w:t>
      </w:r>
      <w:r w:rsidR="00FA5520">
        <w:t xml:space="preserve"> (</w:t>
      </w:r>
      <w:r>
        <w:t>English, Spanish and French</w:t>
      </w:r>
      <w:r w:rsidR="00FA5520">
        <w:t>):</w:t>
      </w:r>
    </w:p>
    <w:p w14:paraId="41F257BD" w14:textId="0E5F4EBA" w:rsidR="00B80021" w:rsidRDefault="003235E5" w:rsidP="00BC58D2">
      <w:pPr>
        <w:pStyle w:val="MText"/>
        <w:numPr>
          <w:ilvl w:val="0"/>
          <w:numId w:val="6"/>
        </w:numPr>
        <w:jc w:val="both"/>
      </w:pPr>
      <w:r>
        <w:t>2020 Excel-based calculation tool used for the collection of inputs;</w:t>
      </w:r>
    </w:p>
    <w:p w14:paraId="4BE93346" w14:textId="516572DC" w:rsidR="003235E5" w:rsidRDefault="003235E5" w:rsidP="00BC58D2">
      <w:pPr>
        <w:pStyle w:val="MText"/>
        <w:numPr>
          <w:ilvl w:val="0"/>
          <w:numId w:val="6"/>
        </w:numPr>
        <w:jc w:val="both"/>
      </w:pPr>
      <w:r>
        <w:t>2020 Reporting Instructions;</w:t>
      </w:r>
    </w:p>
    <w:p w14:paraId="1D4B9F21" w14:textId="1126310F" w:rsidR="003235E5" w:rsidRDefault="003235E5" w:rsidP="00BC58D2">
      <w:pPr>
        <w:pStyle w:val="MText"/>
        <w:numPr>
          <w:ilvl w:val="0"/>
          <w:numId w:val="6"/>
        </w:numPr>
        <w:jc w:val="both"/>
      </w:pPr>
      <w:r>
        <w:t>2020 Frequently Asked Questions</w:t>
      </w:r>
      <w:r w:rsidR="003B0D67">
        <w:t>.</w:t>
      </w:r>
    </w:p>
    <w:p w14:paraId="3354C874" w14:textId="6B4D4098" w:rsidR="006A6612" w:rsidRPr="003B0D67" w:rsidRDefault="00FA5520" w:rsidP="000D19CB">
      <w:pPr>
        <w:pStyle w:val="NormalWeb"/>
        <w:shd w:val="clear" w:color="auto" w:fill="FFFFFF"/>
        <w:spacing w:before="240" w:beforeAutospacing="0" w:after="240" w:afterAutospacing="0"/>
        <w:jc w:val="both"/>
        <w:rPr>
          <w:rFonts w:asciiTheme="minorHAnsi" w:hAnsiTheme="minorHAnsi"/>
          <w:color w:val="4A4A4A"/>
          <w:sz w:val="21"/>
          <w:szCs w:val="21"/>
          <w:lang w:val="en-GB" w:eastAsia="en-GB"/>
        </w:rPr>
      </w:pPr>
      <w:r w:rsidRPr="003B0D67">
        <w:rPr>
          <w:rFonts w:asciiTheme="minorHAnsi" w:hAnsiTheme="minorHAnsi"/>
          <w:color w:val="4A4A4A"/>
          <w:sz w:val="21"/>
          <w:szCs w:val="21"/>
          <w:lang w:val="en-GB" w:eastAsia="en-GB"/>
        </w:rPr>
        <w:t>Four</w:t>
      </w:r>
      <w:r w:rsidR="00D60F56">
        <w:rPr>
          <w:rFonts w:asciiTheme="minorHAnsi" w:hAnsiTheme="minorHAnsi"/>
          <w:color w:val="4A4A4A"/>
          <w:sz w:val="21"/>
          <w:szCs w:val="21"/>
          <w:lang w:val="en-GB" w:eastAsia="en-GB"/>
        </w:rPr>
        <w:t xml:space="preserve"> explanatory</w:t>
      </w:r>
      <w:r w:rsidRPr="003B0D67">
        <w:rPr>
          <w:rFonts w:asciiTheme="minorHAnsi" w:hAnsiTheme="minorHAnsi"/>
          <w:color w:val="4A4A4A"/>
          <w:sz w:val="21"/>
          <w:szCs w:val="21"/>
          <w:lang w:val="en-GB" w:eastAsia="en-GB"/>
        </w:rPr>
        <w:t xml:space="preserve"> webinars were also held in October 2020 in these three languages (two webinars in English, one in French, one in Spanish) to introduce the Calculation methodology and reporting tools, and provide the necessary guidance</w:t>
      </w:r>
      <w:r w:rsidR="00652883" w:rsidRPr="003B0D67">
        <w:rPr>
          <w:rFonts w:asciiTheme="minorHAnsi" w:hAnsiTheme="minorHAnsi"/>
          <w:color w:val="4A4A4A"/>
          <w:sz w:val="21"/>
          <w:szCs w:val="21"/>
          <w:lang w:val="en-GB" w:eastAsia="en-GB"/>
        </w:rPr>
        <w:t xml:space="preserve"> on how to provide the required data.</w:t>
      </w:r>
      <w:r w:rsidR="006A6612" w:rsidRPr="003B0D67">
        <w:rPr>
          <w:rFonts w:asciiTheme="minorHAnsi" w:hAnsiTheme="minorHAnsi"/>
          <w:color w:val="4A4A4A"/>
          <w:sz w:val="21"/>
          <w:szCs w:val="21"/>
          <w:lang w:val="en-GB" w:eastAsia="en-GB"/>
        </w:rPr>
        <w:t xml:space="preserve"> Those webinars were attended by a total of 79 government representatives from 43 countries.</w:t>
      </w:r>
    </w:p>
    <w:p w14:paraId="21FEF4FF" w14:textId="54778735" w:rsidR="00B323C7" w:rsidRDefault="00B323C7" w:rsidP="00BC58D2">
      <w:pPr>
        <w:pStyle w:val="MText"/>
        <w:jc w:val="both"/>
      </w:pPr>
      <w:r>
        <w:lastRenderedPageBreak/>
        <w:t xml:space="preserve">Public procurement systems differing significantly, and the responsibility of SPP/GPP/SRPP policy development or implementation belonging to different ministries or institutions in each country, it is not however in UNEP’s capacity to provide more detailed </w:t>
      </w:r>
      <w:r w:rsidR="00D31EF4">
        <w:t xml:space="preserve">assistance </w:t>
      </w:r>
      <w:r>
        <w:t xml:space="preserve">to national focal points on data </w:t>
      </w:r>
      <w:r w:rsidR="007D43DB">
        <w:t xml:space="preserve">collection </w:t>
      </w:r>
      <w:r>
        <w:t xml:space="preserve">specific to each sub-indicator, as those data may originate either from Public Procurement Agencies, Treasury Boards (Ministry of Finance), </w:t>
      </w:r>
      <w:r w:rsidR="00E57AE3">
        <w:t xml:space="preserve">or </w:t>
      </w:r>
      <w:r>
        <w:t>Ministries of Environment</w:t>
      </w:r>
      <w:r w:rsidR="00E57AE3">
        <w:t>.</w:t>
      </w:r>
    </w:p>
    <w:p w14:paraId="79A5A615" w14:textId="77777777" w:rsidR="00652883" w:rsidRDefault="00652883"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05910153" w14:textId="77777777" w:rsidR="000D19CB" w:rsidRPr="00A96255" w:rsidRDefault="000D19CB" w:rsidP="00576CFA">
      <w:pPr>
        <w:pStyle w:val="MText"/>
      </w:pPr>
    </w:p>
    <w:p w14:paraId="17B979CA" w14:textId="449C0153" w:rsidR="00E1050F" w:rsidRPr="00A96255" w:rsidRDefault="00E1050F" w:rsidP="00F719A8">
      <w:pPr>
        <w:pStyle w:val="MHeader2"/>
      </w:pPr>
      <w:r w:rsidRPr="00A96255">
        <w:t>4.j Quality assurance</w:t>
      </w:r>
    </w:p>
    <w:p w14:paraId="03EF3244" w14:textId="2DAA6C73" w:rsidR="00EC2915" w:rsidRDefault="00EC2915" w:rsidP="00576CFA">
      <w:pPr>
        <w:pStyle w:val="MText"/>
      </w:pPr>
    </w:p>
    <w:p w14:paraId="7E0F4028" w14:textId="77777777" w:rsidR="00F208F2" w:rsidRPr="00A96255" w:rsidRDefault="00F208F2"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326EB0AB" w14:textId="77777777" w:rsidR="00576CFA" w:rsidRPr="00A96255" w:rsidRDefault="00576CFA" w:rsidP="00576CFA">
      <w:pPr>
        <w:pStyle w:val="MText"/>
      </w:pP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6611FBDD" w14:textId="77777777" w:rsidR="00721A69" w:rsidRPr="00721A69" w:rsidRDefault="00D51E7C" w:rsidP="00A95974">
      <w:pPr>
        <w:keepNext/>
        <w:keepLines/>
        <w:shd w:val="clear" w:color="auto" w:fill="FFFFFF"/>
        <w:spacing w:after="0"/>
        <w:rPr>
          <w:rFonts w:eastAsia="Times New Roman" w:cstheme="minorHAnsi"/>
          <w:color w:val="4A4A4A"/>
          <w:sz w:val="21"/>
          <w:szCs w:val="21"/>
          <w:lang w:eastAsia="en-GB"/>
        </w:rPr>
      </w:pPr>
      <w:r w:rsidRPr="00721A69">
        <w:rPr>
          <w:color w:val="4A4A4A"/>
        </w:rPr>
        <w:t>Data availability:</w:t>
      </w:r>
    </w:p>
    <w:p w14:paraId="3A213463" w14:textId="505CF9F7" w:rsidR="00A95974" w:rsidRPr="00721A69" w:rsidRDefault="00A95974" w:rsidP="00A95974">
      <w:pPr>
        <w:keepNext/>
        <w:keepLines/>
        <w:shd w:val="clear" w:color="auto" w:fill="FFFFFF"/>
        <w:spacing w:after="0"/>
        <w:rPr>
          <w:rFonts w:eastAsia="Times New Roman" w:cstheme="minorHAnsi"/>
          <w:color w:val="4A4A4A"/>
          <w:sz w:val="21"/>
          <w:szCs w:val="21"/>
          <w:lang w:eastAsia="en-GB"/>
        </w:rPr>
      </w:pPr>
      <w:r w:rsidRPr="00721A69">
        <w:rPr>
          <w:rFonts w:eastAsia="Times New Roman" w:cstheme="minorHAnsi"/>
          <w:color w:val="4A4A4A"/>
          <w:sz w:val="21"/>
          <w:szCs w:val="21"/>
          <w:lang w:eastAsia="en-GB"/>
        </w:rPr>
        <w:t xml:space="preserve">Data will be made available for all member states </w:t>
      </w:r>
      <w:r w:rsidR="009C0540">
        <w:rPr>
          <w:rFonts w:eastAsia="Times New Roman" w:cstheme="minorHAnsi"/>
          <w:color w:val="4A4A4A"/>
          <w:sz w:val="21"/>
          <w:szCs w:val="21"/>
          <w:lang w:eastAsia="en-GB"/>
        </w:rPr>
        <w:t>which</w:t>
      </w:r>
      <w:r w:rsidR="009C0540" w:rsidRPr="00721A69">
        <w:rPr>
          <w:rFonts w:eastAsia="Times New Roman" w:cstheme="minorHAnsi"/>
          <w:color w:val="4A4A4A"/>
          <w:sz w:val="21"/>
          <w:szCs w:val="21"/>
          <w:lang w:eastAsia="en-GB"/>
        </w:rPr>
        <w:t xml:space="preserve"> </w:t>
      </w:r>
      <w:r w:rsidRPr="00721A69">
        <w:rPr>
          <w:rFonts w:eastAsia="Times New Roman" w:cstheme="minorHAnsi"/>
          <w:color w:val="4A4A4A"/>
          <w:sz w:val="21"/>
          <w:szCs w:val="21"/>
          <w:lang w:eastAsia="en-GB"/>
        </w:rPr>
        <w:t xml:space="preserve">have sustainable public procurement policies and action plans, as defined by the indicator. </w:t>
      </w:r>
    </w:p>
    <w:p w14:paraId="2D0542F7" w14:textId="3DE6BFAB" w:rsidR="00D51E7C" w:rsidRPr="00721A69" w:rsidRDefault="00D51E7C" w:rsidP="00576CFA">
      <w:pPr>
        <w:pStyle w:val="MText"/>
      </w:pPr>
    </w:p>
    <w:p w14:paraId="0FEBB414" w14:textId="77777777" w:rsidR="00721A69" w:rsidRPr="00721A69" w:rsidRDefault="00D51E7C" w:rsidP="00051881">
      <w:pPr>
        <w:keepNext/>
        <w:keepLines/>
        <w:shd w:val="clear" w:color="auto" w:fill="FFFFFF"/>
        <w:spacing w:after="0"/>
        <w:jc w:val="both"/>
        <w:rPr>
          <w:rFonts w:eastAsia="Times New Roman" w:cstheme="minorHAnsi"/>
          <w:color w:val="4A4A4A"/>
          <w:sz w:val="21"/>
          <w:szCs w:val="21"/>
          <w:lang w:eastAsia="en-GB"/>
        </w:rPr>
      </w:pPr>
      <w:r w:rsidRPr="00721A69">
        <w:rPr>
          <w:color w:val="4A4A4A"/>
        </w:rPr>
        <w:t>Time series:</w:t>
      </w:r>
    </w:p>
    <w:p w14:paraId="38D86F76" w14:textId="19EE4DA0" w:rsidR="00051881" w:rsidRPr="00721A69" w:rsidRDefault="00051881" w:rsidP="00051881">
      <w:pPr>
        <w:keepNext/>
        <w:keepLines/>
        <w:shd w:val="clear" w:color="auto" w:fill="FFFFFF"/>
        <w:spacing w:after="0"/>
        <w:jc w:val="both"/>
        <w:rPr>
          <w:rFonts w:eastAsia="Times New Roman" w:cstheme="minorHAnsi"/>
          <w:color w:val="4A4A4A"/>
          <w:sz w:val="21"/>
          <w:szCs w:val="21"/>
          <w:lang w:eastAsia="en-GB"/>
        </w:rPr>
      </w:pPr>
      <w:r w:rsidRPr="00721A69">
        <w:rPr>
          <w:rFonts w:eastAsia="Times New Roman" w:cstheme="minorHAnsi"/>
          <w:color w:val="4A4A4A"/>
          <w:sz w:val="21"/>
          <w:szCs w:val="21"/>
          <w:lang w:eastAsia="en-GB"/>
        </w:rPr>
        <w:t>The reporting on this indicator will be biennial</w:t>
      </w:r>
      <w:r w:rsidR="009C0540">
        <w:rPr>
          <w:rFonts w:eastAsia="Times New Roman" w:cstheme="minorHAnsi"/>
          <w:color w:val="4A4A4A"/>
          <w:sz w:val="21"/>
          <w:szCs w:val="21"/>
          <w:lang w:eastAsia="en-GB"/>
        </w:rPr>
        <w:t>, starting from 2021.</w:t>
      </w:r>
    </w:p>
    <w:p w14:paraId="760C013A" w14:textId="4597FCBD" w:rsidR="00D51E7C" w:rsidRPr="00721A69" w:rsidRDefault="00D51E7C" w:rsidP="00576CFA">
      <w:pPr>
        <w:pStyle w:val="MText"/>
      </w:pPr>
    </w:p>
    <w:p w14:paraId="33B534DA" w14:textId="77777777" w:rsidR="00721A69" w:rsidRPr="00721A69" w:rsidRDefault="00D51E7C" w:rsidP="00305E27">
      <w:pPr>
        <w:shd w:val="clear" w:color="auto" w:fill="FFFFFF"/>
        <w:spacing w:after="0"/>
        <w:rPr>
          <w:rFonts w:eastAsia="Times New Roman" w:cstheme="minorHAnsi"/>
          <w:bCs/>
          <w:color w:val="4A4A4A"/>
          <w:sz w:val="21"/>
          <w:szCs w:val="21"/>
          <w:lang w:eastAsia="en-GB"/>
        </w:rPr>
      </w:pPr>
      <w:r w:rsidRPr="00721A69">
        <w:rPr>
          <w:color w:val="4A4A4A"/>
        </w:rPr>
        <w:t>Disaggregation:</w:t>
      </w:r>
    </w:p>
    <w:p w14:paraId="4D86BC47" w14:textId="0E86A98E" w:rsidR="00305E27" w:rsidRDefault="00305E27" w:rsidP="00305E27">
      <w:pPr>
        <w:shd w:val="clear" w:color="auto" w:fill="FFFFFF"/>
        <w:spacing w:after="0"/>
        <w:rPr>
          <w:rFonts w:eastAsia="Times New Roman" w:cstheme="minorHAnsi"/>
          <w:bCs/>
          <w:color w:val="4A4A4A"/>
          <w:sz w:val="21"/>
          <w:szCs w:val="21"/>
          <w:lang w:eastAsia="en-GB"/>
        </w:rPr>
      </w:pPr>
      <w:r w:rsidRPr="00721A69">
        <w:rPr>
          <w:rFonts w:eastAsia="Times New Roman" w:cstheme="minorHAnsi"/>
          <w:bCs/>
          <w:color w:val="4A4A4A"/>
          <w:sz w:val="21"/>
          <w:szCs w:val="21"/>
          <w:lang w:eastAsia="en-GB"/>
        </w:rPr>
        <w:t xml:space="preserve">Administrative level of the public </w:t>
      </w:r>
      <w:r w:rsidRPr="00532B37">
        <w:rPr>
          <w:rFonts w:eastAsia="Times New Roman" w:cstheme="minorHAnsi"/>
          <w:bCs/>
          <w:color w:val="4A4A4A"/>
          <w:sz w:val="21"/>
          <w:szCs w:val="21"/>
          <w:lang w:eastAsia="en-GB"/>
        </w:rPr>
        <w:t>procurement: national, provincial</w:t>
      </w:r>
      <w:r w:rsidR="003E0A23">
        <w:rPr>
          <w:rFonts w:eastAsia="Times New Roman" w:cstheme="minorHAnsi"/>
          <w:bCs/>
          <w:color w:val="4A4A4A"/>
          <w:sz w:val="21"/>
          <w:szCs w:val="21"/>
          <w:lang w:eastAsia="en-GB"/>
        </w:rPr>
        <w:t>,</w:t>
      </w:r>
      <w:r w:rsidRPr="00532B37">
        <w:rPr>
          <w:rFonts w:eastAsia="Times New Roman" w:cstheme="minorHAnsi"/>
          <w:bCs/>
          <w:color w:val="4A4A4A"/>
          <w:sz w:val="21"/>
          <w:szCs w:val="21"/>
          <w:lang w:eastAsia="en-GB"/>
        </w:rPr>
        <w:t xml:space="preserve"> or local.</w:t>
      </w:r>
      <w:r>
        <w:rPr>
          <w:rFonts w:eastAsia="Times New Roman" w:cstheme="minorHAnsi"/>
          <w:bCs/>
          <w:color w:val="4A4A4A"/>
          <w:sz w:val="21"/>
          <w:szCs w:val="21"/>
          <w:lang w:eastAsia="en-GB"/>
        </w:rPr>
        <w:t xml:space="preserve"> </w:t>
      </w:r>
    </w:p>
    <w:p w14:paraId="3F3DB0C4" w14:textId="3778FD5C" w:rsidR="009C0540" w:rsidRPr="00532B37" w:rsidRDefault="009C0540" w:rsidP="00305E27">
      <w:pPr>
        <w:shd w:val="clear" w:color="auto" w:fill="FFFFFF"/>
        <w:spacing w:after="0"/>
        <w:rPr>
          <w:rFonts w:eastAsia="Times New Roman" w:cstheme="minorHAnsi"/>
          <w:bCs/>
          <w:color w:val="4A4A4A"/>
          <w:sz w:val="21"/>
          <w:szCs w:val="21"/>
          <w:lang w:eastAsia="en-GB"/>
        </w:rPr>
      </w:pPr>
      <w:r w:rsidRPr="00333C41">
        <w:rPr>
          <w:rFonts w:eastAsia="Times New Roman" w:cstheme="minorHAnsi"/>
          <w:bCs/>
          <w:color w:val="4A4A4A"/>
          <w:sz w:val="21"/>
          <w:szCs w:val="21"/>
          <w:lang w:eastAsia="en-GB"/>
        </w:rPr>
        <w:t xml:space="preserve">Note: Information has been received at those three levels in </w:t>
      </w:r>
      <w:r w:rsidR="00DB4CC6" w:rsidRPr="00333C41">
        <w:rPr>
          <w:rFonts w:eastAsia="Times New Roman" w:cstheme="minorHAnsi"/>
          <w:bCs/>
          <w:color w:val="4A4A4A"/>
          <w:sz w:val="21"/>
          <w:szCs w:val="21"/>
          <w:lang w:eastAsia="en-GB"/>
        </w:rPr>
        <w:t>the first data collection exercise</w:t>
      </w:r>
      <w:r w:rsidRPr="00333C41">
        <w:rPr>
          <w:rFonts w:eastAsia="Times New Roman" w:cstheme="minorHAnsi"/>
          <w:bCs/>
          <w:color w:val="4A4A4A"/>
          <w:sz w:val="21"/>
          <w:szCs w:val="21"/>
          <w:lang w:eastAsia="en-GB"/>
        </w:rPr>
        <w:t>,</w:t>
      </w:r>
      <w:r w:rsidR="00901254" w:rsidRPr="00333C41">
        <w:rPr>
          <w:rFonts w:eastAsia="Times New Roman" w:cstheme="minorHAnsi"/>
          <w:bCs/>
          <w:color w:val="4A4A4A"/>
          <w:sz w:val="21"/>
          <w:szCs w:val="21"/>
          <w:lang w:eastAsia="en-GB"/>
        </w:rPr>
        <w:t xml:space="preserve"> but only in rare occasions. D</w:t>
      </w:r>
      <w:r w:rsidRPr="00333C41">
        <w:rPr>
          <w:rFonts w:eastAsia="Times New Roman" w:cstheme="minorHAnsi"/>
          <w:bCs/>
          <w:color w:val="4A4A4A"/>
          <w:sz w:val="21"/>
          <w:szCs w:val="21"/>
          <w:lang w:eastAsia="en-GB"/>
        </w:rPr>
        <w:t xml:space="preserve">ata can be provided </w:t>
      </w:r>
      <w:r w:rsidRPr="00333C41">
        <w:rPr>
          <w:rFonts w:eastAsia="Times New Roman" w:cstheme="minorHAnsi"/>
          <w:bCs/>
          <w:color w:val="4A4A4A"/>
          <w:sz w:val="21"/>
          <w:szCs w:val="21"/>
          <w:u w:val="single"/>
          <w:lang w:eastAsia="en-GB"/>
        </w:rPr>
        <w:t>separately</w:t>
      </w:r>
      <w:r w:rsidRPr="00333C41">
        <w:rPr>
          <w:rFonts w:eastAsia="Times New Roman" w:cstheme="minorHAnsi"/>
          <w:bCs/>
          <w:color w:val="4A4A4A"/>
          <w:sz w:val="21"/>
          <w:szCs w:val="21"/>
          <w:lang w:eastAsia="en-GB"/>
        </w:rPr>
        <w:t xml:space="preserve"> by administrative level</w:t>
      </w:r>
      <w:r w:rsidR="00901254" w:rsidRPr="00333C41">
        <w:rPr>
          <w:rFonts w:eastAsia="Times New Roman" w:cstheme="minorHAnsi"/>
          <w:bCs/>
          <w:color w:val="4A4A4A"/>
          <w:sz w:val="21"/>
          <w:szCs w:val="21"/>
          <w:lang w:eastAsia="en-GB"/>
        </w:rPr>
        <w:t xml:space="preserve"> (whenever data was received from subnational governments)</w:t>
      </w:r>
      <w:r w:rsidR="00DB4CC6" w:rsidRPr="00333C41">
        <w:rPr>
          <w:rFonts w:eastAsia="Times New Roman" w:cstheme="minorHAnsi"/>
          <w:bCs/>
          <w:color w:val="4A4A4A"/>
          <w:sz w:val="21"/>
          <w:szCs w:val="21"/>
          <w:lang w:eastAsia="en-GB"/>
        </w:rPr>
        <w:t xml:space="preserve"> </w:t>
      </w:r>
      <w:r w:rsidR="007D6F9E" w:rsidRPr="00333C41">
        <w:rPr>
          <w:rFonts w:eastAsia="Times New Roman" w:cstheme="minorHAnsi"/>
          <w:bCs/>
          <w:color w:val="4A4A4A"/>
          <w:sz w:val="21"/>
          <w:szCs w:val="21"/>
          <w:lang w:eastAsia="en-GB"/>
        </w:rPr>
        <w:t>for some provincial or local governments only.</w:t>
      </w:r>
    </w:p>
    <w:p w14:paraId="72C7C370" w14:textId="0980CCA8" w:rsidR="00D51E7C" w:rsidRDefault="00D51E7C" w:rsidP="00BC58D2">
      <w:pPr>
        <w:shd w:val="clear" w:color="auto" w:fill="FFFFFF"/>
        <w:spacing w:after="0"/>
      </w:pP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3508AEC0" w14:textId="3F315830" w:rsidR="00576CFA" w:rsidRPr="00721A69" w:rsidRDefault="00576CFA" w:rsidP="00576CFA">
      <w:pPr>
        <w:pStyle w:val="MText"/>
      </w:pPr>
    </w:p>
    <w:p w14:paraId="5B6F64FF" w14:textId="6310F184" w:rsidR="00721A69" w:rsidRPr="00721A69" w:rsidRDefault="00D51E7C" w:rsidP="005D7760">
      <w:pPr>
        <w:pBdr>
          <w:bottom w:val="single" w:sz="12" w:space="4" w:color="DDDDDD"/>
        </w:pBdr>
        <w:shd w:val="clear" w:color="auto" w:fill="FFFFFF"/>
        <w:spacing w:after="0"/>
        <w:outlineLvl w:val="2"/>
        <w:rPr>
          <w:rFonts w:eastAsia="Times New Roman" w:cstheme="minorHAnsi"/>
          <w:bCs/>
          <w:color w:val="4A4A4A"/>
          <w:sz w:val="21"/>
          <w:szCs w:val="21"/>
          <w:lang w:eastAsia="en-GB"/>
        </w:rPr>
      </w:pPr>
      <w:r w:rsidRPr="00721A69">
        <w:rPr>
          <w:color w:val="4A4A4A"/>
        </w:rPr>
        <w:t>Sources of discrepancies:</w:t>
      </w:r>
    </w:p>
    <w:p w14:paraId="302B685B" w14:textId="285DA94B" w:rsidR="005D7760" w:rsidRPr="00721A69" w:rsidRDefault="005D7760" w:rsidP="005D7760">
      <w:pPr>
        <w:pBdr>
          <w:bottom w:val="single" w:sz="12" w:space="4" w:color="DDDDDD"/>
        </w:pBdr>
        <w:shd w:val="clear" w:color="auto" w:fill="FFFFFF"/>
        <w:spacing w:after="0"/>
        <w:outlineLvl w:val="2"/>
        <w:rPr>
          <w:rFonts w:eastAsia="Times New Roman" w:cstheme="minorHAnsi"/>
          <w:bCs/>
          <w:color w:val="4A4A4A"/>
          <w:sz w:val="21"/>
          <w:szCs w:val="21"/>
          <w:lang w:eastAsia="en-GB"/>
        </w:rPr>
      </w:pPr>
      <w:r w:rsidRPr="00721A69">
        <w:rPr>
          <w:rFonts w:eastAsia="Times New Roman" w:cstheme="minorHAnsi"/>
          <w:bCs/>
          <w:color w:val="4A4A4A"/>
          <w:sz w:val="21"/>
          <w:szCs w:val="21"/>
          <w:lang w:eastAsia="en-GB"/>
        </w:rPr>
        <w:t>N/A</w:t>
      </w:r>
    </w:p>
    <w:p w14:paraId="2C346CBA" w14:textId="77777777" w:rsidR="00721A69" w:rsidRPr="00532B37" w:rsidRDefault="00721A69" w:rsidP="00721A69">
      <w:pPr>
        <w:pStyle w:val="MText"/>
      </w:pPr>
    </w:p>
    <w:p w14:paraId="3C2D4870" w14:textId="77777777" w:rsidR="00D51E7C" w:rsidRDefault="00D51E7C" w:rsidP="00576CFA">
      <w:pPr>
        <w:pStyle w:val="MText"/>
      </w:pP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4F0FBAF3" w14:textId="77777777" w:rsidR="00AA053A" w:rsidRDefault="00AA053A" w:rsidP="00721A69">
      <w:pPr>
        <w:pStyle w:val="MText"/>
      </w:pPr>
      <w:r>
        <w:t>SPP index methodology</w:t>
      </w:r>
    </w:p>
    <w:p w14:paraId="2983E1CF" w14:textId="77777777" w:rsidR="00AA053A" w:rsidRPr="00532B37" w:rsidRDefault="00AA053A" w:rsidP="00721A69">
      <w:pPr>
        <w:pStyle w:val="MText"/>
      </w:pPr>
    </w:p>
    <w:p w14:paraId="437A7A65" w14:textId="77777777" w:rsidR="00AA053A" w:rsidRPr="008E77B3" w:rsidRDefault="00AA053A" w:rsidP="00721A69">
      <w:pPr>
        <w:pStyle w:val="MText"/>
        <w:rPr>
          <w:rStyle w:val="Hyperlink"/>
        </w:rPr>
      </w:pPr>
      <w:r w:rsidRPr="00532B37">
        <w:lastRenderedPageBreak/>
        <w:t xml:space="preserve">EU publications </w:t>
      </w:r>
      <w:hyperlink r:id="rId12" w:history="1">
        <w:r w:rsidRPr="00532B37">
          <w:rPr>
            <w:i/>
            <w:iCs/>
          </w:rPr>
          <w:t>Buying Social – A guide to taking account of social considerations in public procurement</w:t>
        </w:r>
      </w:hyperlink>
      <w:r w:rsidRPr="00532B37">
        <w:rPr>
          <w:i/>
          <w:iCs/>
        </w:rPr>
        <w:t xml:space="preserve">, </w:t>
      </w:r>
      <w:r w:rsidRPr="00532B37">
        <w:rPr>
          <w:lang w:val="en-US"/>
        </w:rPr>
        <w:t xml:space="preserve">accessible at </w:t>
      </w:r>
      <w:hyperlink r:id="rId13" w:history="1">
        <w:r w:rsidRPr="008E77B3">
          <w:rPr>
            <w:rStyle w:val="Hyperlink"/>
          </w:rPr>
          <w:t>https://publications.europa.eu/en/publication-detail/-/publication/cb70c481-0e29-4040-9be2-c408cddf081f/language-en</w:t>
        </w:r>
      </w:hyperlink>
    </w:p>
    <w:p w14:paraId="4CB6575F" w14:textId="77777777" w:rsidR="00AA053A" w:rsidRPr="00532B37" w:rsidRDefault="00AA053A" w:rsidP="00AA053A">
      <w:pPr>
        <w:shd w:val="clear" w:color="auto" w:fill="FFFFFF"/>
        <w:spacing w:after="0"/>
        <w:rPr>
          <w:rFonts w:cstheme="minorHAnsi"/>
        </w:rPr>
      </w:pPr>
    </w:p>
    <w:p w14:paraId="0A42B9D2" w14:textId="77777777" w:rsidR="00AA053A" w:rsidRPr="00532B37" w:rsidRDefault="00AA053A" w:rsidP="00AA053A">
      <w:pPr>
        <w:autoSpaceDE w:val="0"/>
        <w:adjustRightInd w:val="0"/>
        <w:rPr>
          <w:rFonts w:cstheme="minorHAnsi"/>
          <w:sz w:val="20"/>
          <w:szCs w:val="20"/>
          <w:lang w:val="en-US"/>
        </w:rPr>
      </w:pPr>
      <w:r w:rsidRPr="00721A69">
        <w:rPr>
          <w:rStyle w:val="MTextChar"/>
          <w:rFonts w:eastAsiaTheme="minorEastAsia"/>
        </w:rPr>
        <w:t>United Nations Convention on the Rights of Persons with Disabilities:</w:t>
      </w:r>
      <w:r w:rsidRPr="00532B37">
        <w:rPr>
          <w:rFonts w:cstheme="minorHAnsi"/>
          <w:sz w:val="20"/>
          <w:szCs w:val="20"/>
          <w:lang w:val="en-US"/>
        </w:rPr>
        <w:t xml:space="preserve"> </w:t>
      </w:r>
      <w:r w:rsidRPr="008E77B3">
        <w:rPr>
          <w:rStyle w:val="Hyperlink"/>
        </w:rPr>
        <w:t>http://register.consilium.europa.eu/pdf/en/09/st15/st15540.en09.pdf</w:t>
      </w:r>
    </w:p>
    <w:p w14:paraId="3CDF6CC1" w14:textId="77777777" w:rsidR="00AA053A" w:rsidRPr="00532B37" w:rsidRDefault="00AA053A" w:rsidP="00721A69">
      <w:pPr>
        <w:pStyle w:val="MText"/>
        <w:rPr>
          <w:lang w:val="en-US"/>
        </w:rPr>
      </w:pPr>
      <w:r w:rsidRPr="00532B37">
        <w:rPr>
          <w:lang w:val="en-US"/>
        </w:rPr>
        <w:t xml:space="preserve">European Commission </w:t>
      </w:r>
      <w:r>
        <w:rPr>
          <w:lang w:val="en-US"/>
        </w:rPr>
        <w:t>Life-C</w:t>
      </w:r>
      <w:r w:rsidRPr="00532B37">
        <w:rPr>
          <w:lang w:val="en-US"/>
        </w:rPr>
        <w:t>ycle costing</w:t>
      </w:r>
    </w:p>
    <w:p w14:paraId="625BFC2E" w14:textId="77777777" w:rsidR="00AA053A" w:rsidRPr="008E77B3" w:rsidRDefault="00BC58D2" w:rsidP="00AA053A">
      <w:pPr>
        <w:shd w:val="clear" w:color="auto" w:fill="FFFFFF"/>
        <w:spacing w:after="0"/>
        <w:rPr>
          <w:rStyle w:val="Hyperlink"/>
        </w:rPr>
      </w:pPr>
      <w:hyperlink r:id="rId14" w:history="1">
        <w:r w:rsidR="00AA053A" w:rsidRPr="008E77B3">
          <w:rPr>
            <w:rStyle w:val="Hyperlink"/>
          </w:rPr>
          <w:t>https://ec.europa.eu/environment/gpp/lcc.htm</w:t>
        </w:r>
      </w:hyperlink>
    </w:p>
    <w:p w14:paraId="7DE66944" w14:textId="77777777" w:rsidR="00AA053A" w:rsidRPr="00532B37" w:rsidRDefault="00AA053A" w:rsidP="00AA053A">
      <w:pPr>
        <w:shd w:val="clear" w:color="auto" w:fill="FFFFFF"/>
        <w:spacing w:after="0"/>
        <w:rPr>
          <w:rFonts w:cstheme="minorHAnsi"/>
          <w:sz w:val="20"/>
          <w:szCs w:val="20"/>
          <w:lang w:val="en-US"/>
        </w:rPr>
      </w:pPr>
    </w:p>
    <w:p w14:paraId="0B615FE0" w14:textId="77777777" w:rsidR="00AA053A" w:rsidRPr="008E77B3" w:rsidRDefault="00AA053A" w:rsidP="00721A69">
      <w:pPr>
        <w:pStyle w:val="MText"/>
      </w:pPr>
      <w:r w:rsidRPr="008E77B3">
        <w:t>Multistakeholder Advisory Committee of the 10YFP SPP Programme from: Procuring the Future – the report of the UK Sustainable Procurement Task Force, June 2006</w:t>
      </w:r>
    </w:p>
    <w:p w14:paraId="31A7C5C1" w14:textId="77777777" w:rsidR="00AA053A" w:rsidRPr="00532B37" w:rsidRDefault="00AA053A" w:rsidP="00721A69">
      <w:pPr>
        <w:pStyle w:val="MText"/>
        <w:rPr>
          <w:i/>
        </w:rPr>
      </w:pPr>
    </w:p>
    <w:p w14:paraId="0C5A4B7E" w14:textId="77777777" w:rsidR="00AA053A" w:rsidRDefault="00AA053A" w:rsidP="00721A69">
      <w:pPr>
        <w:pStyle w:val="MText"/>
      </w:pPr>
      <w:r w:rsidRPr="008E77B3">
        <w:t>EU Public Procurement Registration - Most economically advantageous tender (MEAT)</w:t>
      </w:r>
    </w:p>
    <w:p w14:paraId="7F0ED419" w14:textId="77777777" w:rsidR="00AA053A" w:rsidRDefault="00BC58D2" w:rsidP="00AA053A">
      <w:pPr>
        <w:shd w:val="clear" w:color="auto" w:fill="FFFFFF"/>
        <w:spacing w:after="0"/>
        <w:rPr>
          <w:rFonts w:cstheme="minorHAnsi"/>
          <w:sz w:val="20"/>
          <w:szCs w:val="20"/>
        </w:rPr>
      </w:pPr>
      <w:hyperlink r:id="rId15" w:history="1">
        <w:r w:rsidR="00AA053A" w:rsidRPr="00136B59">
          <w:rPr>
            <w:rStyle w:val="Hyperlink"/>
            <w:rFonts w:cstheme="minorHAnsi"/>
            <w:sz w:val="20"/>
            <w:szCs w:val="20"/>
          </w:rPr>
          <w:t>https://www.felp.ac.uk/content/most-economically-advantageous-tender-meat</w:t>
        </w:r>
      </w:hyperlink>
    </w:p>
    <w:p w14:paraId="76EBAD2D" w14:textId="77777777" w:rsidR="00AA053A" w:rsidRPr="008E77B3" w:rsidRDefault="00AA053A" w:rsidP="00AA053A">
      <w:pPr>
        <w:shd w:val="clear" w:color="auto" w:fill="FFFFFF"/>
        <w:spacing w:after="0"/>
        <w:rPr>
          <w:rFonts w:cstheme="minorHAnsi"/>
          <w:sz w:val="20"/>
          <w:szCs w:val="20"/>
        </w:rPr>
      </w:pPr>
    </w:p>
    <w:p w14:paraId="4A5F9F58" w14:textId="77777777" w:rsidR="00AA053A" w:rsidRDefault="00AA053A" w:rsidP="00721A69">
      <w:pPr>
        <w:pStyle w:val="MText"/>
      </w:pPr>
      <w:r w:rsidRPr="008E77B3">
        <w:t>UNEP Global review of sustainable public procurement 2017</w:t>
      </w:r>
    </w:p>
    <w:p w14:paraId="5170C085" w14:textId="77777777" w:rsidR="00AA053A" w:rsidRPr="008E77B3" w:rsidRDefault="00BC58D2" w:rsidP="00AA053A">
      <w:pPr>
        <w:shd w:val="clear" w:color="auto" w:fill="FFFFFF"/>
        <w:spacing w:after="0"/>
        <w:rPr>
          <w:rFonts w:cstheme="minorHAnsi"/>
          <w:sz w:val="20"/>
          <w:szCs w:val="20"/>
        </w:rPr>
      </w:pPr>
      <w:hyperlink r:id="rId16" w:history="1">
        <w:r w:rsidR="00AA053A" w:rsidRPr="00532B37">
          <w:rPr>
            <w:rFonts w:cstheme="minorHAnsi"/>
            <w:color w:val="0000FF"/>
            <w:u w:val="single"/>
          </w:rPr>
          <w:t>https://wedocs.unep.org/bitstream/handle/20.500.11822/20919/GlobalReview_Sust_Procurement.pdf?sequence=1&amp;isAllowed=y</w:t>
        </w:r>
      </w:hyperlink>
    </w:p>
    <w:p w14:paraId="384B0992" w14:textId="36889691" w:rsidR="00186795" w:rsidRDefault="00186795"/>
    <w:sectPr w:rsidR="00186795">
      <w:headerReference w:type="default" r:id="rId17"/>
      <w:pgSz w:w="11906" w:h="16838"/>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27FA6" w16cex:dateUtc="2021-04-15T06:02:00Z"/>
  <w16cex:commentExtensible w16cex:durableId="2422801D" w16cex:dateUtc="2021-04-15T06:04:00Z"/>
  <w16cex:commentExtensible w16cex:durableId="24228047" w16cex:dateUtc="2021-04-15T06:05: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1115B2" w14:textId="77777777" w:rsidR="007B4BEE" w:rsidRDefault="007B4BEE" w:rsidP="00573C0B">
      <w:pPr>
        <w:spacing w:after="0" w:line="240" w:lineRule="auto"/>
      </w:pPr>
      <w:r>
        <w:separator/>
      </w:r>
    </w:p>
  </w:endnote>
  <w:endnote w:type="continuationSeparator" w:id="0">
    <w:p w14:paraId="1CB42A4C" w14:textId="77777777" w:rsidR="007B4BEE" w:rsidRDefault="007B4BEE" w:rsidP="00573C0B">
      <w:pPr>
        <w:spacing w:after="0" w:line="240" w:lineRule="auto"/>
      </w:pPr>
      <w:r>
        <w:continuationSeparator/>
      </w:r>
    </w:p>
  </w:endnote>
  <w:endnote w:type="continuationNotice" w:id="1">
    <w:p w14:paraId="6BA85085" w14:textId="77777777" w:rsidR="007B4BEE" w:rsidRDefault="007B4BE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F1A29D" w14:textId="77777777" w:rsidR="007B4BEE" w:rsidRDefault="007B4BEE" w:rsidP="00573C0B">
      <w:pPr>
        <w:spacing w:after="0" w:line="240" w:lineRule="auto"/>
      </w:pPr>
      <w:r>
        <w:separator/>
      </w:r>
    </w:p>
  </w:footnote>
  <w:footnote w:type="continuationSeparator" w:id="0">
    <w:p w14:paraId="418D70DA" w14:textId="77777777" w:rsidR="007B4BEE" w:rsidRDefault="007B4BEE" w:rsidP="00573C0B">
      <w:pPr>
        <w:spacing w:after="0" w:line="240" w:lineRule="auto"/>
      </w:pPr>
      <w:r>
        <w:continuationSeparator/>
      </w:r>
    </w:p>
  </w:footnote>
  <w:footnote w:type="continuationNotice" w:id="1">
    <w:p w14:paraId="3090E641" w14:textId="77777777" w:rsidR="007B4BEE" w:rsidRDefault="007B4BEE">
      <w:pPr>
        <w:spacing w:after="0" w:line="240" w:lineRule="auto"/>
      </w:pPr>
    </w:p>
  </w:footnote>
  <w:footnote w:id="2">
    <w:p w14:paraId="247A21F8" w14:textId="271F0545" w:rsidR="00C52AAE" w:rsidRPr="00BC58D2" w:rsidRDefault="00C52AAE">
      <w:pPr>
        <w:pStyle w:val="FootnoteText"/>
        <w:rPr>
          <w:lang w:val="en-US"/>
        </w:rPr>
      </w:pPr>
      <w:r>
        <w:rPr>
          <w:rStyle w:val="FootnoteReference"/>
        </w:rPr>
        <w:footnoteRef/>
      </w:r>
      <w:r>
        <w:t xml:space="preserve"> </w:t>
      </w:r>
      <w:r w:rsidRPr="00BC58D2">
        <w:rPr>
          <w:rFonts w:eastAsia="Times New Roman" w:cstheme="minorHAnsi"/>
          <w:color w:val="4A4A4A"/>
          <w:sz w:val="18"/>
          <w:szCs w:val="18"/>
          <w:lang w:eastAsia="en-GB"/>
        </w:rPr>
        <w:t>We consider the 2020 data collection exercise as a pilot exercise which will help us refine the metadata and collection method.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0136CC51" w:rsidR="00C52AAE" w:rsidRPr="00757E8A" w:rsidRDefault="00C52AAE" w:rsidP="00077F46">
    <w:pPr>
      <w:pStyle w:val="Header"/>
      <w:jc w:val="right"/>
      <w:rPr>
        <w:color w:val="404040" w:themeColor="text1" w:themeTint="BF"/>
        <w:sz w:val="18"/>
        <w:szCs w:val="18"/>
      </w:rPr>
    </w:pPr>
    <w:bookmarkStart w:id="7" w:name="_Hlk506197003"/>
    <w:bookmarkStart w:id="8" w:name="_Hlk506197004"/>
    <w:bookmarkStart w:id="9" w:name="_Hlk506197005"/>
    <w:bookmarkStart w:id="10" w:name="_Hlk516233502"/>
    <w:bookmarkStart w:id="11" w:name="_Hlk516233503"/>
    <w:bookmarkStart w:id="12" w:name="_Hlk516233504"/>
    <w:r w:rsidRPr="00757E8A">
      <w:rPr>
        <w:color w:val="404040" w:themeColor="text1" w:themeTint="BF"/>
        <w:sz w:val="18"/>
        <w:szCs w:val="18"/>
      </w:rPr>
      <w:t>Last updated:</w:t>
    </w:r>
    <w:bookmarkEnd w:id="7"/>
    <w:bookmarkEnd w:id="8"/>
    <w:bookmarkEnd w:id="9"/>
    <w:bookmarkEnd w:id="10"/>
    <w:bookmarkEnd w:id="11"/>
    <w:bookmarkEnd w:id="12"/>
    <w:r>
      <w:rPr>
        <w:color w:val="404040" w:themeColor="text1" w:themeTint="BF"/>
        <w:sz w:val="18"/>
        <w:szCs w:val="18"/>
      </w:rPr>
      <w:t xml:space="preserve"> </w:t>
    </w:r>
    <w:r w:rsidR="0095645E">
      <w:rPr>
        <w:color w:val="404040" w:themeColor="text1" w:themeTint="BF"/>
        <w:sz w:val="18"/>
        <w:szCs w:val="18"/>
      </w:rPr>
      <w:t>July</w:t>
    </w:r>
    <w:r>
      <w:rPr>
        <w:color w:val="404040" w:themeColor="text1" w:themeTint="BF"/>
        <w:sz w:val="18"/>
        <w:szCs w:val="18"/>
      </w:rPr>
      <w:t xml:space="preserve">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A3D18"/>
    <w:multiLevelType w:val="hybridMultilevel"/>
    <w:tmpl w:val="D740343C"/>
    <w:lvl w:ilvl="0" w:tplc="0ED8D5E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813B5A"/>
    <w:multiLevelType w:val="hybridMultilevel"/>
    <w:tmpl w:val="9CB0AA42"/>
    <w:lvl w:ilvl="0" w:tplc="B4C471C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521F79"/>
    <w:multiLevelType w:val="hybridMultilevel"/>
    <w:tmpl w:val="9A08A120"/>
    <w:lvl w:ilvl="0" w:tplc="9CFAB12C">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57A4C9C"/>
    <w:multiLevelType w:val="hybridMultilevel"/>
    <w:tmpl w:val="B8423D12"/>
    <w:lvl w:ilvl="0" w:tplc="093245DE">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7"/>
  </w:num>
  <w:num w:numId="4">
    <w:abstractNumId w:val="2"/>
  </w:num>
  <w:num w:numId="5">
    <w:abstractNumId w:val="3"/>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trackRevisions/>
  <w:documentProtection w:edit="forms" w:enforcement="0"/>
  <w:defaultTabStop w:val="720"/>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1B60"/>
    <w:rsid w:val="000070BA"/>
    <w:rsid w:val="00012331"/>
    <w:rsid w:val="000173F9"/>
    <w:rsid w:val="000273DA"/>
    <w:rsid w:val="000412A0"/>
    <w:rsid w:val="00044201"/>
    <w:rsid w:val="00045EDC"/>
    <w:rsid w:val="00047DDA"/>
    <w:rsid w:val="00051881"/>
    <w:rsid w:val="0005455A"/>
    <w:rsid w:val="000555C1"/>
    <w:rsid w:val="00071F07"/>
    <w:rsid w:val="0007759D"/>
    <w:rsid w:val="000777AB"/>
    <w:rsid w:val="00077F46"/>
    <w:rsid w:val="00080DFB"/>
    <w:rsid w:val="00081B24"/>
    <w:rsid w:val="00090FB1"/>
    <w:rsid w:val="000913AB"/>
    <w:rsid w:val="00096186"/>
    <w:rsid w:val="000A72E4"/>
    <w:rsid w:val="000B0E2F"/>
    <w:rsid w:val="000B2430"/>
    <w:rsid w:val="000D0B30"/>
    <w:rsid w:val="000D19CB"/>
    <w:rsid w:val="000D211F"/>
    <w:rsid w:val="000D2678"/>
    <w:rsid w:val="000D2F70"/>
    <w:rsid w:val="000E21F1"/>
    <w:rsid w:val="000E22AE"/>
    <w:rsid w:val="000E231B"/>
    <w:rsid w:val="000E5A95"/>
    <w:rsid w:val="000F04A8"/>
    <w:rsid w:val="000F573F"/>
    <w:rsid w:val="000F703E"/>
    <w:rsid w:val="00102EE5"/>
    <w:rsid w:val="00111D0F"/>
    <w:rsid w:val="00116211"/>
    <w:rsid w:val="001206FA"/>
    <w:rsid w:val="00120E86"/>
    <w:rsid w:val="00124A44"/>
    <w:rsid w:val="00125DE9"/>
    <w:rsid w:val="001332E0"/>
    <w:rsid w:val="00134DE7"/>
    <w:rsid w:val="00141539"/>
    <w:rsid w:val="00165EA3"/>
    <w:rsid w:val="00166307"/>
    <w:rsid w:val="00173D78"/>
    <w:rsid w:val="00185354"/>
    <w:rsid w:val="001854DC"/>
    <w:rsid w:val="00186795"/>
    <w:rsid w:val="001924DF"/>
    <w:rsid w:val="00194D09"/>
    <w:rsid w:val="001A7D5C"/>
    <w:rsid w:val="001B60AA"/>
    <w:rsid w:val="001B63C8"/>
    <w:rsid w:val="001B704D"/>
    <w:rsid w:val="001C1972"/>
    <w:rsid w:val="001C421F"/>
    <w:rsid w:val="001D360D"/>
    <w:rsid w:val="001D3845"/>
    <w:rsid w:val="001D42EE"/>
    <w:rsid w:val="001F4909"/>
    <w:rsid w:val="00212056"/>
    <w:rsid w:val="00222C40"/>
    <w:rsid w:val="002232A1"/>
    <w:rsid w:val="0023187E"/>
    <w:rsid w:val="002354EB"/>
    <w:rsid w:val="00257EA8"/>
    <w:rsid w:val="00261A8D"/>
    <w:rsid w:val="00271B45"/>
    <w:rsid w:val="00283646"/>
    <w:rsid w:val="00283C1C"/>
    <w:rsid w:val="002865FB"/>
    <w:rsid w:val="00291A00"/>
    <w:rsid w:val="00291A11"/>
    <w:rsid w:val="002A315C"/>
    <w:rsid w:val="002A3342"/>
    <w:rsid w:val="002A4530"/>
    <w:rsid w:val="002A64BA"/>
    <w:rsid w:val="002B4989"/>
    <w:rsid w:val="002B6ADE"/>
    <w:rsid w:val="002C2510"/>
    <w:rsid w:val="002C290F"/>
    <w:rsid w:val="002C7D01"/>
    <w:rsid w:val="002D714E"/>
    <w:rsid w:val="002E53C3"/>
    <w:rsid w:val="002F1468"/>
    <w:rsid w:val="002F1B12"/>
    <w:rsid w:val="002F2050"/>
    <w:rsid w:val="002F5F0C"/>
    <w:rsid w:val="00305E27"/>
    <w:rsid w:val="00314586"/>
    <w:rsid w:val="00317E60"/>
    <w:rsid w:val="00322ACB"/>
    <w:rsid w:val="003235E5"/>
    <w:rsid w:val="00325140"/>
    <w:rsid w:val="003265EB"/>
    <w:rsid w:val="003304A1"/>
    <w:rsid w:val="00333C41"/>
    <w:rsid w:val="003420BD"/>
    <w:rsid w:val="0034329E"/>
    <w:rsid w:val="00343FAA"/>
    <w:rsid w:val="00347F5E"/>
    <w:rsid w:val="00353C98"/>
    <w:rsid w:val="00367843"/>
    <w:rsid w:val="00371A20"/>
    <w:rsid w:val="003821B4"/>
    <w:rsid w:val="003827D1"/>
    <w:rsid w:val="00382CF3"/>
    <w:rsid w:val="0038451C"/>
    <w:rsid w:val="00387D52"/>
    <w:rsid w:val="0039496D"/>
    <w:rsid w:val="00395965"/>
    <w:rsid w:val="003A4240"/>
    <w:rsid w:val="003A7CEA"/>
    <w:rsid w:val="003B0D67"/>
    <w:rsid w:val="003B5FD9"/>
    <w:rsid w:val="003D4195"/>
    <w:rsid w:val="003D4D72"/>
    <w:rsid w:val="003E0A23"/>
    <w:rsid w:val="003F0BD3"/>
    <w:rsid w:val="003F278A"/>
    <w:rsid w:val="003F6E14"/>
    <w:rsid w:val="003F7A02"/>
    <w:rsid w:val="00412E08"/>
    <w:rsid w:val="0041576A"/>
    <w:rsid w:val="00422EA5"/>
    <w:rsid w:val="00422EFA"/>
    <w:rsid w:val="004265E8"/>
    <w:rsid w:val="0042750E"/>
    <w:rsid w:val="0042791F"/>
    <w:rsid w:val="00437654"/>
    <w:rsid w:val="004406E2"/>
    <w:rsid w:val="0044537C"/>
    <w:rsid w:val="004456ED"/>
    <w:rsid w:val="0044635B"/>
    <w:rsid w:val="00446512"/>
    <w:rsid w:val="00446577"/>
    <w:rsid w:val="0045440C"/>
    <w:rsid w:val="00457243"/>
    <w:rsid w:val="00471C17"/>
    <w:rsid w:val="00474ACC"/>
    <w:rsid w:val="0048045A"/>
    <w:rsid w:val="004841B8"/>
    <w:rsid w:val="004930F2"/>
    <w:rsid w:val="004A3BB8"/>
    <w:rsid w:val="004B0F1C"/>
    <w:rsid w:val="004C03BA"/>
    <w:rsid w:val="004D08E1"/>
    <w:rsid w:val="004D3B1B"/>
    <w:rsid w:val="004F036B"/>
    <w:rsid w:val="004F2EE6"/>
    <w:rsid w:val="00502DBA"/>
    <w:rsid w:val="005040C4"/>
    <w:rsid w:val="00506342"/>
    <w:rsid w:val="00507637"/>
    <w:rsid w:val="00507852"/>
    <w:rsid w:val="00513ACA"/>
    <w:rsid w:val="00514DBF"/>
    <w:rsid w:val="00530842"/>
    <w:rsid w:val="00547AA9"/>
    <w:rsid w:val="00550444"/>
    <w:rsid w:val="00550921"/>
    <w:rsid w:val="00563712"/>
    <w:rsid w:val="00573631"/>
    <w:rsid w:val="00573C0B"/>
    <w:rsid w:val="00576CFA"/>
    <w:rsid w:val="00577FB6"/>
    <w:rsid w:val="00581E7F"/>
    <w:rsid w:val="00583DC2"/>
    <w:rsid w:val="0058556D"/>
    <w:rsid w:val="0058678F"/>
    <w:rsid w:val="00592AF2"/>
    <w:rsid w:val="005947AD"/>
    <w:rsid w:val="00596063"/>
    <w:rsid w:val="00597748"/>
    <w:rsid w:val="005979AC"/>
    <w:rsid w:val="005979E8"/>
    <w:rsid w:val="005B4060"/>
    <w:rsid w:val="005C7724"/>
    <w:rsid w:val="005D0AF4"/>
    <w:rsid w:val="005D7760"/>
    <w:rsid w:val="005E54BD"/>
    <w:rsid w:val="005F6CCA"/>
    <w:rsid w:val="006104AF"/>
    <w:rsid w:val="00621893"/>
    <w:rsid w:val="0063047A"/>
    <w:rsid w:val="00631D99"/>
    <w:rsid w:val="006351E1"/>
    <w:rsid w:val="006369ED"/>
    <w:rsid w:val="006447B1"/>
    <w:rsid w:val="00652883"/>
    <w:rsid w:val="00653A0C"/>
    <w:rsid w:val="00662775"/>
    <w:rsid w:val="0066553C"/>
    <w:rsid w:val="00677A61"/>
    <w:rsid w:val="006852FC"/>
    <w:rsid w:val="006913BE"/>
    <w:rsid w:val="006940C5"/>
    <w:rsid w:val="006A2F1C"/>
    <w:rsid w:val="006A5B7A"/>
    <w:rsid w:val="006A6481"/>
    <w:rsid w:val="006A6612"/>
    <w:rsid w:val="006B40AB"/>
    <w:rsid w:val="006B5DC5"/>
    <w:rsid w:val="006C4BFD"/>
    <w:rsid w:val="006C68FB"/>
    <w:rsid w:val="006C7D30"/>
    <w:rsid w:val="006D55DD"/>
    <w:rsid w:val="006E3C08"/>
    <w:rsid w:val="00700ACF"/>
    <w:rsid w:val="00700C7F"/>
    <w:rsid w:val="00700D8D"/>
    <w:rsid w:val="00712487"/>
    <w:rsid w:val="007175DF"/>
    <w:rsid w:val="00721A69"/>
    <w:rsid w:val="007242BF"/>
    <w:rsid w:val="00732C42"/>
    <w:rsid w:val="0073435C"/>
    <w:rsid w:val="007530CA"/>
    <w:rsid w:val="00756D68"/>
    <w:rsid w:val="007578D9"/>
    <w:rsid w:val="00757E8A"/>
    <w:rsid w:val="00763E43"/>
    <w:rsid w:val="00764EB5"/>
    <w:rsid w:val="00772F7B"/>
    <w:rsid w:val="00777A95"/>
    <w:rsid w:val="00780D92"/>
    <w:rsid w:val="0078168A"/>
    <w:rsid w:val="00782416"/>
    <w:rsid w:val="00795F6A"/>
    <w:rsid w:val="007A7537"/>
    <w:rsid w:val="007B0364"/>
    <w:rsid w:val="007B35CD"/>
    <w:rsid w:val="007B4BEE"/>
    <w:rsid w:val="007C64BE"/>
    <w:rsid w:val="007D0981"/>
    <w:rsid w:val="007D1929"/>
    <w:rsid w:val="007D43DB"/>
    <w:rsid w:val="007D5430"/>
    <w:rsid w:val="007D6F9E"/>
    <w:rsid w:val="007E0792"/>
    <w:rsid w:val="007F3E97"/>
    <w:rsid w:val="00803CF1"/>
    <w:rsid w:val="0080768B"/>
    <w:rsid w:val="008104BB"/>
    <w:rsid w:val="008249C5"/>
    <w:rsid w:val="008375B0"/>
    <w:rsid w:val="008526F9"/>
    <w:rsid w:val="0085285E"/>
    <w:rsid w:val="00852E28"/>
    <w:rsid w:val="00853023"/>
    <w:rsid w:val="008534D4"/>
    <w:rsid w:val="008572CC"/>
    <w:rsid w:val="00876612"/>
    <w:rsid w:val="0087731A"/>
    <w:rsid w:val="00881E28"/>
    <w:rsid w:val="00894C4B"/>
    <w:rsid w:val="008A12E3"/>
    <w:rsid w:val="008A42FA"/>
    <w:rsid w:val="008A5D69"/>
    <w:rsid w:val="008B0AC7"/>
    <w:rsid w:val="008B14BA"/>
    <w:rsid w:val="008B1740"/>
    <w:rsid w:val="008C2335"/>
    <w:rsid w:val="008C67C1"/>
    <w:rsid w:val="008D16C1"/>
    <w:rsid w:val="008D1D39"/>
    <w:rsid w:val="008D2ACB"/>
    <w:rsid w:val="008E202F"/>
    <w:rsid w:val="008F07D2"/>
    <w:rsid w:val="00900D76"/>
    <w:rsid w:val="00901254"/>
    <w:rsid w:val="009052FA"/>
    <w:rsid w:val="00917851"/>
    <w:rsid w:val="00917F65"/>
    <w:rsid w:val="009311E7"/>
    <w:rsid w:val="00932A6A"/>
    <w:rsid w:val="00942694"/>
    <w:rsid w:val="0095645E"/>
    <w:rsid w:val="00973CB9"/>
    <w:rsid w:val="0097557E"/>
    <w:rsid w:val="009A3406"/>
    <w:rsid w:val="009A7E3A"/>
    <w:rsid w:val="009B1265"/>
    <w:rsid w:val="009B2020"/>
    <w:rsid w:val="009B4A15"/>
    <w:rsid w:val="009B5693"/>
    <w:rsid w:val="009C0540"/>
    <w:rsid w:val="009C0FB7"/>
    <w:rsid w:val="009C61A2"/>
    <w:rsid w:val="009C78E4"/>
    <w:rsid w:val="009C7AEB"/>
    <w:rsid w:val="009D445D"/>
    <w:rsid w:val="009D687E"/>
    <w:rsid w:val="009E0EF0"/>
    <w:rsid w:val="009E3EF3"/>
    <w:rsid w:val="009E5292"/>
    <w:rsid w:val="009E7E54"/>
    <w:rsid w:val="009F429C"/>
    <w:rsid w:val="009F641E"/>
    <w:rsid w:val="009F6DE7"/>
    <w:rsid w:val="00A0625F"/>
    <w:rsid w:val="00A10583"/>
    <w:rsid w:val="00A36886"/>
    <w:rsid w:val="00A37FCB"/>
    <w:rsid w:val="00A42D06"/>
    <w:rsid w:val="00A44665"/>
    <w:rsid w:val="00A5378C"/>
    <w:rsid w:val="00A53BDE"/>
    <w:rsid w:val="00A54863"/>
    <w:rsid w:val="00A61D74"/>
    <w:rsid w:val="00A66BD3"/>
    <w:rsid w:val="00A6783C"/>
    <w:rsid w:val="00A713EB"/>
    <w:rsid w:val="00A8688B"/>
    <w:rsid w:val="00A91163"/>
    <w:rsid w:val="00A9286F"/>
    <w:rsid w:val="00A95974"/>
    <w:rsid w:val="00A96255"/>
    <w:rsid w:val="00AA053A"/>
    <w:rsid w:val="00AB285B"/>
    <w:rsid w:val="00AC37C7"/>
    <w:rsid w:val="00AE2C52"/>
    <w:rsid w:val="00AE3322"/>
    <w:rsid w:val="00AF5552"/>
    <w:rsid w:val="00AF5CB4"/>
    <w:rsid w:val="00AF5ED1"/>
    <w:rsid w:val="00AF62B8"/>
    <w:rsid w:val="00AF687C"/>
    <w:rsid w:val="00AF71D6"/>
    <w:rsid w:val="00B121B3"/>
    <w:rsid w:val="00B216EE"/>
    <w:rsid w:val="00B30648"/>
    <w:rsid w:val="00B3175F"/>
    <w:rsid w:val="00B31E2C"/>
    <w:rsid w:val="00B323C7"/>
    <w:rsid w:val="00B329B0"/>
    <w:rsid w:val="00B402D8"/>
    <w:rsid w:val="00B42031"/>
    <w:rsid w:val="00B4237C"/>
    <w:rsid w:val="00B42FE8"/>
    <w:rsid w:val="00B478AD"/>
    <w:rsid w:val="00B52AFD"/>
    <w:rsid w:val="00B54077"/>
    <w:rsid w:val="00B63775"/>
    <w:rsid w:val="00B73538"/>
    <w:rsid w:val="00B80021"/>
    <w:rsid w:val="00B8087E"/>
    <w:rsid w:val="00B97062"/>
    <w:rsid w:val="00BA2C53"/>
    <w:rsid w:val="00BA7632"/>
    <w:rsid w:val="00BB646E"/>
    <w:rsid w:val="00BC58D2"/>
    <w:rsid w:val="00BD1BA1"/>
    <w:rsid w:val="00BE3F58"/>
    <w:rsid w:val="00BF46C9"/>
    <w:rsid w:val="00C019E5"/>
    <w:rsid w:val="00C03BCF"/>
    <w:rsid w:val="00C1251F"/>
    <w:rsid w:val="00C317D5"/>
    <w:rsid w:val="00C35BC4"/>
    <w:rsid w:val="00C410CD"/>
    <w:rsid w:val="00C43F5B"/>
    <w:rsid w:val="00C4544C"/>
    <w:rsid w:val="00C52AAE"/>
    <w:rsid w:val="00C642A0"/>
    <w:rsid w:val="00C71F9C"/>
    <w:rsid w:val="00C74828"/>
    <w:rsid w:val="00C75225"/>
    <w:rsid w:val="00C820C4"/>
    <w:rsid w:val="00C938A5"/>
    <w:rsid w:val="00C94879"/>
    <w:rsid w:val="00CA67CD"/>
    <w:rsid w:val="00CB4371"/>
    <w:rsid w:val="00CC516D"/>
    <w:rsid w:val="00CC5C0D"/>
    <w:rsid w:val="00CE388E"/>
    <w:rsid w:val="00CE626F"/>
    <w:rsid w:val="00CF0D7C"/>
    <w:rsid w:val="00D0114A"/>
    <w:rsid w:val="00D06324"/>
    <w:rsid w:val="00D13ACB"/>
    <w:rsid w:val="00D16893"/>
    <w:rsid w:val="00D24330"/>
    <w:rsid w:val="00D25546"/>
    <w:rsid w:val="00D31EF4"/>
    <w:rsid w:val="00D40056"/>
    <w:rsid w:val="00D51E7C"/>
    <w:rsid w:val="00D549C3"/>
    <w:rsid w:val="00D54F29"/>
    <w:rsid w:val="00D60F56"/>
    <w:rsid w:val="00D7020C"/>
    <w:rsid w:val="00D70AD9"/>
    <w:rsid w:val="00D72152"/>
    <w:rsid w:val="00D7369F"/>
    <w:rsid w:val="00D94BA5"/>
    <w:rsid w:val="00D95071"/>
    <w:rsid w:val="00D9510F"/>
    <w:rsid w:val="00DA615C"/>
    <w:rsid w:val="00DB4CC6"/>
    <w:rsid w:val="00DC1216"/>
    <w:rsid w:val="00DC2551"/>
    <w:rsid w:val="00DC5BF0"/>
    <w:rsid w:val="00DD1BC6"/>
    <w:rsid w:val="00DE5DC3"/>
    <w:rsid w:val="00E00D8A"/>
    <w:rsid w:val="00E02A2C"/>
    <w:rsid w:val="00E1050F"/>
    <w:rsid w:val="00E11604"/>
    <w:rsid w:val="00E11D92"/>
    <w:rsid w:val="00E130A0"/>
    <w:rsid w:val="00E210C4"/>
    <w:rsid w:val="00E23DB7"/>
    <w:rsid w:val="00E3124F"/>
    <w:rsid w:val="00E362DA"/>
    <w:rsid w:val="00E379EA"/>
    <w:rsid w:val="00E46D96"/>
    <w:rsid w:val="00E52CCA"/>
    <w:rsid w:val="00E57AE3"/>
    <w:rsid w:val="00E66409"/>
    <w:rsid w:val="00E7276D"/>
    <w:rsid w:val="00E7698B"/>
    <w:rsid w:val="00E81D5B"/>
    <w:rsid w:val="00E976B9"/>
    <w:rsid w:val="00EA05D3"/>
    <w:rsid w:val="00EA2D29"/>
    <w:rsid w:val="00EA70DF"/>
    <w:rsid w:val="00EB19AD"/>
    <w:rsid w:val="00EB22E0"/>
    <w:rsid w:val="00EB2F31"/>
    <w:rsid w:val="00EB6493"/>
    <w:rsid w:val="00EC2915"/>
    <w:rsid w:val="00ED05A9"/>
    <w:rsid w:val="00ED1BA0"/>
    <w:rsid w:val="00ED39F1"/>
    <w:rsid w:val="00EF28DB"/>
    <w:rsid w:val="00EF734D"/>
    <w:rsid w:val="00F17257"/>
    <w:rsid w:val="00F208F2"/>
    <w:rsid w:val="00F34D24"/>
    <w:rsid w:val="00F4130B"/>
    <w:rsid w:val="00F50F8B"/>
    <w:rsid w:val="00F556A2"/>
    <w:rsid w:val="00F719A8"/>
    <w:rsid w:val="00F878B9"/>
    <w:rsid w:val="00FA1834"/>
    <w:rsid w:val="00FA5520"/>
    <w:rsid w:val="00FA63F3"/>
    <w:rsid w:val="00FB24E8"/>
    <w:rsid w:val="00FB3B2B"/>
    <w:rsid w:val="00FB6236"/>
    <w:rsid w:val="00FC0728"/>
    <w:rsid w:val="00FC18DA"/>
    <w:rsid w:val="00FC3917"/>
    <w:rsid w:val="00FC478D"/>
    <w:rsid w:val="00FC532F"/>
    <w:rsid w:val="00FD4224"/>
    <w:rsid w:val="00FD60DA"/>
    <w:rsid w:val="00FF0053"/>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semiHidden/>
    <w:unhideWhenUsed/>
    <w:qFormat/>
    <w:rsid w:val="002F1B1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aliases w:val="heading 2,List Paragraph 1"/>
    <w:basedOn w:val="Normal"/>
    <w:link w:val="ListParagraphChar"/>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3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ListParagraphChar">
    <w:name w:val="List Paragraph Char"/>
    <w:aliases w:val="heading 2 Char,List Paragraph 1 Char"/>
    <w:link w:val="ListParagraph"/>
    <w:uiPriority w:val="34"/>
    <w:rsid w:val="00044201"/>
  </w:style>
  <w:style w:type="character" w:customStyle="1" w:styleId="Heading2Char">
    <w:name w:val="Heading 2 Char"/>
    <w:basedOn w:val="DefaultParagraphFont"/>
    <w:link w:val="Heading2"/>
    <w:uiPriority w:val="9"/>
    <w:semiHidden/>
    <w:rsid w:val="002F1B12"/>
    <w:rPr>
      <w:rFonts w:asciiTheme="majorHAnsi" w:eastAsiaTheme="majorEastAsia" w:hAnsiTheme="majorHAnsi" w:cstheme="majorBidi"/>
      <w:color w:val="365F91" w:themeColor="accent1" w:themeShade="BF"/>
      <w:sz w:val="26"/>
      <w:szCs w:val="26"/>
    </w:rPr>
  </w:style>
  <w:style w:type="character" w:customStyle="1" w:styleId="CommentTextChar1">
    <w:name w:val="Comment Text Char1"/>
    <w:basedOn w:val="DefaultParagraphFont"/>
    <w:rsid w:val="002F1B12"/>
    <w:rPr>
      <w:rFonts w:ascii="Times New Roman" w:hAnsi="Times New Roman"/>
      <w:color w:val="000000"/>
      <w:sz w:val="20"/>
      <w:szCs w:val="20"/>
      <w:lang w:val="en-GB"/>
    </w:rPr>
  </w:style>
  <w:style w:type="paragraph" w:styleId="NormalWeb">
    <w:name w:val="Normal (Web)"/>
    <w:basedOn w:val="Normal"/>
    <w:uiPriority w:val="99"/>
    <w:unhideWhenUsed/>
    <w:rsid w:val="002F1B12"/>
    <w:pPr>
      <w:spacing w:before="100" w:beforeAutospacing="1" w:after="100" w:afterAutospacing="1" w:line="240" w:lineRule="auto"/>
    </w:pPr>
    <w:rPr>
      <w:rFonts w:ascii="Times New Roman" w:eastAsia="Times New Roman" w:hAnsi="Times New Roman" w:cs="Times New Roman"/>
      <w:sz w:val="24"/>
      <w:szCs w:val="24"/>
      <w:lang w:val="fr-FR"/>
    </w:rPr>
  </w:style>
  <w:style w:type="paragraph" w:styleId="FootnoteText">
    <w:name w:val="footnote text"/>
    <w:basedOn w:val="Normal"/>
    <w:link w:val="FootnoteTextChar"/>
    <w:uiPriority w:val="99"/>
    <w:semiHidden/>
    <w:unhideWhenUsed/>
    <w:rsid w:val="00FC478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478D"/>
    <w:rPr>
      <w:sz w:val="20"/>
      <w:szCs w:val="20"/>
    </w:rPr>
  </w:style>
  <w:style w:type="character" w:styleId="FootnoteReference">
    <w:name w:val="footnote reference"/>
    <w:basedOn w:val="DefaultParagraphFont"/>
    <w:uiPriority w:val="99"/>
    <w:semiHidden/>
    <w:unhideWhenUsed/>
    <w:rsid w:val="00FC478D"/>
    <w:rPr>
      <w:vertAlign w:val="superscript"/>
    </w:rPr>
  </w:style>
  <w:style w:type="paragraph" w:styleId="Revision">
    <w:name w:val="Revision"/>
    <w:hidden/>
    <w:uiPriority w:val="99"/>
    <w:semiHidden/>
    <w:rsid w:val="006940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ublications.europa.eu/en/publication-detail/-/publication/cb70c481-0e29-4040-9be2-c408cddf081f/language-en"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publications.europa.eu/en/publication-detail/-/publication/cb70c481-0e29-4040-9be2-c408cddf081f/language-en"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edocs.unep.org/bitstream/handle/20.500.11822/20919/GlobalReview_Sust_Procurement.pdf?sequence=1&amp;isAllowed=y" TargetMode="Externa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uneplive.unep.org/media/docs/graphs/aggregation_methods.pdf" TargetMode="External"/><Relationship Id="rId5" Type="http://schemas.openxmlformats.org/officeDocument/2006/relationships/numbering" Target="numbering.xml"/><Relationship Id="rId15" Type="http://schemas.openxmlformats.org/officeDocument/2006/relationships/hyperlink" Target="https://www.felp.ac.uk/content/most-economically-advantageous-tender-meat"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c.europa.eu/environment/gpp/lcc.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597A22-7BCB-4E17-AD05-698BA4F6D47D}">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f2d2d782-0088-4826-96df-71eba56e6d2e"/>
    <ds:schemaRef ds:uri="d114b01d-ae01-4749-b845-9d88e7ef5c0e"/>
    <ds:schemaRef ds:uri="http://www.w3.org/XML/1998/namespace"/>
    <ds:schemaRef ds:uri="http://purl.org/dc/dcmitype/"/>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EB82D899-1C32-4025-96EB-F50358444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2978</Words>
  <Characters>16975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2</cp:revision>
  <cp:lastPrinted>2016-07-16T14:25:00Z</cp:lastPrinted>
  <dcterms:created xsi:type="dcterms:W3CDTF">2021-07-06T04:04:00Z</dcterms:created>
  <dcterms:modified xsi:type="dcterms:W3CDTF">2021-07-06T04:04:00Z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