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51BFEDA" w14:textId="77777777" w:rsidR="00306467" w:rsidRPr="00F247FA" w:rsidRDefault="00306467" w:rsidP="004B2A57">
      <w:pPr>
        <w:pStyle w:val="MGTHeader"/>
      </w:pPr>
      <w:r w:rsidRPr="00F247FA">
        <w:t>Goal 12. Ensure sustainable consumption and production patterns</w:t>
      </w:r>
    </w:p>
    <w:p w14:paraId="084142D2" w14:textId="77777777" w:rsidR="00D24330" w:rsidRPr="00A96255" w:rsidRDefault="00D24330" w:rsidP="00D24330">
      <w:pPr>
        <w:pStyle w:val="MIndHeader"/>
      </w:pPr>
      <w:r w:rsidRPr="00A96255">
        <w:t>0.b. Target</w:t>
      </w:r>
    </w:p>
    <w:p w14:paraId="3186BB41" w14:textId="77777777" w:rsidR="003213F4" w:rsidRPr="0018642E" w:rsidRDefault="003213F4" w:rsidP="004B2A57">
      <w:pPr>
        <w:pStyle w:val="MGTHeader"/>
      </w:pPr>
      <w:r w:rsidRPr="00F247FA">
        <w:t>Target: 12.a Support developing countries to strengthen their scientific and technological capacity to move towards more sustainable patterns of consumption and production</w:t>
      </w:r>
    </w:p>
    <w:p w14:paraId="3E67E7E0" w14:textId="77777777" w:rsidR="00D24330" w:rsidRPr="00A96255" w:rsidRDefault="00D24330" w:rsidP="00D24330">
      <w:pPr>
        <w:pStyle w:val="MIndHeader"/>
      </w:pPr>
      <w:r w:rsidRPr="00A96255">
        <w:t>0.c. Indicator</w:t>
      </w:r>
    </w:p>
    <w:p w14:paraId="0769C681" w14:textId="77777777" w:rsidR="00E46ED8" w:rsidRPr="00C719D7" w:rsidRDefault="00E46ED8" w:rsidP="004B2A57">
      <w:pPr>
        <w:pStyle w:val="MGTHeader"/>
        <w:rPr>
          <w:color w:val="000000" w:themeColor="text1"/>
        </w:rPr>
      </w:pPr>
      <w:r w:rsidRPr="00C719D7">
        <w:t>Indicator: 12.a.1 Installed renewable energy-generating capacity in developing countries (in watts per capita)</w:t>
      </w:r>
    </w:p>
    <w:p w14:paraId="37E5E4F6" w14:textId="77777777" w:rsidR="00D24330" w:rsidRPr="00A96255" w:rsidRDefault="00D24330" w:rsidP="00D24330">
      <w:pPr>
        <w:pStyle w:val="MIndHeader"/>
      </w:pPr>
      <w:r w:rsidRPr="00A96255">
        <w:t>0.d. Series</w:t>
      </w:r>
    </w:p>
    <w:p w14:paraId="771888BA" w14:textId="6EC5E947"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993324B" w:rsidR="00D24330" w:rsidRPr="00A96255" w:rsidRDefault="009E1979" w:rsidP="00D24330">
      <w:pPr>
        <w:pStyle w:val="MGTHeader"/>
      </w:pPr>
      <w:r>
        <w:t>March 2021</w:t>
      </w:r>
      <w:bookmarkStart w:id="0" w:name="_GoBack"/>
      <w:bookmarkEnd w:id="0"/>
    </w:p>
    <w:p w14:paraId="415C9FF1" w14:textId="77777777" w:rsidR="00D24330" w:rsidRPr="00A96255" w:rsidRDefault="00D24330" w:rsidP="00D24330">
      <w:pPr>
        <w:pStyle w:val="MIndHeader"/>
      </w:pPr>
      <w:r w:rsidRPr="00A96255">
        <w:t>0.f. Related indicators</w:t>
      </w:r>
    </w:p>
    <w:p w14:paraId="21524279" w14:textId="27290758" w:rsidR="00D24330" w:rsidRPr="00A96255" w:rsidRDefault="00B74889" w:rsidP="00D24330">
      <w:pPr>
        <w:pStyle w:val="MGTHeader"/>
      </w:pPr>
      <w:r w:rsidRPr="00B74889">
        <w:t>Not applicable</w:t>
      </w:r>
    </w:p>
    <w:p w14:paraId="077BC49E" w14:textId="77777777" w:rsidR="00D24330" w:rsidRPr="00A96255" w:rsidRDefault="00D24330" w:rsidP="00D24330">
      <w:pPr>
        <w:pStyle w:val="MIndHeader"/>
      </w:pPr>
      <w:r w:rsidRPr="00A96255">
        <w:t>0.g. International organisations(s) responsible for global monitoring</w:t>
      </w:r>
    </w:p>
    <w:p w14:paraId="3339AC85" w14:textId="77777777" w:rsidR="000D4396" w:rsidRPr="00573631" w:rsidRDefault="000D4396" w:rsidP="004B2A57">
      <w:pPr>
        <w:pStyle w:val="MGTHeader"/>
      </w:pPr>
      <w:r w:rsidRPr="0018642E">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7DEEE9B2" w:rsidR="00576CFA" w:rsidRDefault="004B2A57" w:rsidP="00576CFA">
      <w:pPr>
        <w:pStyle w:val="MText"/>
      </w:pPr>
      <w:r w:rsidRPr="004B2A57">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482A87D" w14:textId="77777777" w:rsidR="004B2A57" w:rsidRPr="00FC3346" w:rsidRDefault="00D51E7C" w:rsidP="00432E48">
      <w:pPr>
        <w:pStyle w:val="MText"/>
        <w:rPr>
          <w:b/>
          <w:bCs/>
        </w:rPr>
      </w:pPr>
      <w:r w:rsidRPr="00FC3346">
        <w:rPr>
          <w:b/>
          <w:bCs/>
        </w:rPr>
        <w:t>Definitions:</w:t>
      </w:r>
    </w:p>
    <w:p w14:paraId="21B135EF" w14:textId="20255D8D" w:rsidR="0074606A" w:rsidRDefault="0074606A" w:rsidP="00432E48">
      <w:pPr>
        <w:pStyle w:val="MText"/>
      </w:pPr>
      <w:r w:rsidRPr="00D04AA4">
        <w:t>The indicator is defined as the installed capacity of power plants that generate electricity from renewable</w:t>
      </w:r>
      <w:r>
        <w:t xml:space="preserv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266ED69C" w14:textId="77777777" w:rsidR="0074606A" w:rsidRDefault="0074606A" w:rsidP="00432E48">
      <w:pPr>
        <w:pStyle w:val="MText"/>
      </w:pPr>
    </w:p>
    <w:p w14:paraId="26208C1D" w14:textId="77777777" w:rsidR="00432E48" w:rsidRPr="00FC3346" w:rsidRDefault="00D51E7C" w:rsidP="00432E48">
      <w:pPr>
        <w:pStyle w:val="MText"/>
        <w:rPr>
          <w:b/>
          <w:bCs/>
        </w:rPr>
      </w:pPr>
      <w:r w:rsidRPr="00FC3346">
        <w:rPr>
          <w:b/>
          <w:bCs/>
        </w:rPr>
        <w:t>Concepts:</w:t>
      </w:r>
      <w:bookmarkStart w:id="6" w:name="_Hlk14638896"/>
    </w:p>
    <w:p w14:paraId="46F44A8C" w14:textId="484BFC72" w:rsidR="00CF0042" w:rsidRDefault="00CF0042" w:rsidP="00432E48">
      <w:pPr>
        <w:pStyle w:val="MText"/>
      </w:pPr>
      <w:r w:rsidRPr="00D04AA4">
        <w:t>Electricity</w:t>
      </w:r>
      <w:r>
        <w:t xml:space="preserve"> capacity is defined in the International Recommendations for Energy Statistics or IRES (UN, 2018) as the </w:t>
      </w:r>
      <w:bookmarkEnd w:id="6"/>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 xml:space="preserve">restriction of interconnection to the network. It does not include overload </w:t>
      </w:r>
      <w:r w:rsidRPr="004046DB">
        <w:lastRenderedPageBreak/>
        <w:t>capacity that can</w:t>
      </w:r>
      <w:r>
        <w:t xml:space="preserve"> </w:t>
      </w:r>
      <w:r w:rsidRPr="004046DB">
        <w:t>only be sustained for a short period of time (e.g., internal combustion engines momentarily</w:t>
      </w:r>
      <w:r>
        <w:t xml:space="preserve"> </w:t>
      </w:r>
      <w:r w:rsidRPr="004046DB">
        <w:t>running above their rated capacity).</w:t>
      </w:r>
    </w:p>
    <w:p w14:paraId="24DCBA4C" w14:textId="77777777" w:rsidR="00CF0042" w:rsidRDefault="00CF0042" w:rsidP="00432E48">
      <w:pPr>
        <w:pStyle w:val="MText"/>
      </w:pPr>
    </w:p>
    <w:p w14:paraId="42E3BC7E" w14:textId="77777777" w:rsidR="00CF0042" w:rsidRDefault="00CF0042" w:rsidP="00432E48">
      <w:pPr>
        <w:pStyle w:val="MText"/>
      </w:pPr>
      <w:r>
        <w:t>The IRENA Statute defines renewable energy to include energy from the following sources: hydropower; marine energy (ocean, tidal and wave energy); wind energy; solar energy (photovoltaic and thermal energy); bioenergy; and geothermal energy.</w:t>
      </w:r>
    </w:p>
    <w:p w14:paraId="6E54D3D6" w14:textId="77777777" w:rsidR="00EC2915" w:rsidRPr="00A96255" w:rsidRDefault="00EC2915" w:rsidP="00432E48">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57E2FC7" w:rsidR="00576CFA" w:rsidRPr="00A96255" w:rsidRDefault="00582FE4" w:rsidP="00576CFA">
      <w:pPr>
        <w:pStyle w:val="MText"/>
      </w:pPr>
      <w:r>
        <w:t>Watts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4F99F839" w14:textId="52FB30EB" w:rsidR="00630AE4" w:rsidRPr="00A96255" w:rsidRDefault="00140C70" w:rsidP="00576CFA">
      <w:pPr>
        <w:pStyle w:val="MText"/>
      </w:pPr>
      <w:r>
        <w:t>Electricity capacity classifications follow the International Recommendations for Energy Statistics or IRES</w:t>
      </w:r>
      <w:r w:rsidRPr="00A96255" w:rsidDel="00140C70">
        <w:rPr>
          <w:highlight w:val="yellow"/>
        </w:rPr>
        <w:t xml:space="preserve"> </w:t>
      </w:r>
    </w:p>
    <w:p w14:paraId="3D384BA8" w14:textId="54711B4E" w:rsidR="00EC2915" w:rsidRDefault="00EC2915"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7BF6352" w14:textId="77777777" w:rsidR="00BD0D8F" w:rsidRDefault="00BD0D8F" w:rsidP="00BD0D8F">
      <w:pPr>
        <w:shd w:val="clear" w:color="auto" w:fill="FFFFFF"/>
        <w:spacing w:after="0"/>
        <w:rPr>
          <w:rFonts w:eastAsia="Times New Roman" w:cs="Times New Roman"/>
          <w:color w:val="4A4A4A"/>
          <w:sz w:val="21"/>
          <w:szCs w:val="21"/>
          <w:lang w:eastAsia="en-GB"/>
        </w:rPr>
      </w:pPr>
      <w:r w:rsidRPr="0015268F">
        <w:rPr>
          <w:rFonts w:eastAsia="Times New Roman" w:cs="Times New Roman"/>
          <w:color w:val="4A4A4A"/>
          <w:sz w:val="21"/>
          <w:szCs w:val="21"/>
          <w:lang w:eastAsia="en-GB"/>
        </w:rPr>
        <w:t xml:space="preserve">IRENA’s </w:t>
      </w:r>
      <w:r>
        <w:rPr>
          <w:rFonts w:eastAsia="Times New Roman" w:cs="Times New Roman"/>
          <w:color w:val="4A4A4A"/>
          <w:sz w:val="21"/>
          <w:szCs w:val="21"/>
          <w:lang w:eastAsia="en-GB"/>
        </w:rP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p w14:paraId="3A979E1C" w14:textId="7BAB7A49" w:rsidR="007D4342" w:rsidRDefault="007D4342" w:rsidP="000D3B01">
      <w:pPr>
        <w:shd w:val="clear" w:color="auto" w:fill="FFFFFF"/>
        <w:spacing w:after="0"/>
        <w:rPr>
          <w:rFonts w:eastAsia="Times New Roman" w:cs="Times New Roman"/>
          <w:b/>
          <w:bCs/>
          <w:color w:val="4A4A4A"/>
          <w:sz w:val="21"/>
          <w:szCs w:val="21"/>
          <w:lang w:eastAsia="en-GB"/>
        </w:rPr>
      </w:pPr>
    </w:p>
    <w:p w14:paraId="5D97A07C" w14:textId="599EC27A" w:rsidR="000D3B01" w:rsidRDefault="000D3B01" w:rsidP="000D3B01">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Population data:</w:t>
      </w:r>
    </w:p>
    <w:p w14:paraId="1CF4A9B6" w14:textId="77777777" w:rsidR="000D3B01" w:rsidRDefault="000D3B01" w:rsidP="000D3B0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the population part of this indicator, IRENA uses population data from the United Nations World Population Prospects. The population data reflects the residents in a country or area regardless of legal status or citizenship. The values are midyear estimates.</w:t>
      </w:r>
    </w:p>
    <w:p w14:paraId="711F7DD6" w14:textId="77777777" w:rsidR="000D3B01" w:rsidRDefault="000D3B01" w:rsidP="000D3B01">
      <w:pPr>
        <w:shd w:val="clear" w:color="auto" w:fill="FFFFFF"/>
        <w:spacing w:after="0"/>
        <w:rPr>
          <w:rFonts w:eastAsia="Times New Roman" w:cs="Times New Roman"/>
          <w:color w:val="4A4A4A"/>
          <w:sz w:val="21"/>
          <w:szCs w:val="21"/>
          <w:lang w:eastAsia="en-GB"/>
        </w:rPr>
      </w:pPr>
    </w:p>
    <w:p w14:paraId="602B68F6" w14:textId="77777777" w:rsidR="000D3B01" w:rsidRDefault="000D3B01" w:rsidP="000D3B0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United Nations Department of Economic and Social Affairs published information about their methodology on the link below:</w:t>
      </w:r>
    </w:p>
    <w:p w14:paraId="7C6686B2" w14:textId="77777777" w:rsidR="000D3B01" w:rsidRDefault="000A0EE9" w:rsidP="000D3B01">
      <w:pPr>
        <w:shd w:val="clear" w:color="auto" w:fill="FFFFFF"/>
        <w:spacing w:after="0"/>
        <w:rPr>
          <w:rFonts w:eastAsia="Times New Roman" w:cs="Times New Roman"/>
          <w:color w:val="4A4A4A"/>
          <w:sz w:val="21"/>
          <w:szCs w:val="21"/>
          <w:lang w:eastAsia="en-GB"/>
        </w:rPr>
      </w:pPr>
      <w:hyperlink r:id="rId11" w:history="1">
        <w:r w:rsidR="000D3B01" w:rsidRPr="003675AC">
          <w:rPr>
            <w:rStyle w:val="Hyperlink"/>
            <w:rFonts w:eastAsia="Times New Roman" w:cs="Times New Roman"/>
            <w:sz w:val="21"/>
            <w:szCs w:val="21"/>
            <w:lang w:eastAsia="en-GB"/>
          </w:rPr>
          <w:t>https://population.un.org/wpp/Methodology/</w:t>
        </w:r>
      </w:hyperlink>
    </w:p>
    <w:p w14:paraId="37D410DC" w14:textId="77777777" w:rsidR="000D3B01" w:rsidRDefault="000D3B01" w:rsidP="00F719A8">
      <w:pPr>
        <w:pStyle w:val="MHeader2"/>
      </w:pPr>
    </w:p>
    <w:p w14:paraId="79368080" w14:textId="56E5A2D5" w:rsidR="008B0AC7" w:rsidRPr="00A96255" w:rsidRDefault="00576CFA" w:rsidP="00F719A8">
      <w:pPr>
        <w:pStyle w:val="MHeader2"/>
      </w:pPr>
      <w:r w:rsidRPr="00A96255">
        <w:t>3.b</w:t>
      </w:r>
      <w:r w:rsidR="008B0AC7" w:rsidRPr="00A96255">
        <w:t>. Data collection method</w:t>
      </w:r>
    </w:p>
    <w:p w14:paraId="00DD3685" w14:textId="77777777" w:rsidR="00DD6901" w:rsidRDefault="00DD6901" w:rsidP="00DD690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41812DF6" w14:textId="77777777" w:rsidR="00DD6901" w:rsidRDefault="00DD6901" w:rsidP="00DD6901">
      <w:pPr>
        <w:shd w:val="clear" w:color="auto" w:fill="FFFFFF"/>
        <w:spacing w:after="0"/>
        <w:rPr>
          <w:rFonts w:eastAsia="Times New Roman" w:cs="Times New Roman"/>
          <w:color w:val="4A4A4A"/>
          <w:sz w:val="21"/>
          <w:szCs w:val="21"/>
          <w:lang w:eastAsia="en-GB"/>
        </w:rPr>
      </w:pPr>
    </w:p>
    <w:p w14:paraId="13CCFF34" w14:textId="77777777" w:rsidR="00DD6901" w:rsidRDefault="00DD6901" w:rsidP="00DD690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63426B12" w14:textId="77777777" w:rsidR="00991447" w:rsidRDefault="00991447" w:rsidP="00F719A8">
      <w:pPr>
        <w:pStyle w:val="MHeader2"/>
      </w:pPr>
    </w:p>
    <w:p w14:paraId="170A2C05" w14:textId="40F11FE1" w:rsidR="00E46D96" w:rsidRPr="00A96255" w:rsidRDefault="00E46D96" w:rsidP="00F719A8">
      <w:pPr>
        <w:pStyle w:val="MHeader2"/>
      </w:pPr>
      <w:r w:rsidRPr="00A96255">
        <w:lastRenderedPageBreak/>
        <w:t>3.c. Data collection calendar</w:t>
      </w:r>
    </w:p>
    <w:p w14:paraId="60D029D2" w14:textId="77777777" w:rsidR="009412EB" w:rsidRDefault="009412EB" w:rsidP="009412EB">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Capacity data is recorded as a year-end figure. The data is collected in the first six months of every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2E3F09C6" w14:textId="77777777" w:rsidR="00154B7E" w:rsidRDefault="00154B7E" w:rsidP="00154B7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Estimates of generating capacity for a year are published at the end of March in the following year. Final figures for the year before that are published at the end of June.</w:t>
      </w:r>
    </w:p>
    <w:p w14:paraId="61B85EE6" w14:textId="77777777" w:rsidR="005F5594" w:rsidRDefault="005F5594" w:rsidP="00F719A8">
      <w:pPr>
        <w:pStyle w:val="MHeader2"/>
      </w:pPr>
    </w:p>
    <w:p w14:paraId="3A4F3065" w14:textId="6AF8B158" w:rsidR="00E46D96" w:rsidRPr="00A96255" w:rsidRDefault="00E46D96" w:rsidP="00F719A8">
      <w:pPr>
        <w:pStyle w:val="MHeader2"/>
      </w:pPr>
      <w:r w:rsidRPr="00A96255">
        <w:t>3.e. Data providers</w:t>
      </w:r>
    </w:p>
    <w:p w14:paraId="0CB6E039" w14:textId="77777777" w:rsidR="00FB0765" w:rsidRDefault="00FB0765" w:rsidP="00FB076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Renewable energy generating capacity:</w:t>
      </w:r>
    </w:p>
    <w:p w14:paraId="5EC4A9A5" w14:textId="77777777" w:rsidR="00FB0765" w:rsidRDefault="00FB0765" w:rsidP="00FB076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39AD0EF6" w14:textId="77777777" w:rsidR="00FB0765" w:rsidRDefault="00FB0765" w:rsidP="00FB0765">
      <w:pPr>
        <w:shd w:val="clear" w:color="auto" w:fill="FFFFFF"/>
        <w:spacing w:after="0"/>
        <w:rPr>
          <w:rFonts w:eastAsia="Times New Roman" w:cs="Times New Roman"/>
          <w:color w:val="4A4A4A"/>
          <w:sz w:val="21"/>
          <w:szCs w:val="21"/>
          <w:lang w:eastAsia="en-GB"/>
        </w:rPr>
      </w:pPr>
    </w:p>
    <w:p w14:paraId="3F23BC0C" w14:textId="77777777" w:rsidR="00FB0765" w:rsidRDefault="00FB0765" w:rsidP="00FB076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Population:</w:t>
      </w:r>
    </w:p>
    <w:p w14:paraId="470279D6" w14:textId="59285ABB" w:rsidR="00326A2B" w:rsidRDefault="00FB0765" w:rsidP="00FC3346">
      <w:pPr>
        <w:shd w:val="clear" w:color="auto" w:fill="FFFFFF"/>
        <w:spacing w:after="0"/>
      </w:pPr>
      <w:r w:rsidRPr="00F247FA">
        <w:rPr>
          <w:rFonts w:eastAsia="Times New Roman" w:cs="Times New Roman"/>
          <w:color w:val="4A4A4A"/>
          <w:sz w:val="21"/>
          <w:szCs w:val="21"/>
          <w:lang w:eastAsia="en-GB"/>
        </w:rPr>
        <w:t xml:space="preserve">United Nations Population Division. World Population Prospects. </w:t>
      </w:r>
    </w:p>
    <w:p w14:paraId="001E0B7F" w14:textId="77777777" w:rsidR="00326A2B" w:rsidRPr="00A96255" w:rsidRDefault="00326A2B" w:rsidP="00576CFA">
      <w:pPr>
        <w:pStyle w:val="MText"/>
      </w:pPr>
    </w:p>
    <w:p w14:paraId="30DC8E05" w14:textId="484D6EC2" w:rsidR="00E46D96" w:rsidRPr="00A96255" w:rsidRDefault="00E46D96" w:rsidP="00F719A8">
      <w:pPr>
        <w:pStyle w:val="MHeader2"/>
      </w:pPr>
      <w:r w:rsidRPr="00A96255">
        <w:t>3.f. Data compilers</w:t>
      </w:r>
    </w:p>
    <w:p w14:paraId="1AE7469A" w14:textId="77777777" w:rsidR="000C6282" w:rsidRDefault="000C6282" w:rsidP="000C6282">
      <w:pPr>
        <w:shd w:val="clear" w:color="auto" w:fill="FFFFFF"/>
        <w:spacing w:after="0"/>
        <w:rPr>
          <w:rFonts w:eastAsia="Times New Roman" w:cs="Times New Roman"/>
          <w:color w:val="4A4A4A"/>
          <w:sz w:val="21"/>
          <w:szCs w:val="21"/>
          <w:lang w:eastAsia="en-GB"/>
        </w:rPr>
      </w:pPr>
      <w:r w:rsidRPr="0018642E">
        <w:rPr>
          <w:rFonts w:eastAsia="Times New Roman" w:cs="Times New Roman"/>
          <w:color w:val="4A4A4A"/>
          <w:sz w:val="21"/>
          <w:szCs w:val="21"/>
          <w:lang w:eastAsia="en-GB"/>
        </w:rPr>
        <w:t>International Renewable Energy Agency (IRENA)</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5299371" w14:textId="63F16505" w:rsidR="007424DB" w:rsidRPr="00A96255" w:rsidRDefault="00EA61CF" w:rsidP="00576CFA">
      <w:pPr>
        <w:pStyle w:val="MText"/>
      </w:pPr>
      <w:r w:rsidRPr="00EA61CF">
        <w:t>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 Renewable energy capacity statistics are in line with these aims.</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A8E1B81" w14:textId="77777777" w:rsidR="00E00F09" w:rsidRDefault="00E00F09" w:rsidP="00E00F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infrastructure and technologies required to </w:t>
      </w:r>
      <w:r w:rsidRPr="00F14780">
        <w:rPr>
          <w:rFonts w:eastAsia="Times New Roman" w:cs="Times New Roman"/>
          <w:color w:val="4A4A4A"/>
          <w:sz w:val="21"/>
          <w:szCs w:val="21"/>
          <w:lang w:eastAsia="en-GB"/>
        </w:rPr>
        <w:t>supply modern and sustainable energy services</w:t>
      </w:r>
      <w:r>
        <w:rPr>
          <w:rFonts w:eastAsia="Times New Roman" w:cs="Times New Roman"/>
          <w:color w:val="4A4A4A"/>
          <w:sz w:val="21"/>
          <w:szCs w:val="21"/>
          <w:lang w:eastAsia="en-GB"/>
        </w:rP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rPr>
          <w:rFonts w:eastAsia="Times New Roman" w:cs="Times New Roman"/>
          <w:color w:val="4A4A4A"/>
          <w:sz w:val="21"/>
          <w:szCs w:val="21"/>
          <w:lang w:eastAsia="en-GB"/>
        </w:rPr>
        <w:t xml:space="preserve">modern and sustainable </w:t>
      </w:r>
      <w:r>
        <w:rPr>
          <w:rFonts w:eastAsia="Times New Roman" w:cs="Times New Roman"/>
          <w:color w:val="4A4A4A"/>
          <w:sz w:val="21"/>
          <w:szCs w:val="21"/>
          <w:lang w:eastAsia="en-GB"/>
        </w:rPr>
        <w:t xml:space="preserve">energy services. However, one major part of the energy supply chain that can be readily measured is the infrastructure used to produce electricity. </w:t>
      </w:r>
    </w:p>
    <w:p w14:paraId="18C1F889" w14:textId="77777777" w:rsidR="00E00F09" w:rsidRDefault="00E00F09" w:rsidP="00E00F09">
      <w:pPr>
        <w:shd w:val="clear" w:color="auto" w:fill="FFFFFF"/>
        <w:spacing w:after="0"/>
        <w:rPr>
          <w:rFonts w:eastAsia="Times New Roman" w:cs="Times New Roman"/>
          <w:color w:val="4A4A4A"/>
          <w:sz w:val="21"/>
          <w:szCs w:val="21"/>
          <w:lang w:eastAsia="en-GB"/>
        </w:rPr>
      </w:pPr>
      <w:r w:rsidRPr="0018642E">
        <w:rPr>
          <w:rFonts w:eastAsia="Times New Roman" w:cs="Times New Roman"/>
          <w:color w:val="4A4A4A"/>
          <w:sz w:val="21"/>
          <w:szCs w:val="21"/>
          <w:lang w:eastAsia="en-GB"/>
        </w:rPr>
        <w:t xml:space="preserve"> </w:t>
      </w:r>
    </w:p>
    <w:p w14:paraId="64685CFC" w14:textId="77777777" w:rsidR="00E00F09" w:rsidRDefault="00E00F09" w:rsidP="00E00F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rPr>
          <w:rFonts w:eastAsia="Times New Roman" w:cs="Times New Roman"/>
          <w:color w:val="4A4A4A"/>
          <w:sz w:val="21"/>
          <w:szCs w:val="21"/>
          <w:lang w:eastAsia="en-GB"/>
        </w:rPr>
        <w:t>.</w:t>
      </w:r>
    </w:p>
    <w:p w14:paraId="12C418C0" w14:textId="77777777" w:rsidR="00E00F09" w:rsidRDefault="00E00F09" w:rsidP="00E00F09">
      <w:pPr>
        <w:shd w:val="clear" w:color="auto" w:fill="FFFFFF"/>
        <w:spacing w:after="0"/>
        <w:rPr>
          <w:rFonts w:eastAsia="Times New Roman" w:cs="Times New Roman"/>
          <w:color w:val="4A4A4A"/>
          <w:sz w:val="21"/>
          <w:szCs w:val="21"/>
          <w:lang w:eastAsia="en-GB"/>
        </w:rPr>
      </w:pPr>
    </w:p>
    <w:p w14:paraId="07F63221" w14:textId="77777777" w:rsidR="00E00F09" w:rsidRDefault="00E00F09" w:rsidP="00E00F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rPr>
          <w:rFonts w:eastAsia="Times New Roman" w:cs="Times New Roman"/>
          <w:color w:val="4A4A4A"/>
          <w:sz w:val="21"/>
          <w:szCs w:val="21"/>
          <w:lang w:eastAsia="en-GB"/>
        </w:rPr>
        <w:t>modern and sustainable energy services</w:t>
      </w:r>
      <w:r>
        <w:rPr>
          <w:rFonts w:eastAsia="Times New Roman" w:cs="Times New Roman"/>
          <w:color w:val="4A4A4A"/>
          <w:sz w:val="21"/>
          <w:szCs w:val="21"/>
          <w:lang w:eastAsia="en-GB"/>
        </w:rPr>
        <w:t xml:space="preserve"> in a country.</w:t>
      </w:r>
    </w:p>
    <w:p w14:paraId="0AEDCE32" w14:textId="77777777" w:rsidR="00E00F09" w:rsidRDefault="00E00F09" w:rsidP="00E00F09">
      <w:pPr>
        <w:shd w:val="clear" w:color="auto" w:fill="FFFFFF"/>
        <w:spacing w:after="0"/>
        <w:rPr>
          <w:rFonts w:eastAsia="Times New Roman" w:cs="Times New Roman"/>
          <w:color w:val="4A4A4A"/>
          <w:sz w:val="21"/>
          <w:szCs w:val="21"/>
          <w:lang w:eastAsia="en-GB"/>
        </w:rPr>
      </w:pPr>
    </w:p>
    <w:p w14:paraId="600BFC19" w14:textId="77777777" w:rsidR="00E00F09" w:rsidRDefault="00E00F09" w:rsidP="00E00F0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 renewables indicator (7.2) by showing how much renewable energy is contributing to the need for improved electricity access.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4E1A8E6" w14:textId="77777777" w:rsidR="001B126D" w:rsidRDefault="001B126D" w:rsidP="001B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40196814" w14:textId="77777777" w:rsidR="001B126D" w:rsidRDefault="001B126D" w:rsidP="001B126D">
      <w:pPr>
        <w:shd w:val="clear" w:color="auto" w:fill="FFFFFF"/>
        <w:spacing w:after="0"/>
        <w:rPr>
          <w:rFonts w:eastAsia="Times New Roman" w:cs="Times New Roman"/>
          <w:color w:val="4A4A4A"/>
          <w:sz w:val="21"/>
          <w:szCs w:val="21"/>
          <w:lang w:eastAsia="en-GB"/>
        </w:rPr>
      </w:pPr>
    </w:p>
    <w:p w14:paraId="29BAB004" w14:textId="77777777" w:rsidR="001B126D" w:rsidRDefault="001B126D" w:rsidP="001B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However, with the growing trend towards electrification of energy end-uses, the focus here on electricity may become less of a weakness in the future and may also serve as a general indicator of the progress towards greater electrification in developing counties. That</w:t>
      </w:r>
      <w:proofErr w:type="gramStart"/>
      <w:r>
        <w:rPr>
          <w:rFonts w:eastAsia="Times New Roman" w:cs="Times New Roman"/>
          <w:color w:val="4A4A4A"/>
          <w:sz w:val="21"/>
          <w:szCs w:val="21"/>
          <w:lang w:eastAsia="en-GB"/>
        </w:rPr>
        <w:t>, in itself, should</w:t>
      </w:r>
      <w:proofErr w:type="gramEnd"/>
      <w:r>
        <w:rPr>
          <w:rFonts w:eastAsia="Times New Roman" w:cs="Times New Roman"/>
          <w:color w:val="4A4A4A"/>
          <w:sz w:val="21"/>
          <w:szCs w:val="21"/>
          <w:lang w:eastAsia="en-GB"/>
        </w:rPr>
        <w:t xml:space="preserve"> be seen as a shift towards the use of more modern technology to deliver </w:t>
      </w:r>
      <w:r w:rsidRPr="001704B9">
        <w:rPr>
          <w:rFonts w:eastAsia="Times New Roman" w:cs="Times New Roman"/>
          <w:color w:val="4A4A4A"/>
          <w:sz w:val="21"/>
          <w:szCs w:val="21"/>
          <w:lang w:eastAsia="en-GB"/>
        </w:rPr>
        <w:t>sustainable energy services</w:t>
      </w:r>
      <w:r>
        <w:rPr>
          <w:rFonts w:eastAsia="Times New Roman" w:cs="Times New Roman"/>
          <w:color w:val="4A4A4A"/>
          <w:sz w:val="21"/>
          <w:szCs w:val="21"/>
          <w:lang w:eastAsia="en-GB"/>
        </w:rPr>
        <w:t>.</w:t>
      </w:r>
    </w:p>
    <w:p w14:paraId="79FF60BE" w14:textId="77777777" w:rsidR="001B126D" w:rsidRDefault="001B126D" w:rsidP="001B126D">
      <w:pPr>
        <w:shd w:val="clear" w:color="auto" w:fill="FFFFFF"/>
        <w:spacing w:after="0"/>
        <w:rPr>
          <w:rFonts w:eastAsia="Times New Roman" w:cs="Times New Roman"/>
          <w:color w:val="4A4A4A"/>
          <w:sz w:val="21"/>
          <w:szCs w:val="21"/>
          <w:lang w:eastAsia="en-GB"/>
        </w:rPr>
      </w:pPr>
    </w:p>
    <w:p w14:paraId="552F4A50" w14:textId="77777777" w:rsidR="001B126D" w:rsidRDefault="001B126D" w:rsidP="001B12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Furthermore, as reflected in many national policies, plans and targets, increasing the production of electricity and</w:t>
      </w:r>
      <w:proofErr w:type="gramStart"/>
      <w:r>
        <w:rPr>
          <w:rFonts w:eastAsia="Times New Roman" w:cs="Times New Roman"/>
          <w:color w:val="4A4A4A"/>
          <w:sz w:val="21"/>
          <w:szCs w:val="21"/>
          <w:lang w:eastAsia="en-GB"/>
        </w:rPr>
        <w:t>, in particular, renewable</w:t>
      </w:r>
      <w:proofErr w:type="gramEnd"/>
      <w:r>
        <w:rPr>
          <w:rFonts w:eastAsia="Times New Roman" w:cs="Times New Roman"/>
          <w:color w:val="4A4A4A"/>
          <w:sz w:val="21"/>
          <w:szCs w:val="21"/>
          <w:lang w:eastAsia="en-GB"/>
        </w:rPr>
        <w:t xml:space="preserv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p w14:paraId="0F0E3023" w14:textId="77777777" w:rsidR="001B126D" w:rsidRDefault="001B126D" w:rsidP="00F719A8">
      <w:pPr>
        <w:pStyle w:val="MHeader2"/>
      </w:pPr>
    </w:p>
    <w:p w14:paraId="79EEEE38" w14:textId="012BF978" w:rsidR="00E1050F" w:rsidRPr="00A96255" w:rsidRDefault="00E1050F" w:rsidP="00F719A8">
      <w:pPr>
        <w:pStyle w:val="MHeader2"/>
      </w:pPr>
      <w:r w:rsidRPr="00A96255">
        <w:t>4.c. Method of computation</w:t>
      </w:r>
    </w:p>
    <w:p w14:paraId="0D29BDDC" w14:textId="77777777" w:rsidR="00844205" w:rsidRDefault="00844205" w:rsidP="0084420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each country and year, the renewable electricity generating capacity at the end of the year is divided by the total population of the country as of mid-year (July 1</w:t>
      </w:r>
      <w:r w:rsidRPr="00F247FA">
        <w:rPr>
          <w:rFonts w:eastAsia="Times New Roman" w:cs="Times New Roman"/>
          <w:color w:val="4A4A4A"/>
          <w:sz w:val="21"/>
          <w:szCs w:val="21"/>
          <w:vertAlign w:val="superscript"/>
          <w:lang w:eastAsia="en-GB"/>
        </w:rPr>
        <w:t>st</w:t>
      </w:r>
      <w:r>
        <w:rPr>
          <w:rFonts w:eastAsia="Times New Roman" w:cs="Times New Roman"/>
          <w:color w:val="4A4A4A"/>
          <w:sz w:val="21"/>
          <w:szCs w:val="21"/>
          <w:lang w:eastAsia="en-GB"/>
        </w:rPr>
        <w:t>).</w:t>
      </w:r>
    </w:p>
    <w:p w14:paraId="7FE417EA" w14:textId="77777777" w:rsidR="00DA0116" w:rsidRDefault="00DA0116" w:rsidP="00F719A8">
      <w:pPr>
        <w:pStyle w:val="MHeader2"/>
      </w:pPr>
    </w:p>
    <w:p w14:paraId="514CE3C0" w14:textId="4E9D3416" w:rsidR="00E1050F" w:rsidRPr="00A96255" w:rsidRDefault="00576CFA" w:rsidP="00F719A8">
      <w:pPr>
        <w:pStyle w:val="MHeader2"/>
      </w:pPr>
      <w:r w:rsidRPr="00A96255">
        <w:t>4.d. Validation</w:t>
      </w:r>
    </w:p>
    <w:p w14:paraId="49CB8337" w14:textId="5ECDDA22" w:rsidR="00EC2915" w:rsidRDefault="00E70EE5" w:rsidP="00576CFA">
      <w:pPr>
        <w:pStyle w:val="MText"/>
      </w:pPr>
      <w: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5032CC5E" w14:textId="3DA825E7" w:rsidR="00576CFA" w:rsidRPr="00A96255" w:rsidRDefault="00EA61CF"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ADE60B2" w14:textId="167D4A11" w:rsidR="00950DAC" w:rsidRPr="00FC3346" w:rsidRDefault="00D51E7C" w:rsidP="00432E48">
      <w:pPr>
        <w:pStyle w:val="MText"/>
        <w:rPr>
          <w:b/>
          <w:bCs/>
          <w:color w:val="1C75BC"/>
        </w:rPr>
      </w:pPr>
      <w:r w:rsidRPr="00FC3346">
        <w:rPr>
          <w:b/>
          <w:bCs/>
        </w:rPr>
        <w:t>At country leve</w:t>
      </w:r>
      <w:r w:rsidR="00E30A2B">
        <w:rPr>
          <w:b/>
          <w:bCs/>
        </w:rPr>
        <w:t>l:</w:t>
      </w:r>
    </w:p>
    <w:p w14:paraId="60305FE8" w14:textId="77777777" w:rsidR="00950DAC" w:rsidRDefault="00950DAC" w:rsidP="00432E48">
      <w:pPr>
        <w:pStyle w:val="MText"/>
      </w:pPr>
      <w:r>
        <w:t>At the country level, electricity capacity data is sometimes missing for two reasons:</w:t>
      </w:r>
    </w:p>
    <w:p w14:paraId="3ADC3FEB" w14:textId="77777777" w:rsidR="00950DAC" w:rsidRDefault="00950DAC" w:rsidP="00432E48">
      <w:pPr>
        <w:pStyle w:val="MText"/>
      </w:pPr>
    </w:p>
    <w:p w14:paraId="2E8CDEC8" w14:textId="77777777" w:rsidR="00950DAC" w:rsidRDefault="00950DAC" w:rsidP="00950DAC">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Pr="00F3011C">
        <w:rPr>
          <w:rFonts w:eastAsia="Times New Roman" w:cs="Times New Roman"/>
          <w:color w:val="4A4A4A"/>
          <w:sz w:val="21"/>
          <w:szCs w:val="21"/>
          <w:lang w:eastAsia="en-GB"/>
        </w:rPr>
        <w:t xml:space="preserve">elays in responding to IRENA questionnaires or publication of official data. In such cases, estimates are made so that </w:t>
      </w:r>
      <w:r>
        <w:rPr>
          <w:rFonts w:eastAsia="Times New Roman" w:cs="Times New Roman"/>
          <w:color w:val="4A4A4A"/>
          <w:sz w:val="21"/>
          <w:szCs w:val="21"/>
          <w:lang w:eastAsia="en-GB"/>
        </w:rPr>
        <w:t>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D4B7246" w14:textId="77777777" w:rsidR="00950DAC" w:rsidRDefault="00950DAC" w:rsidP="00950DAC">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026BDC8C" w14:textId="77777777" w:rsidR="00950DAC" w:rsidRDefault="00950DAC" w:rsidP="00950DAC">
      <w:pPr>
        <w:shd w:val="clear" w:color="auto" w:fill="FFFFFF"/>
        <w:spacing w:after="0"/>
        <w:rPr>
          <w:rFonts w:eastAsia="Times New Roman" w:cs="Times New Roman"/>
          <w:color w:val="4A4A4A"/>
          <w:sz w:val="21"/>
          <w:szCs w:val="21"/>
          <w:lang w:eastAsia="en-GB"/>
        </w:rPr>
      </w:pPr>
    </w:p>
    <w:p w14:paraId="7EF896BC" w14:textId="77777777" w:rsidR="00950DAC" w:rsidRPr="00F247FA" w:rsidRDefault="00950DAC" w:rsidP="00950D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When capacity data is missing, mostly in non-state territories, these are excluded from the dataset. </w:t>
      </w:r>
    </w:p>
    <w:p w14:paraId="1B6182A5" w14:textId="54983DC5" w:rsidR="00D51E7C" w:rsidRPr="00C019E5" w:rsidRDefault="00D51E7C" w:rsidP="00D51E7C">
      <w:pPr>
        <w:pStyle w:val="MText"/>
        <w:rPr>
          <w:highlight w:val="cyan"/>
        </w:rPr>
      </w:pPr>
    </w:p>
    <w:p w14:paraId="1AAB7A76" w14:textId="77777777" w:rsidR="00A6748B" w:rsidRPr="009403DF" w:rsidRDefault="00A6748B" w:rsidP="00A6748B">
      <w:pPr>
        <w:pStyle w:val="MText"/>
        <w:rPr>
          <w:b/>
          <w:bCs/>
        </w:rPr>
      </w:pPr>
      <w:r w:rsidRPr="009403DF">
        <w:rPr>
          <w:b/>
          <w:bCs/>
        </w:rPr>
        <w:t>At regional and global levels</w:t>
      </w:r>
      <w:r>
        <w:rPr>
          <w:b/>
          <w:bCs/>
        </w:rPr>
        <w:t>:</w:t>
      </w:r>
    </w:p>
    <w:p w14:paraId="70BE312B" w14:textId="10D437CD" w:rsidR="00EC7C1A" w:rsidRPr="00573631" w:rsidRDefault="00EC7C1A" w:rsidP="00EC7C1A">
      <w:pPr>
        <w:shd w:val="clear" w:color="auto" w:fill="FFFFFF"/>
        <w:spacing w:after="0"/>
        <w:rPr>
          <w:rFonts w:eastAsia="Times New Roman" w:cs="Times New Roman"/>
          <w:color w:val="4A4A4A"/>
          <w:sz w:val="21"/>
          <w:szCs w:val="21"/>
          <w:lang w:eastAsia="en-GB"/>
        </w:rPr>
      </w:pPr>
      <w:r w:rsidRPr="00432E48">
        <w:rPr>
          <w:rStyle w:val="MTextChar"/>
          <w:rFonts w:eastAsiaTheme="minorEastAsia"/>
        </w:rPr>
        <w:t>See above. Regional and</w:t>
      </w:r>
      <w:r>
        <w:rPr>
          <w:rFonts w:eastAsia="Times New Roman" w:cs="Times New Roman"/>
          <w:color w:val="4A4A4A"/>
          <w:sz w:val="21"/>
          <w:szCs w:val="21"/>
          <w:lang w:eastAsia="en-GB"/>
        </w:rPr>
        <w:t xml:space="preserve"> global totals are only estimated to the extent that figures for some countries may be estimated in each year. (See also data availability below). </w:t>
      </w:r>
    </w:p>
    <w:p w14:paraId="4B7142DF" w14:textId="77777777" w:rsidR="00EC7C1A" w:rsidRPr="00573631" w:rsidRDefault="00EC7C1A" w:rsidP="00EC7C1A">
      <w:pPr>
        <w:shd w:val="clear" w:color="auto" w:fill="FFFFFF"/>
        <w:spacing w:after="0"/>
        <w:ind w:left="495"/>
        <w:rPr>
          <w:rFonts w:eastAsia="Times New Roman" w:cs="Times New Roman"/>
          <w:color w:val="4A4A4A"/>
          <w:sz w:val="21"/>
          <w:szCs w:val="21"/>
          <w:lang w:eastAsia="en-GB"/>
        </w:rPr>
      </w:pPr>
    </w:p>
    <w:p w14:paraId="51FCD280" w14:textId="0DAB30E3" w:rsidR="00E1050F" w:rsidRPr="00A96255" w:rsidRDefault="00E1050F" w:rsidP="00F719A8">
      <w:pPr>
        <w:pStyle w:val="MHeader2"/>
      </w:pPr>
      <w:r w:rsidRPr="00A96255">
        <w:t>4.g. Regional aggregations</w:t>
      </w:r>
    </w:p>
    <w:p w14:paraId="47B0FA52" w14:textId="77777777" w:rsidR="00A2402F" w:rsidRDefault="00A2402F" w:rsidP="00A2402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Regional and global averages are calculated by summing the renewable generating capacity for a region or the World and dividing that by the corresponding figure for total population. The indicator is for developing countries only, so these regional aggregates (averages) also reflect only the average for the developing countries in each region.</w:t>
      </w:r>
    </w:p>
    <w:p w14:paraId="6B800583" w14:textId="77777777" w:rsidR="00A2402F" w:rsidRDefault="00A2402F" w:rsidP="00A2402F">
      <w:pPr>
        <w:shd w:val="clear" w:color="auto" w:fill="FFFFFF"/>
        <w:spacing w:after="0"/>
        <w:rPr>
          <w:rFonts w:eastAsia="Times New Roman" w:cs="Times New Roman"/>
          <w:color w:val="4A4A4A"/>
          <w:sz w:val="21"/>
          <w:szCs w:val="21"/>
          <w:lang w:eastAsia="en-GB"/>
        </w:rPr>
      </w:pPr>
    </w:p>
    <w:p w14:paraId="296057BF" w14:textId="77777777" w:rsidR="00A2402F" w:rsidRPr="00573631" w:rsidRDefault="00A2402F" w:rsidP="00A2402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This calculation excludes the population of those countries and/or territories that have missing capacity data. As such, the regional and global population values used in the calculation might differ from those reported in the UN World Population Prospects.</w:t>
      </w:r>
      <w:r w:rsidRPr="00573631">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297B0B7" w14:textId="25B24390" w:rsidR="0043537F" w:rsidRPr="00432E48" w:rsidRDefault="0043537F" w:rsidP="00432E4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main source of discrepancies between different sources of electricity capacity data are likely to be due to the under-reporting or non-reporting of off-grid capacity data (see above) or slight variations in </w:t>
      </w:r>
      <w:r>
        <w:rPr>
          <w:rFonts w:eastAsia="Times New Roman" w:cs="Times New Roman"/>
          <w:color w:val="4A4A4A"/>
          <w:sz w:val="21"/>
          <w:szCs w:val="21"/>
          <w:lang w:eastAsia="en-GB"/>
        </w:rPr>
        <w:lastRenderedPageBreak/>
        <w:t xml:space="preserve">the definition of installed capacity. IRENA uses the IRES definition of capacity agreed by the Oslo Group on Energy Statistics, while some countries and institutions may use slightly different definitions of capacity to reflect local circumstances (e.g. the reporting of </w:t>
      </w:r>
      <w:proofErr w:type="spellStart"/>
      <w:r>
        <w:rPr>
          <w:rFonts w:eastAsia="Times New Roman" w:cs="Times New Roman"/>
          <w:color w:val="4A4A4A"/>
          <w:sz w:val="21"/>
          <w:szCs w:val="21"/>
          <w:lang w:eastAsia="en-GB"/>
        </w:rPr>
        <w:t>derated</w:t>
      </w:r>
      <w:proofErr w:type="spellEnd"/>
      <w:r>
        <w:rPr>
          <w:rFonts w:eastAsia="Times New Roman" w:cs="Times New Roman"/>
          <w:color w:val="4A4A4A"/>
          <w:sz w:val="21"/>
          <w:szCs w:val="21"/>
          <w:lang w:eastAsia="en-GB"/>
        </w:rPr>
        <w:t xml:space="preserve"> rather than maximum net installed capacity or the reporting of built rather than commissioned capacity at year-end).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6D28FD06" w:rsidR="00EC2915" w:rsidRPr="00A96255" w:rsidRDefault="00BE70A4" w:rsidP="00576CFA">
      <w:pPr>
        <w:pStyle w:val="MText"/>
      </w:pPr>
      <w:r>
        <w:t xml:space="preserve">Data for renewable energy capacity is validated by technology, year and country during the IRENA statistics cycle. </w:t>
      </w:r>
    </w:p>
    <w:p w14:paraId="17B979CA" w14:textId="449C0153" w:rsidR="00E1050F" w:rsidRPr="00A96255" w:rsidRDefault="00E1050F" w:rsidP="00F719A8">
      <w:pPr>
        <w:pStyle w:val="MHeader2"/>
      </w:pPr>
      <w:r w:rsidRPr="00A96255">
        <w:t>4.j Quality assurance</w:t>
      </w:r>
    </w:p>
    <w:p w14:paraId="4DB2B19C" w14:textId="77777777" w:rsidR="00B406BD" w:rsidRPr="0018146A" w:rsidRDefault="00B406BD" w:rsidP="00B406BD">
      <w:p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IRENA data are compiled from national sources following t</w:t>
      </w:r>
      <w:r w:rsidRPr="0018146A">
        <w:rPr>
          <w:rFonts w:eastAsia="Times New Roman" w:cs="Times New Roman"/>
          <w:color w:val="4A4A4A"/>
          <w:sz w:val="21"/>
          <w:szCs w:val="21"/>
          <w:lang w:eastAsia="en-GB"/>
        </w:rPr>
        <w:t>he United Nations Fundamental Principles of Official Statistics</w:t>
      </w:r>
      <w:r>
        <w:rPr>
          <w:rFonts w:eastAsia="Times New Roman" w:cs="Times New Roman"/>
          <w:color w:val="4A4A4A"/>
          <w:sz w:val="21"/>
          <w:szCs w:val="21"/>
          <w:lang w:eastAsia="en-GB"/>
        </w:rPr>
        <w:t xml:space="preserve">: </w:t>
      </w:r>
      <w:hyperlink r:id="rId12" w:history="1">
        <w:r w:rsidRPr="00F42CDE">
          <w:rPr>
            <w:rStyle w:val="Hyperlink"/>
            <w:rFonts w:eastAsia="Times New Roman" w:cs="Times New Roman"/>
            <w:sz w:val="21"/>
            <w:szCs w:val="21"/>
            <w:lang w:eastAsia="en-GB"/>
          </w:rPr>
          <w:t>https://unstats.un.org/unsd/dnss/gp/fundprinciples.aspx</w:t>
        </w:r>
      </w:hyperlink>
      <w:r>
        <w:rPr>
          <w:rFonts w:eastAsia="Times New Roman" w:cs="Times New Roman"/>
          <w:color w:val="4A4A4A"/>
          <w:sz w:val="21"/>
          <w:szCs w:val="21"/>
          <w:lang w:eastAsia="en-GB"/>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90FDD60" w14:textId="77777777" w:rsidR="007424DB" w:rsidRPr="00A96255" w:rsidRDefault="007424DB" w:rsidP="007424DB">
      <w:pPr>
        <w:pStyle w:val="MText"/>
      </w:pPr>
      <w:r>
        <w:t>The quality of the data is verified by automated validation routines for aggregates. Furthermore, official questionnaires guarantee the validity for each data point, where applicable.</w:t>
      </w:r>
    </w:p>
    <w:p w14:paraId="326EB0AB"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F123F80" w14:textId="77777777" w:rsidR="00432E48" w:rsidRPr="00FC3346" w:rsidRDefault="00D51E7C" w:rsidP="00432E48">
      <w:pPr>
        <w:pStyle w:val="MText"/>
        <w:rPr>
          <w:b/>
          <w:bCs/>
        </w:rPr>
      </w:pPr>
      <w:r w:rsidRPr="00FC3346">
        <w:rPr>
          <w:b/>
          <w:bCs/>
        </w:rPr>
        <w:t>Data availability:</w:t>
      </w:r>
    </w:p>
    <w:p w14:paraId="77FBAD4E" w14:textId="517D4D7B" w:rsidR="00274570" w:rsidRPr="003F3D71" w:rsidRDefault="00274570" w:rsidP="00432E48">
      <w:pPr>
        <w:pStyle w:val="MText"/>
      </w:pPr>
      <w:r w:rsidRPr="003F3D71">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0D3488F1" w14:textId="77777777" w:rsidR="00274570" w:rsidRPr="003F3D71" w:rsidRDefault="00274570" w:rsidP="00432E48">
      <w:pPr>
        <w:pStyle w:val="MText"/>
      </w:pPr>
    </w:p>
    <w:p w14:paraId="337645EA" w14:textId="77777777" w:rsidR="00274570" w:rsidRPr="003F3D71" w:rsidRDefault="00274570" w:rsidP="00432E48">
      <w:pPr>
        <w:pStyle w:val="MText"/>
      </w:pPr>
      <w:r w:rsidRPr="003F3D71">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2D0542F7" w14:textId="3DE6BFAB" w:rsidR="00D51E7C" w:rsidRPr="003F3D71" w:rsidRDefault="00D51E7C" w:rsidP="00432E48">
      <w:pPr>
        <w:pStyle w:val="MText"/>
      </w:pPr>
    </w:p>
    <w:p w14:paraId="57620022" w14:textId="77777777" w:rsidR="00432E48" w:rsidRPr="00FC3346" w:rsidRDefault="00D51E7C" w:rsidP="00432E48">
      <w:pPr>
        <w:pStyle w:val="MText"/>
        <w:rPr>
          <w:b/>
          <w:bCs/>
        </w:rPr>
      </w:pPr>
      <w:r w:rsidRPr="00FC3346">
        <w:rPr>
          <w:b/>
          <w:bCs/>
        </w:rPr>
        <w:t>Time series:</w:t>
      </w:r>
    </w:p>
    <w:p w14:paraId="0CBA094B" w14:textId="151EBDBF" w:rsidR="00BE7C5E" w:rsidRPr="003F3D71" w:rsidRDefault="00BE7C5E" w:rsidP="00432E48">
      <w:pPr>
        <w:pStyle w:val="MText"/>
      </w:pPr>
      <w:r w:rsidRPr="003F3D71">
        <w:t xml:space="preserve">Renewable generating capacity data is available from 2000 onwards. </w:t>
      </w:r>
    </w:p>
    <w:p w14:paraId="760C013A" w14:textId="4597FCBD" w:rsidR="00D51E7C" w:rsidRPr="003F3D71" w:rsidRDefault="00D51E7C" w:rsidP="00432E48">
      <w:pPr>
        <w:pStyle w:val="MText"/>
      </w:pPr>
    </w:p>
    <w:p w14:paraId="7F98CD27" w14:textId="77777777" w:rsidR="00432E48" w:rsidRPr="00FC3346" w:rsidRDefault="00D51E7C" w:rsidP="00432E48">
      <w:pPr>
        <w:pStyle w:val="MText"/>
        <w:rPr>
          <w:b/>
          <w:bCs/>
        </w:rPr>
      </w:pPr>
      <w:r w:rsidRPr="00FC3346">
        <w:rPr>
          <w:b/>
          <w:bCs/>
        </w:rPr>
        <w:t>Disaggregation:</w:t>
      </w:r>
    </w:p>
    <w:p w14:paraId="7F8CB750" w14:textId="4700AA79" w:rsidR="00567D97" w:rsidRDefault="00567D97" w:rsidP="00432E48">
      <w:pPr>
        <w:pStyle w:val="MText"/>
      </w:pPr>
      <w:r w:rsidRPr="003F3D71">
        <w:t>IRENA’s renewable capacity data is available for every country and area in the world</w:t>
      </w:r>
      <w:r>
        <w:t xml:space="preserve"> from the year 2000 onwards. These figures can also be disaggregated by technology (solar, hydro, wind, etc.) and by on-grid and off-grid capacity.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D2E0832" w14:textId="77777777" w:rsidR="00432E48" w:rsidRPr="00FC3346" w:rsidRDefault="00D51E7C" w:rsidP="00432E48">
      <w:pPr>
        <w:pStyle w:val="MText"/>
        <w:rPr>
          <w:b/>
          <w:bCs/>
        </w:rPr>
      </w:pPr>
      <w:r w:rsidRPr="00FC3346">
        <w:rPr>
          <w:b/>
          <w:bCs/>
        </w:rPr>
        <w:t>Sources of discrepancies:</w:t>
      </w:r>
    </w:p>
    <w:p w14:paraId="73AC56C5" w14:textId="72FD5EE2" w:rsidR="006503FC" w:rsidRDefault="006503FC" w:rsidP="00432E48">
      <w:pPr>
        <w:pStyle w:val="MText"/>
      </w:pPr>
      <w:r>
        <w:t xml:space="preserve">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w:t>
      </w:r>
      <w:r>
        <w:lastRenderedPageBreak/>
        <w:t xml:space="preserve">on Energy Statistics, while some countries and institutions may use slightly different definitions of capacity to reflect local circumstances (e.g. the reporting of </w:t>
      </w:r>
      <w:proofErr w:type="spellStart"/>
      <w:r>
        <w:t>derated</w:t>
      </w:r>
      <w:proofErr w:type="spellEnd"/>
      <w:r>
        <w:t xml:space="preserve"> rather than maximum net installed capacity or the reporting of built rather than commissioned capacity at year-end).</w:t>
      </w:r>
    </w:p>
    <w:p w14:paraId="529A7265" w14:textId="77777777" w:rsidR="00634E4E" w:rsidRPr="00A96255" w:rsidRDefault="00634E4E"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91AD74F" w14:textId="77777777" w:rsidR="00506BD2" w:rsidRDefault="00506BD2" w:rsidP="00506BD2">
      <w:pPr>
        <w:shd w:val="clear" w:color="auto" w:fill="FFFFFF"/>
        <w:spacing w:after="0"/>
        <w:rPr>
          <w:rFonts w:eastAsia="Times New Roman" w:cs="Times New Roman"/>
          <w:color w:val="4A4A4A"/>
          <w:sz w:val="21"/>
          <w:szCs w:val="21"/>
          <w:highlight w:val="yellow"/>
          <w:lang w:eastAsia="en-GB"/>
        </w:rPr>
      </w:pPr>
      <w:r w:rsidRPr="00F85FF2">
        <w:rPr>
          <w:rFonts w:eastAsia="Times New Roman" w:cs="Times New Roman"/>
          <w:color w:val="4A4A4A"/>
          <w:sz w:val="21"/>
          <w:szCs w:val="21"/>
          <w:lang w:eastAsia="en-GB"/>
        </w:rPr>
        <w:t xml:space="preserve">IRENA </w:t>
      </w:r>
      <w:r>
        <w:rPr>
          <w:rFonts w:eastAsia="Times New Roman" w:cs="Times New Roman"/>
          <w:color w:val="4A4A4A"/>
          <w:sz w:val="21"/>
          <w:szCs w:val="21"/>
          <w:lang w:eastAsia="en-GB"/>
        </w:rPr>
        <w:t>Statistical Yearbooks</w:t>
      </w:r>
      <w:r w:rsidRPr="00F85FF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hyperlink r:id="rId13" w:history="1">
        <w:r w:rsidRPr="001C507A">
          <w:rPr>
            <w:rStyle w:val="Hyperlink"/>
            <w:rFonts w:eastAsia="Times New Roman" w:cs="Times New Roman"/>
            <w:sz w:val="21"/>
            <w:szCs w:val="21"/>
            <w:lang w:eastAsia="en-GB"/>
          </w:rPr>
          <w:t>https://www.irena.org/Statistics</w:t>
        </w:r>
      </w:hyperlink>
      <w:r>
        <w:rPr>
          <w:rFonts w:eastAsia="Times New Roman" w:cs="Times New Roman"/>
          <w:color w:val="4A4A4A"/>
          <w:sz w:val="21"/>
          <w:szCs w:val="21"/>
          <w:lang w:eastAsia="en-GB"/>
        </w:rPr>
        <w:t xml:space="preserve">. </w:t>
      </w:r>
    </w:p>
    <w:p w14:paraId="384B0992" w14:textId="36889691" w:rsidR="00186795" w:rsidRDefault="00186795"/>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ACB1" w14:textId="77777777" w:rsidR="000A0EE9" w:rsidRDefault="000A0EE9" w:rsidP="00573C0B">
      <w:pPr>
        <w:spacing w:after="0" w:line="240" w:lineRule="auto"/>
      </w:pPr>
      <w:r>
        <w:separator/>
      </w:r>
    </w:p>
  </w:endnote>
  <w:endnote w:type="continuationSeparator" w:id="0">
    <w:p w14:paraId="7F831C98" w14:textId="77777777" w:rsidR="000A0EE9" w:rsidRDefault="000A0EE9" w:rsidP="00573C0B">
      <w:pPr>
        <w:spacing w:after="0" w:line="240" w:lineRule="auto"/>
      </w:pPr>
      <w:r>
        <w:continuationSeparator/>
      </w:r>
    </w:p>
  </w:endnote>
  <w:endnote w:type="continuationNotice" w:id="1">
    <w:p w14:paraId="15FB141F" w14:textId="77777777" w:rsidR="000A0EE9" w:rsidRDefault="000A0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E24A" w14:textId="77777777" w:rsidR="000A0EE9" w:rsidRDefault="000A0EE9" w:rsidP="00573C0B">
      <w:pPr>
        <w:spacing w:after="0" w:line="240" w:lineRule="auto"/>
      </w:pPr>
      <w:r>
        <w:separator/>
      </w:r>
    </w:p>
  </w:footnote>
  <w:footnote w:type="continuationSeparator" w:id="0">
    <w:p w14:paraId="26E6C964" w14:textId="77777777" w:rsidR="000A0EE9" w:rsidRDefault="000A0EE9" w:rsidP="00573C0B">
      <w:pPr>
        <w:spacing w:after="0" w:line="240" w:lineRule="auto"/>
      </w:pPr>
      <w:r>
        <w:continuationSeparator/>
      </w:r>
    </w:p>
  </w:footnote>
  <w:footnote w:type="continuationNotice" w:id="1">
    <w:p w14:paraId="754E6EAF" w14:textId="77777777" w:rsidR="000A0EE9" w:rsidRDefault="000A0E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B660E64"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E1979">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3szQwNzU0MbQwNbRU0lEKTi0uzszPAykwrAUARYUDQywAAAA="/>
  </w:docVars>
  <w:rsids>
    <w:rsidRoot w:val="0058556D"/>
    <w:rsid w:val="000070BA"/>
    <w:rsid w:val="000173F9"/>
    <w:rsid w:val="000412A0"/>
    <w:rsid w:val="00047DDA"/>
    <w:rsid w:val="0005455A"/>
    <w:rsid w:val="00071F07"/>
    <w:rsid w:val="0007759D"/>
    <w:rsid w:val="000777AB"/>
    <w:rsid w:val="00077F46"/>
    <w:rsid w:val="00090FB1"/>
    <w:rsid w:val="00096186"/>
    <w:rsid w:val="00097EB1"/>
    <w:rsid w:val="000A0EE9"/>
    <w:rsid w:val="000A72E4"/>
    <w:rsid w:val="000B0E2F"/>
    <w:rsid w:val="000B2430"/>
    <w:rsid w:val="000C6282"/>
    <w:rsid w:val="000D0B30"/>
    <w:rsid w:val="000D3B01"/>
    <w:rsid w:val="000D4396"/>
    <w:rsid w:val="000E21F1"/>
    <w:rsid w:val="000F703E"/>
    <w:rsid w:val="00120E86"/>
    <w:rsid w:val="00125DE9"/>
    <w:rsid w:val="001332E0"/>
    <w:rsid w:val="00134DE7"/>
    <w:rsid w:val="00140C70"/>
    <w:rsid w:val="00154B7E"/>
    <w:rsid w:val="00185354"/>
    <w:rsid w:val="001854DC"/>
    <w:rsid w:val="00186795"/>
    <w:rsid w:val="00194D09"/>
    <w:rsid w:val="001A7D5C"/>
    <w:rsid w:val="001B126D"/>
    <w:rsid w:val="001B60AA"/>
    <w:rsid w:val="001B63C8"/>
    <w:rsid w:val="001C1972"/>
    <w:rsid w:val="001C421F"/>
    <w:rsid w:val="001D360D"/>
    <w:rsid w:val="002350CA"/>
    <w:rsid w:val="00261A8D"/>
    <w:rsid w:val="00274570"/>
    <w:rsid w:val="00283C1C"/>
    <w:rsid w:val="00291A00"/>
    <w:rsid w:val="00291A11"/>
    <w:rsid w:val="002A315C"/>
    <w:rsid w:val="002A3342"/>
    <w:rsid w:val="002A64BA"/>
    <w:rsid w:val="002B4989"/>
    <w:rsid w:val="002C2510"/>
    <w:rsid w:val="002D714E"/>
    <w:rsid w:val="002E53C3"/>
    <w:rsid w:val="002F1468"/>
    <w:rsid w:val="002F5F0C"/>
    <w:rsid w:val="00306467"/>
    <w:rsid w:val="003072B1"/>
    <w:rsid w:val="003213F4"/>
    <w:rsid w:val="003265EB"/>
    <w:rsid w:val="00326A2B"/>
    <w:rsid w:val="0034329E"/>
    <w:rsid w:val="00343FAA"/>
    <w:rsid w:val="00347F5E"/>
    <w:rsid w:val="00353C98"/>
    <w:rsid w:val="00371A20"/>
    <w:rsid w:val="00377B53"/>
    <w:rsid w:val="003821B4"/>
    <w:rsid w:val="00382CF3"/>
    <w:rsid w:val="00387D52"/>
    <w:rsid w:val="003A7CEA"/>
    <w:rsid w:val="003F0BD3"/>
    <w:rsid w:val="003F278A"/>
    <w:rsid w:val="003F3D71"/>
    <w:rsid w:val="003F7A02"/>
    <w:rsid w:val="00406338"/>
    <w:rsid w:val="00422EA5"/>
    <w:rsid w:val="00422EFA"/>
    <w:rsid w:val="0042791F"/>
    <w:rsid w:val="00432E48"/>
    <w:rsid w:val="0043537F"/>
    <w:rsid w:val="004456ED"/>
    <w:rsid w:val="004646C6"/>
    <w:rsid w:val="0048045A"/>
    <w:rsid w:val="004841B8"/>
    <w:rsid w:val="004930F2"/>
    <w:rsid w:val="004B0F1C"/>
    <w:rsid w:val="004B2A57"/>
    <w:rsid w:val="004F2EE6"/>
    <w:rsid w:val="00502DBA"/>
    <w:rsid w:val="005040C4"/>
    <w:rsid w:val="00506BD2"/>
    <w:rsid w:val="00507637"/>
    <w:rsid w:val="00507852"/>
    <w:rsid w:val="00514DBF"/>
    <w:rsid w:val="00550921"/>
    <w:rsid w:val="00563712"/>
    <w:rsid w:val="00567D97"/>
    <w:rsid w:val="00573631"/>
    <w:rsid w:val="00573C0B"/>
    <w:rsid w:val="00576CFA"/>
    <w:rsid w:val="00582FE4"/>
    <w:rsid w:val="0058556D"/>
    <w:rsid w:val="00592AF2"/>
    <w:rsid w:val="005947AD"/>
    <w:rsid w:val="00597748"/>
    <w:rsid w:val="005979E8"/>
    <w:rsid w:val="005D0AF4"/>
    <w:rsid w:val="005E54BD"/>
    <w:rsid w:val="005F5594"/>
    <w:rsid w:val="005F6CCA"/>
    <w:rsid w:val="006104AF"/>
    <w:rsid w:val="00621893"/>
    <w:rsid w:val="00630AE4"/>
    <w:rsid w:val="00634E4E"/>
    <w:rsid w:val="006351E1"/>
    <w:rsid w:val="006447B1"/>
    <w:rsid w:val="006503FC"/>
    <w:rsid w:val="00662775"/>
    <w:rsid w:val="006852FC"/>
    <w:rsid w:val="006B40AB"/>
    <w:rsid w:val="006B5DC5"/>
    <w:rsid w:val="006C4BFD"/>
    <w:rsid w:val="006C5301"/>
    <w:rsid w:val="006C7D30"/>
    <w:rsid w:val="006D6DCA"/>
    <w:rsid w:val="006E3C08"/>
    <w:rsid w:val="00700ACF"/>
    <w:rsid w:val="00712487"/>
    <w:rsid w:val="007424DB"/>
    <w:rsid w:val="0074606A"/>
    <w:rsid w:val="007530CA"/>
    <w:rsid w:val="00756D68"/>
    <w:rsid w:val="007578D9"/>
    <w:rsid w:val="00757E8A"/>
    <w:rsid w:val="0076193B"/>
    <w:rsid w:val="00763E43"/>
    <w:rsid w:val="00764EB5"/>
    <w:rsid w:val="00777A95"/>
    <w:rsid w:val="00782416"/>
    <w:rsid w:val="00785899"/>
    <w:rsid w:val="007B0364"/>
    <w:rsid w:val="007D0981"/>
    <w:rsid w:val="007D1929"/>
    <w:rsid w:val="007D4342"/>
    <w:rsid w:val="007F0692"/>
    <w:rsid w:val="00803CF1"/>
    <w:rsid w:val="008104BB"/>
    <w:rsid w:val="008249C5"/>
    <w:rsid w:val="00844205"/>
    <w:rsid w:val="008526F9"/>
    <w:rsid w:val="0085285E"/>
    <w:rsid w:val="00853023"/>
    <w:rsid w:val="008534D4"/>
    <w:rsid w:val="00881E28"/>
    <w:rsid w:val="00894C4B"/>
    <w:rsid w:val="00897F72"/>
    <w:rsid w:val="008A12E3"/>
    <w:rsid w:val="008A42FA"/>
    <w:rsid w:val="008B0AC7"/>
    <w:rsid w:val="008C2335"/>
    <w:rsid w:val="008C67C1"/>
    <w:rsid w:val="008D1D39"/>
    <w:rsid w:val="008F07D2"/>
    <w:rsid w:val="00917851"/>
    <w:rsid w:val="00917F65"/>
    <w:rsid w:val="009311E7"/>
    <w:rsid w:val="009412EB"/>
    <w:rsid w:val="00942694"/>
    <w:rsid w:val="00950DAC"/>
    <w:rsid w:val="00991447"/>
    <w:rsid w:val="00993B4B"/>
    <w:rsid w:val="009A7E3A"/>
    <w:rsid w:val="009B1265"/>
    <w:rsid w:val="009B4A15"/>
    <w:rsid w:val="009B5693"/>
    <w:rsid w:val="009C61A2"/>
    <w:rsid w:val="009C78E4"/>
    <w:rsid w:val="009D687E"/>
    <w:rsid w:val="009E1979"/>
    <w:rsid w:val="009F616F"/>
    <w:rsid w:val="009F6DE7"/>
    <w:rsid w:val="00A10583"/>
    <w:rsid w:val="00A123B9"/>
    <w:rsid w:val="00A2402F"/>
    <w:rsid w:val="00A37FCB"/>
    <w:rsid w:val="00A54863"/>
    <w:rsid w:val="00A61D74"/>
    <w:rsid w:val="00A6748B"/>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06BD"/>
    <w:rsid w:val="00B4237C"/>
    <w:rsid w:val="00B42FE8"/>
    <w:rsid w:val="00B444F7"/>
    <w:rsid w:val="00B52AFD"/>
    <w:rsid w:val="00B54077"/>
    <w:rsid w:val="00B74889"/>
    <w:rsid w:val="00B8087E"/>
    <w:rsid w:val="00BB646E"/>
    <w:rsid w:val="00BC3904"/>
    <w:rsid w:val="00BD0D8F"/>
    <w:rsid w:val="00BD1BA1"/>
    <w:rsid w:val="00BE70A4"/>
    <w:rsid w:val="00BE7C5E"/>
    <w:rsid w:val="00C019E5"/>
    <w:rsid w:val="00C35BC4"/>
    <w:rsid w:val="00C43F5B"/>
    <w:rsid w:val="00CB3AF6"/>
    <w:rsid w:val="00CB4371"/>
    <w:rsid w:val="00CC516D"/>
    <w:rsid w:val="00CF0042"/>
    <w:rsid w:val="00D04AA4"/>
    <w:rsid w:val="00D24330"/>
    <w:rsid w:val="00D40056"/>
    <w:rsid w:val="00D51E7C"/>
    <w:rsid w:val="00D54F29"/>
    <w:rsid w:val="00D7020C"/>
    <w:rsid w:val="00D70AD9"/>
    <w:rsid w:val="00D72152"/>
    <w:rsid w:val="00D94BA5"/>
    <w:rsid w:val="00D9510F"/>
    <w:rsid w:val="00DA0116"/>
    <w:rsid w:val="00DA615C"/>
    <w:rsid w:val="00DD1BC6"/>
    <w:rsid w:val="00DD6901"/>
    <w:rsid w:val="00DE5DC3"/>
    <w:rsid w:val="00E00D8A"/>
    <w:rsid w:val="00E00F09"/>
    <w:rsid w:val="00E1050F"/>
    <w:rsid w:val="00E11604"/>
    <w:rsid w:val="00E11D92"/>
    <w:rsid w:val="00E130A0"/>
    <w:rsid w:val="00E210C4"/>
    <w:rsid w:val="00E23DB7"/>
    <w:rsid w:val="00E26AAC"/>
    <w:rsid w:val="00E30A2B"/>
    <w:rsid w:val="00E46D96"/>
    <w:rsid w:val="00E46ED8"/>
    <w:rsid w:val="00E52CCA"/>
    <w:rsid w:val="00E66409"/>
    <w:rsid w:val="00E70EE5"/>
    <w:rsid w:val="00E81D5B"/>
    <w:rsid w:val="00E976B9"/>
    <w:rsid w:val="00EA05D3"/>
    <w:rsid w:val="00EA61CF"/>
    <w:rsid w:val="00EB19AD"/>
    <w:rsid w:val="00EB2F31"/>
    <w:rsid w:val="00EB6493"/>
    <w:rsid w:val="00EC2915"/>
    <w:rsid w:val="00EC7C1A"/>
    <w:rsid w:val="00ED05A9"/>
    <w:rsid w:val="00ED1BA0"/>
    <w:rsid w:val="00F17257"/>
    <w:rsid w:val="00F34D24"/>
    <w:rsid w:val="00F4130B"/>
    <w:rsid w:val="00F556A2"/>
    <w:rsid w:val="00F719A8"/>
    <w:rsid w:val="00F878B9"/>
    <w:rsid w:val="00FB0765"/>
    <w:rsid w:val="00FB24E8"/>
    <w:rsid w:val="00FB3B2B"/>
    <w:rsid w:val="00FC18DA"/>
    <w:rsid w:val="00FC3346"/>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ena.org/Statisti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dnss/gp/fundprinciples.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Methodolog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3" ma:contentTypeDescription="Create a new document." ma:contentTypeScope="" ma:versionID="49141a91446d7e7f686ea02a849a41b7">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85e6d69be18ffec2bf6860ba0e85a22d"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4D6B44BA-06F9-4A61-865B-F9CAEED21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6008af7c-7336-455d-908f-b3985f6b41c4"/>
  </ds:schemaRefs>
</ds:datastoreItem>
</file>

<file path=customXml/itemProps4.xml><?xml version="1.0" encoding="utf-8"?>
<ds:datastoreItem xmlns:ds="http://schemas.openxmlformats.org/officeDocument/2006/customXml" ds:itemID="{1B7AD025-5D6E-4045-BD79-885B2C6A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2021-03-25T04:02:00Z</dcterms:created>
  <dcterms:modified xsi:type="dcterms:W3CDTF">2021-03-25T04:02:00Z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ies>
</file>