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1BF9E" w14:textId="324AA482" w:rsidR="0058556D" w:rsidRPr="00573631" w:rsidRDefault="00C75095" w:rsidP="008217D0">
      <w:pPr>
        <w:pStyle w:val="MGTHeader"/>
      </w:pPr>
      <w:r>
        <w:t xml:space="preserve">Goal </w:t>
      </w:r>
      <w:r w:rsidR="006F4138">
        <w:t>12</w:t>
      </w:r>
      <w:r w:rsidR="008217D0">
        <w:t xml:space="preserve">: </w:t>
      </w:r>
      <w:r w:rsidR="008217D0" w:rsidRPr="008217D0">
        <w:t>Ensure sustainable consumption and production patterns</w:t>
      </w:r>
      <w:bookmarkStart w:id="0" w:name="_GoBack"/>
      <w:bookmarkEnd w:id="0"/>
    </w:p>
    <w:p w14:paraId="46EF8099" w14:textId="17EEB919" w:rsidR="006F4138" w:rsidRPr="006F4138" w:rsidRDefault="006F4138" w:rsidP="008217D0">
      <w:pPr>
        <w:pStyle w:val="MGTHeader"/>
      </w:pPr>
      <w:r w:rsidRPr="006F4138">
        <w:t>Target 12.c</w:t>
      </w:r>
      <w:r w:rsidR="008217D0">
        <w:t>:</w:t>
      </w:r>
      <w:r w:rsidRPr="006F4138">
        <w:t xml:space="preserve"> </w:t>
      </w:r>
      <w:r w:rsidR="008217D0" w:rsidRPr="008217D0">
        <w:t>Rationalize inefficient fossil-fuel subsidies that encourage wasteful consumption by removing market distortions, in accordance with national circumstances, including by restructuring taxation and phasing out those harmful subsidies, where they exist, to reflect their environmental impacts, taking fully into account the specific needs and conditions of developing countries and minimizing the possible adverse impacts on their development in a manner that protects the poor and the affected communities</w:t>
      </w:r>
    </w:p>
    <w:p w14:paraId="3AFCD386" w14:textId="3543D36F" w:rsidR="0058556D" w:rsidRPr="008217D0" w:rsidRDefault="006F4138" w:rsidP="00A62556">
      <w:pPr>
        <w:pStyle w:val="MIndHeader"/>
      </w:pPr>
      <w:r w:rsidRPr="008217D0">
        <w:t xml:space="preserve">Indicator </w:t>
      </w:r>
      <w:r w:rsidR="00A62556">
        <w:t xml:space="preserve">12.c.1: </w:t>
      </w:r>
      <w:proofErr w:type="gramStart"/>
      <w:r w:rsidR="00A726C8" w:rsidRPr="00A726C8">
        <w:t>Amount</w:t>
      </w:r>
      <w:proofErr w:type="gramEnd"/>
      <w:r w:rsidR="00A726C8" w:rsidRPr="00A726C8">
        <w:t xml:space="preserve"> of fossil-fuel subsidies (production and consumption) per unit of GDP</w:t>
      </w:r>
    </w:p>
    <w:p w14:paraId="080DEB20" w14:textId="77777777" w:rsidR="008217D0" w:rsidRPr="00D903AF" w:rsidRDefault="008217D0" w:rsidP="00573631">
      <w:pPr>
        <w:pBdr>
          <w:bottom w:val="single" w:sz="12" w:space="4" w:color="DDDDDD"/>
        </w:pBdr>
        <w:shd w:val="clear" w:color="auto" w:fill="FFFFFF"/>
        <w:spacing w:after="0"/>
        <w:outlineLvl w:val="2"/>
        <w:rPr>
          <w:rFonts w:eastAsia="Times New Roman" w:cs="Times New Roman"/>
          <w:color w:val="1C75BC"/>
          <w:lang w:eastAsia="en-GB"/>
        </w:rPr>
      </w:pPr>
    </w:p>
    <w:p w14:paraId="104B8D81" w14:textId="1BA44593" w:rsidR="0058556D" w:rsidRPr="00A62556" w:rsidRDefault="0058556D" w:rsidP="008217D0">
      <w:pPr>
        <w:pStyle w:val="MHeader"/>
        <w:rPr>
          <w:lang w:val="fr-FR"/>
        </w:rPr>
      </w:pPr>
      <w:proofErr w:type="spellStart"/>
      <w:r w:rsidRPr="00A62556">
        <w:rPr>
          <w:lang w:val="fr-FR"/>
        </w:rPr>
        <w:t>Institutional</w:t>
      </w:r>
      <w:proofErr w:type="spellEnd"/>
      <w:r w:rsidRPr="00A62556">
        <w:rPr>
          <w:lang w:val="fr-FR"/>
        </w:rPr>
        <w:t xml:space="preserve"> information</w:t>
      </w:r>
    </w:p>
    <w:p w14:paraId="3D804ED4" w14:textId="77777777" w:rsidR="0058556D" w:rsidRPr="00A62556" w:rsidRDefault="0058556D" w:rsidP="00573631">
      <w:pPr>
        <w:shd w:val="clear" w:color="auto" w:fill="FFFFFF"/>
        <w:spacing w:after="0"/>
        <w:rPr>
          <w:rFonts w:eastAsia="Times New Roman" w:cs="Times New Roman"/>
          <w:b/>
          <w:bCs/>
          <w:color w:val="4A4A4A"/>
          <w:sz w:val="21"/>
          <w:szCs w:val="21"/>
          <w:lang w:val="fr-FR" w:eastAsia="en-GB"/>
        </w:rPr>
      </w:pPr>
    </w:p>
    <w:p w14:paraId="7E5CE0FF" w14:textId="77777777" w:rsidR="0058556D" w:rsidRPr="00A62556" w:rsidRDefault="0058556D" w:rsidP="0013497F">
      <w:pPr>
        <w:pStyle w:val="MSubHeader"/>
        <w:rPr>
          <w:lang w:val="fr-FR"/>
        </w:rPr>
      </w:pPr>
      <w:proofErr w:type="spellStart"/>
      <w:r w:rsidRPr="00A62556">
        <w:rPr>
          <w:lang w:val="fr-FR"/>
        </w:rPr>
        <w:t>Organization</w:t>
      </w:r>
      <w:proofErr w:type="spellEnd"/>
      <w:r w:rsidRPr="00A62556">
        <w:rPr>
          <w:lang w:val="fr-FR"/>
        </w:rPr>
        <w:t>(s</w:t>
      </w:r>
      <w:proofErr w:type="gramStart"/>
      <w:r w:rsidRPr="00A62556">
        <w:rPr>
          <w:lang w:val="fr-FR"/>
        </w:rPr>
        <w:t>):</w:t>
      </w:r>
      <w:proofErr w:type="gramEnd"/>
    </w:p>
    <w:p w14:paraId="4C308980" w14:textId="77777777" w:rsidR="0058556D" w:rsidRPr="00A62556" w:rsidRDefault="00C75095" w:rsidP="00573631">
      <w:pPr>
        <w:shd w:val="clear" w:color="auto" w:fill="FFFFFF"/>
        <w:spacing w:after="0"/>
        <w:rPr>
          <w:rFonts w:eastAsia="Times New Roman" w:cs="Times New Roman"/>
          <w:color w:val="4A4A4A"/>
          <w:sz w:val="21"/>
          <w:szCs w:val="21"/>
          <w:lang w:val="fr-FR" w:eastAsia="en-GB"/>
        </w:rPr>
      </w:pPr>
      <w:r w:rsidRPr="00A62556">
        <w:rPr>
          <w:rFonts w:eastAsia="Times New Roman" w:cs="Times New Roman"/>
          <w:color w:val="4A4A4A"/>
          <w:sz w:val="21"/>
          <w:szCs w:val="21"/>
          <w:lang w:val="fr-FR" w:eastAsia="en-GB"/>
        </w:rPr>
        <w:t xml:space="preserve">UN </w:t>
      </w:r>
      <w:proofErr w:type="spellStart"/>
      <w:r w:rsidRPr="00A62556">
        <w:rPr>
          <w:rFonts w:eastAsia="Times New Roman" w:cs="Times New Roman"/>
          <w:color w:val="4A4A4A"/>
          <w:sz w:val="21"/>
          <w:szCs w:val="21"/>
          <w:lang w:val="fr-FR" w:eastAsia="en-GB"/>
        </w:rPr>
        <w:t>Environment</w:t>
      </w:r>
      <w:proofErr w:type="spellEnd"/>
      <w:r w:rsidR="00042C85" w:rsidRPr="00A62556">
        <w:rPr>
          <w:rFonts w:eastAsia="Times New Roman" w:cs="Times New Roman"/>
          <w:color w:val="4A4A4A"/>
          <w:sz w:val="21"/>
          <w:szCs w:val="21"/>
          <w:lang w:val="fr-FR" w:eastAsia="en-GB"/>
        </w:rPr>
        <w:t xml:space="preserve"> (United Nations </w:t>
      </w:r>
      <w:proofErr w:type="spellStart"/>
      <w:r w:rsidR="00042C85" w:rsidRPr="00A62556">
        <w:rPr>
          <w:rFonts w:eastAsia="Times New Roman" w:cs="Times New Roman"/>
          <w:color w:val="4A4A4A"/>
          <w:sz w:val="21"/>
          <w:szCs w:val="21"/>
          <w:lang w:val="fr-FR" w:eastAsia="en-GB"/>
        </w:rPr>
        <w:t>Environment</w:t>
      </w:r>
      <w:proofErr w:type="spellEnd"/>
      <w:r w:rsidR="00042C85" w:rsidRPr="00A62556">
        <w:rPr>
          <w:rFonts w:eastAsia="Times New Roman" w:cs="Times New Roman"/>
          <w:color w:val="4A4A4A"/>
          <w:sz w:val="21"/>
          <w:szCs w:val="21"/>
          <w:lang w:val="fr-FR" w:eastAsia="en-GB"/>
        </w:rPr>
        <w:t xml:space="preserve"> Programme)</w:t>
      </w:r>
    </w:p>
    <w:p w14:paraId="3D2769E3" w14:textId="77777777" w:rsidR="00621893" w:rsidRPr="00A62556" w:rsidRDefault="00621893" w:rsidP="00573631">
      <w:pPr>
        <w:shd w:val="clear" w:color="auto" w:fill="FFFFFF"/>
        <w:spacing w:after="0"/>
        <w:rPr>
          <w:rFonts w:eastAsia="Times New Roman" w:cs="Times New Roman"/>
          <w:color w:val="4A4A4A"/>
          <w:sz w:val="21"/>
          <w:szCs w:val="21"/>
          <w:lang w:val="fr-FR" w:eastAsia="en-GB"/>
        </w:rPr>
      </w:pPr>
    </w:p>
    <w:p w14:paraId="2C15EEA0" w14:textId="77777777" w:rsidR="0058556D" w:rsidRPr="00573631" w:rsidRDefault="0058556D" w:rsidP="008217D0">
      <w:pPr>
        <w:pStyle w:val="MHeader"/>
      </w:pPr>
      <w:r w:rsidRPr="00573631">
        <w:t>Concepts and definitions</w:t>
      </w:r>
    </w:p>
    <w:p w14:paraId="60703CB3"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4CD5914B" w14:textId="77777777"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Definition:</w:t>
      </w:r>
    </w:p>
    <w:p w14:paraId="0EF8D179" w14:textId="0170F54B" w:rsidR="00596C46" w:rsidRDefault="00596C46" w:rsidP="0013497F">
      <w:pPr>
        <w:pStyle w:val="MText"/>
      </w:pPr>
      <w:proofErr w:type="gramStart"/>
      <w:r w:rsidRPr="00596C46">
        <w:t>In order to</w:t>
      </w:r>
      <w:proofErr w:type="gramEnd"/>
      <w:r w:rsidRPr="00596C46">
        <w:t xml:space="preserve"> measure fossil fuel subsidies at the national, regional and global level, three sub-indicators are recommended for reporting on this indicator: 1) direct transfer of government funds; 2) induced transfers (price support); and as an optional sub-indicator 3) tax expenditure, other revenue foregone, and unde</w:t>
      </w:r>
      <w:r>
        <w:t xml:space="preserve">r-pricing of goods and services. </w:t>
      </w:r>
      <w:r w:rsidRPr="00596C46">
        <w:t>The definitions of the IEA Statistical Manual (IEA, 2005) and the Agreement on Subsidies and Countervailing Measures (ASCM) under the World Trade Organization (WTO) (WTO, 1994) are used to define fossil fuel subsidies. Standardised descriptions from the United Nations Statistical Office’s Central Product Classification should be used to classify individual energy products. It is proposed to drop the wording “as a proportion of total nation</w:t>
      </w:r>
      <w:r>
        <w:t xml:space="preserve">al expenditure on fossil fuels” and thus this indicator is effectively </w:t>
      </w:r>
      <w:r w:rsidRPr="00596C46">
        <w:t>"Amount of fossil fuel subsidies per unit of GDP (production and consumption)".</w:t>
      </w:r>
    </w:p>
    <w:p w14:paraId="3B3A3133" w14:textId="3698621D" w:rsidR="001D3698" w:rsidRPr="00573631" w:rsidRDefault="00EB0298" w:rsidP="0013497F">
      <w:pPr>
        <w:pStyle w:val="MText"/>
      </w:pPr>
      <w:r>
        <w:t xml:space="preserve"> </w:t>
      </w:r>
    </w:p>
    <w:p w14:paraId="1545202F"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6D3D0CF9" w14:textId="77777777" w:rsidR="00596C46" w:rsidRDefault="00596C46" w:rsidP="00596C46">
      <w:pPr>
        <w:shd w:val="clear" w:color="auto" w:fill="FFFFFF"/>
        <w:spacing w:after="0"/>
        <w:rPr>
          <w:rFonts w:eastAsia="Times New Roman" w:cs="Times New Roman"/>
          <w:color w:val="4A4A4A"/>
          <w:sz w:val="21"/>
          <w:szCs w:val="21"/>
          <w:lang w:eastAsia="en-GB"/>
        </w:rPr>
      </w:pPr>
      <w:r w:rsidRPr="00596C46">
        <w:rPr>
          <w:rFonts w:eastAsia="Times New Roman" w:cs="Times New Roman"/>
          <w:color w:val="4A4A4A"/>
          <w:sz w:val="21"/>
          <w:szCs w:val="21"/>
          <w:lang w:eastAsia="en-GB"/>
        </w:rPr>
        <w:t xml:space="preserve">The scale and impact of fossil fuel subsidies presents both challenges and opportunities for achieving the goals of the 2030 Agenda on Sustainable Development. For one, the use of fossil fuels, and their promotion through subsidy schemes, adversely affects the ability of governments to attain key goals, such as reducing poverty, improving health, reaching gender equality, providing access to energy, and addressing climate change. At the same time, there is a need to ensure that poor households that are particularly vulnerable to price increases obtain or retain access to energy. Energy-dependent sectors of the economy can be affected, particularly by abrupt changes in prices. Any successful reform therefore requires careful analysis and adapted mitigation measures. For another, reallocating fossil fuel subsidies to sectors that are relevant for development could give a boost to reaching the SDGs. </w:t>
      </w:r>
    </w:p>
    <w:p w14:paraId="3A605775" w14:textId="77777777" w:rsidR="00596C46" w:rsidRDefault="00596C46" w:rsidP="00596C46">
      <w:pPr>
        <w:shd w:val="clear" w:color="auto" w:fill="FFFFFF"/>
        <w:spacing w:after="0"/>
        <w:rPr>
          <w:rFonts w:eastAsia="Times New Roman" w:cs="Times New Roman"/>
          <w:color w:val="4A4A4A"/>
          <w:sz w:val="21"/>
          <w:szCs w:val="21"/>
          <w:lang w:eastAsia="en-GB"/>
        </w:rPr>
      </w:pPr>
    </w:p>
    <w:p w14:paraId="1A3037F2" w14:textId="42965A30" w:rsidR="0058556D" w:rsidRDefault="00596C46" w:rsidP="00596C46">
      <w:pPr>
        <w:shd w:val="clear" w:color="auto" w:fill="FFFFFF"/>
        <w:spacing w:after="0"/>
        <w:rPr>
          <w:rFonts w:eastAsia="Times New Roman" w:cs="Times New Roman"/>
          <w:color w:val="4A4A4A"/>
          <w:sz w:val="21"/>
          <w:szCs w:val="21"/>
          <w:lang w:eastAsia="en-GB"/>
        </w:rPr>
      </w:pPr>
      <w:r w:rsidRPr="00596C46">
        <w:rPr>
          <w:rFonts w:eastAsia="Times New Roman" w:cs="Times New Roman"/>
          <w:color w:val="4A4A4A"/>
          <w:sz w:val="21"/>
          <w:szCs w:val="21"/>
          <w:lang w:eastAsia="en-GB"/>
        </w:rPr>
        <w:t>Awareness and understanding of existing subsidies based on credible data is necessary to increase transparency and inform decision-making. Reporting against a global indicator</w:t>
      </w:r>
      <w:r>
        <w:rPr>
          <w:rFonts w:eastAsia="Times New Roman" w:cs="Times New Roman"/>
          <w:color w:val="4A4A4A"/>
          <w:sz w:val="21"/>
          <w:szCs w:val="21"/>
          <w:lang w:eastAsia="en-GB"/>
        </w:rPr>
        <w:t xml:space="preserve"> measuring consumer and producer fossil fuel subsidies</w:t>
      </w:r>
      <w:r w:rsidRPr="00596C46">
        <w:rPr>
          <w:rFonts w:eastAsia="Times New Roman" w:cs="Times New Roman"/>
          <w:color w:val="4A4A4A"/>
          <w:sz w:val="21"/>
          <w:szCs w:val="21"/>
          <w:lang w:eastAsia="en-GB"/>
        </w:rPr>
        <w:t xml:space="preserve"> provide</w:t>
      </w:r>
      <w:r>
        <w:rPr>
          <w:rFonts w:eastAsia="Times New Roman" w:cs="Times New Roman"/>
          <w:color w:val="4A4A4A"/>
          <w:sz w:val="21"/>
          <w:szCs w:val="21"/>
          <w:lang w:eastAsia="en-GB"/>
        </w:rPr>
        <w:t>s</w:t>
      </w:r>
      <w:r w:rsidRPr="00596C46">
        <w:rPr>
          <w:rFonts w:eastAsia="Times New Roman" w:cs="Times New Roman"/>
          <w:color w:val="4A4A4A"/>
          <w:sz w:val="21"/>
          <w:szCs w:val="21"/>
          <w:lang w:eastAsia="en-GB"/>
        </w:rPr>
        <w:t xml:space="preserve"> a global picture that encompasses both consu</w:t>
      </w:r>
      <w:r>
        <w:rPr>
          <w:rFonts w:eastAsia="Times New Roman" w:cs="Times New Roman"/>
          <w:color w:val="4A4A4A"/>
          <w:sz w:val="21"/>
          <w:szCs w:val="21"/>
          <w:lang w:eastAsia="en-GB"/>
        </w:rPr>
        <w:t xml:space="preserve">mer and producer subsidies. It </w:t>
      </w:r>
      <w:r w:rsidRPr="00596C46">
        <w:rPr>
          <w:rFonts w:eastAsia="Times New Roman" w:cs="Times New Roman"/>
          <w:color w:val="4A4A4A"/>
          <w:sz w:val="21"/>
          <w:szCs w:val="21"/>
          <w:lang w:eastAsia="en-GB"/>
        </w:rPr>
        <w:t>allow</w:t>
      </w:r>
      <w:r>
        <w:rPr>
          <w:rFonts w:eastAsia="Times New Roman" w:cs="Times New Roman"/>
          <w:color w:val="4A4A4A"/>
          <w:sz w:val="21"/>
          <w:szCs w:val="21"/>
          <w:lang w:eastAsia="en-GB"/>
        </w:rPr>
        <w:t>s</w:t>
      </w:r>
      <w:r w:rsidRPr="00596C46">
        <w:rPr>
          <w:rFonts w:eastAsia="Times New Roman" w:cs="Times New Roman"/>
          <w:color w:val="4A4A4A"/>
          <w:sz w:val="21"/>
          <w:szCs w:val="21"/>
          <w:lang w:eastAsia="en-GB"/>
        </w:rPr>
        <w:t xml:space="preserve"> for tracking of national and global trends and serve as an important guide for policy-making. </w:t>
      </w:r>
    </w:p>
    <w:p w14:paraId="52567AC0" w14:textId="77777777" w:rsidR="00596C46" w:rsidRPr="00573631" w:rsidRDefault="00596C46" w:rsidP="00596C46">
      <w:pPr>
        <w:shd w:val="clear" w:color="auto" w:fill="FFFFFF"/>
        <w:spacing w:after="0"/>
        <w:rPr>
          <w:rFonts w:eastAsia="Times New Roman" w:cs="Times New Roman"/>
          <w:color w:val="4A4A4A"/>
          <w:sz w:val="21"/>
          <w:szCs w:val="21"/>
          <w:lang w:eastAsia="en-GB"/>
        </w:rPr>
      </w:pPr>
    </w:p>
    <w:p w14:paraId="46DF0B7E"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501BD0B3" w14:textId="07B91495" w:rsidR="00641EF0" w:rsidRDefault="00641EF0" w:rsidP="00CF74E8">
      <w:pPr>
        <w:shd w:val="clear" w:color="auto" w:fill="FFFFFF"/>
        <w:spacing w:after="0"/>
        <w:jc w:val="both"/>
        <w:rPr>
          <w:rFonts w:eastAsia="Times New Roman" w:cs="Times New Roman"/>
          <w:color w:val="4A4A4A"/>
          <w:sz w:val="21"/>
          <w:szCs w:val="21"/>
          <w:lang w:eastAsia="en-GB"/>
        </w:rPr>
      </w:pPr>
      <w:r w:rsidRPr="00CF74E8">
        <w:rPr>
          <w:rFonts w:eastAsia="Times New Roman" w:cs="Times New Roman"/>
          <w:color w:val="4A4A4A"/>
          <w:sz w:val="21"/>
          <w:szCs w:val="21"/>
          <w:lang w:eastAsia="en-GB"/>
        </w:rPr>
        <w:lastRenderedPageBreak/>
        <w:t>The concepts and definitions used in the methodology have been based on existing international frameworks and glossaries.</w:t>
      </w:r>
    </w:p>
    <w:p w14:paraId="0F2BDCA5" w14:textId="578C4139" w:rsidR="00596C46" w:rsidRPr="008217D0" w:rsidRDefault="00596C46" w:rsidP="008217D0">
      <w:pPr>
        <w:pStyle w:val="ListParagraph"/>
        <w:numPr>
          <w:ilvl w:val="0"/>
          <w:numId w:val="42"/>
        </w:numPr>
        <w:shd w:val="clear" w:color="auto" w:fill="FFFFFF"/>
        <w:spacing w:after="0"/>
        <w:jc w:val="both"/>
        <w:rPr>
          <w:rFonts w:eastAsia="Times New Roman" w:cs="Times New Roman"/>
          <w:color w:val="4A4A4A"/>
          <w:sz w:val="21"/>
          <w:szCs w:val="21"/>
          <w:lang w:eastAsia="en-GB"/>
        </w:rPr>
      </w:pPr>
      <w:r w:rsidRPr="008217D0">
        <w:rPr>
          <w:rFonts w:eastAsia="Times New Roman" w:cs="Times New Roman"/>
          <w:color w:val="4A4A4A"/>
          <w:sz w:val="21"/>
          <w:szCs w:val="21"/>
          <w:lang w:eastAsia="en-GB"/>
        </w:rPr>
        <w:t>Use definition of fossil fuels from IEA Statistics Manual, “Fossil fuels are taken from natural resources which were formed from biomass in the geological past. By extension, the term fossil is also applied to any secondary fuel manufactured from a fossil fuel.”</w:t>
      </w:r>
    </w:p>
    <w:p w14:paraId="20BC66AF" w14:textId="0891F5CF" w:rsidR="00596C46" w:rsidRPr="008217D0" w:rsidRDefault="00596C46" w:rsidP="008217D0">
      <w:pPr>
        <w:pStyle w:val="ListParagraph"/>
        <w:numPr>
          <w:ilvl w:val="0"/>
          <w:numId w:val="42"/>
        </w:numPr>
        <w:shd w:val="clear" w:color="auto" w:fill="FFFFFF"/>
        <w:spacing w:after="0"/>
        <w:jc w:val="both"/>
        <w:rPr>
          <w:rFonts w:eastAsia="Times New Roman" w:cs="Times New Roman"/>
          <w:color w:val="4A4A4A"/>
          <w:sz w:val="21"/>
          <w:szCs w:val="21"/>
          <w:lang w:eastAsia="en-GB"/>
        </w:rPr>
      </w:pPr>
      <w:r w:rsidRPr="008217D0">
        <w:rPr>
          <w:rFonts w:eastAsia="Times New Roman" w:cs="Times New Roman"/>
          <w:color w:val="4A4A4A"/>
          <w:sz w:val="21"/>
          <w:szCs w:val="21"/>
          <w:lang w:eastAsia="en-GB"/>
        </w:rPr>
        <w:t>Use the terms set out in CPC Rev. 2.1 for the statistical classificat</w:t>
      </w:r>
      <w:r w:rsidR="008217D0">
        <w:rPr>
          <w:rFonts w:eastAsia="Times New Roman" w:cs="Times New Roman"/>
          <w:color w:val="4A4A4A"/>
          <w:sz w:val="21"/>
          <w:szCs w:val="21"/>
          <w:lang w:eastAsia="en-GB"/>
        </w:rPr>
        <w:t xml:space="preserve">ion of the individual products. </w:t>
      </w:r>
      <w:r w:rsidRPr="008217D0">
        <w:rPr>
          <w:rFonts w:eastAsia="Times New Roman" w:cs="Times New Roman"/>
          <w:color w:val="4A4A4A"/>
          <w:sz w:val="21"/>
          <w:szCs w:val="21"/>
          <w:lang w:eastAsia="en-GB"/>
        </w:rPr>
        <w:t>No other commonly accepted definition identified</w:t>
      </w:r>
    </w:p>
    <w:p w14:paraId="76BBF8A6" w14:textId="1A6099E6" w:rsidR="00596C46" w:rsidRPr="008217D0" w:rsidRDefault="00596C46" w:rsidP="008217D0">
      <w:pPr>
        <w:pStyle w:val="ListParagraph"/>
        <w:numPr>
          <w:ilvl w:val="0"/>
          <w:numId w:val="42"/>
        </w:numPr>
        <w:shd w:val="clear" w:color="auto" w:fill="FFFFFF"/>
        <w:spacing w:after="0"/>
        <w:jc w:val="both"/>
        <w:rPr>
          <w:rFonts w:eastAsia="Times New Roman" w:cs="Times New Roman"/>
          <w:color w:val="4A4A4A"/>
          <w:sz w:val="21"/>
          <w:szCs w:val="21"/>
          <w:lang w:eastAsia="en-GB"/>
        </w:rPr>
      </w:pPr>
      <w:r w:rsidRPr="008217D0">
        <w:rPr>
          <w:rFonts w:eastAsia="Times New Roman" w:cs="Times New Roman"/>
          <w:color w:val="4A4A4A"/>
          <w:sz w:val="21"/>
          <w:szCs w:val="21"/>
          <w:lang w:eastAsia="en-GB"/>
        </w:rPr>
        <w:t xml:space="preserve">Include electricity and heat generated from fossil fuels in the scope of fossil fuels. </w:t>
      </w:r>
    </w:p>
    <w:p w14:paraId="62575605" w14:textId="29FA1C38" w:rsidR="00596C46" w:rsidRPr="008217D0" w:rsidRDefault="00596C46" w:rsidP="008217D0">
      <w:pPr>
        <w:pStyle w:val="ListParagraph"/>
        <w:numPr>
          <w:ilvl w:val="0"/>
          <w:numId w:val="42"/>
        </w:numPr>
        <w:shd w:val="clear" w:color="auto" w:fill="FFFFFF"/>
        <w:spacing w:after="0"/>
        <w:jc w:val="both"/>
        <w:rPr>
          <w:rFonts w:eastAsia="Times New Roman" w:cs="Times New Roman"/>
          <w:color w:val="4A4A4A"/>
          <w:sz w:val="21"/>
          <w:szCs w:val="21"/>
          <w:lang w:eastAsia="en-GB"/>
        </w:rPr>
      </w:pPr>
      <w:r w:rsidRPr="008217D0">
        <w:rPr>
          <w:rFonts w:eastAsia="Times New Roman" w:cs="Times New Roman"/>
          <w:color w:val="4A4A4A"/>
          <w:sz w:val="21"/>
          <w:szCs w:val="21"/>
          <w:lang w:eastAsia="en-GB"/>
        </w:rPr>
        <w:t>Include non-energy uses with monitoring optional</w:t>
      </w:r>
      <w:r w:rsidRPr="008217D0">
        <w:rPr>
          <w:rFonts w:eastAsia="Times New Roman" w:cs="Times New Roman"/>
          <w:color w:val="4A4A4A"/>
          <w:sz w:val="21"/>
          <w:szCs w:val="21"/>
          <w:lang w:eastAsia="en-GB"/>
        </w:rPr>
        <w:tab/>
        <w:t>for the measuring of this indicator.</w:t>
      </w:r>
    </w:p>
    <w:p w14:paraId="1CFB5E5D" w14:textId="4B93B68E" w:rsidR="00596C46" w:rsidRPr="008217D0" w:rsidRDefault="00596C46" w:rsidP="008217D0">
      <w:pPr>
        <w:pStyle w:val="ListParagraph"/>
        <w:numPr>
          <w:ilvl w:val="0"/>
          <w:numId w:val="42"/>
        </w:numPr>
        <w:shd w:val="clear" w:color="auto" w:fill="FFFFFF"/>
        <w:spacing w:after="0"/>
        <w:jc w:val="both"/>
        <w:rPr>
          <w:rFonts w:eastAsia="Times New Roman" w:cs="Times New Roman"/>
          <w:color w:val="4A4A4A"/>
          <w:sz w:val="21"/>
          <w:szCs w:val="21"/>
          <w:lang w:eastAsia="en-GB"/>
        </w:rPr>
      </w:pPr>
      <w:r w:rsidRPr="008217D0">
        <w:rPr>
          <w:rFonts w:eastAsia="Times New Roman" w:cs="Times New Roman"/>
          <w:color w:val="4A4A4A"/>
          <w:sz w:val="21"/>
          <w:szCs w:val="21"/>
          <w:lang w:eastAsia="en-GB"/>
        </w:rPr>
        <w:t>Additional details are provided in the methodological document entitled, Measuring Fossil Fuel Subsidies in the Context of the Sustainable Development Goals.</w:t>
      </w:r>
    </w:p>
    <w:p w14:paraId="5F471253" w14:textId="77777777" w:rsidR="00596C46" w:rsidRPr="00CF74E8" w:rsidRDefault="00596C46" w:rsidP="00596C46">
      <w:pPr>
        <w:shd w:val="clear" w:color="auto" w:fill="FFFFFF"/>
        <w:spacing w:after="0"/>
        <w:jc w:val="both"/>
        <w:rPr>
          <w:rFonts w:eastAsia="Times New Roman" w:cs="Times New Roman"/>
          <w:color w:val="4A4A4A"/>
          <w:sz w:val="21"/>
          <w:szCs w:val="21"/>
          <w:lang w:eastAsia="en-GB"/>
        </w:rPr>
      </w:pPr>
    </w:p>
    <w:p w14:paraId="35909D6C" w14:textId="77777777" w:rsidR="005606DD" w:rsidRPr="007F33BC" w:rsidRDefault="00803CF1" w:rsidP="0057363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2B2A8109" w14:textId="3C3C9570" w:rsidR="00B45432" w:rsidRDefault="006B7084" w:rsidP="001F495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monitoring and reporting of SDG Indicator </w:t>
      </w:r>
      <w:r w:rsidR="00B45432">
        <w:rPr>
          <w:rFonts w:eastAsia="Times New Roman" w:cs="Times New Roman"/>
          <w:color w:val="4A4A4A"/>
          <w:sz w:val="21"/>
          <w:szCs w:val="21"/>
          <w:lang w:eastAsia="en-GB"/>
        </w:rPr>
        <w:t>12.c.1 requires capacity within national statistical systems to evaluate direct and indirect transfers of government funds. D</w:t>
      </w:r>
      <w:r w:rsidR="00B45432" w:rsidRPr="00B45432">
        <w:rPr>
          <w:rFonts w:eastAsia="Times New Roman" w:cs="Times New Roman"/>
          <w:color w:val="4A4A4A"/>
          <w:sz w:val="21"/>
          <w:szCs w:val="21"/>
          <w:lang w:eastAsia="en-GB"/>
        </w:rPr>
        <w:t>ata collection by the statistical agencies from the sectoral ministries and state-owned enterprises, including at the sub-national level, which depends on their capacity.</w:t>
      </w:r>
      <w:r w:rsidR="00B45432">
        <w:rPr>
          <w:rFonts w:eastAsia="Times New Roman" w:cs="Times New Roman"/>
          <w:color w:val="4A4A4A"/>
          <w:sz w:val="21"/>
          <w:szCs w:val="21"/>
          <w:lang w:eastAsia="en-GB"/>
        </w:rPr>
        <w:t xml:space="preserve"> There is a need for additional training materials and sharing of experiences on the indicator.</w:t>
      </w:r>
    </w:p>
    <w:p w14:paraId="0C4B97AC" w14:textId="77777777" w:rsidR="00B45432" w:rsidRDefault="00B45432" w:rsidP="001F4954">
      <w:pPr>
        <w:shd w:val="clear" w:color="auto" w:fill="FFFFFF"/>
        <w:spacing w:after="0"/>
        <w:rPr>
          <w:rFonts w:eastAsia="Times New Roman" w:cs="Times New Roman"/>
          <w:color w:val="4A4A4A"/>
          <w:sz w:val="21"/>
          <w:szCs w:val="21"/>
          <w:lang w:eastAsia="en-GB"/>
        </w:rPr>
      </w:pPr>
    </w:p>
    <w:p w14:paraId="420C1ECC" w14:textId="38192B34" w:rsidR="00210693" w:rsidRDefault="00B45432" w:rsidP="001F495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methodology utilizes a phased </w:t>
      </w:r>
      <w:r w:rsidR="00ED7201">
        <w:rPr>
          <w:rFonts w:eastAsia="Times New Roman" w:cs="Times New Roman"/>
          <w:color w:val="4A4A4A"/>
          <w:sz w:val="21"/>
          <w:szCs w:val="21"/>
          <w:lang w:eastAsia="en-GB"/>
        </w:rPr>
        <w:t xml:space="preserve">monitoring </w:t>
      </w:r>
      <w:r>
        <w:rPr>
          <w:rFonts w:eastAsia="Times New Roman" w:cs="Times New Roman"/>
          <w:color w:val="4A4A4A"/>
          <w:sz w:val="21"/>
          <w:szCs w:val="21"/>
          <w:lang w:eastAsia="en-GB"/>
        </w:rPr>
        <w:t xml:space="preserve">to allow for countries with different capacities to engage in monitoring </w:t>
      </w:r>
      <w:proofErr w:type="gramStart"/>
      <w:r>
        <w:rPr>
          <w:rFonts w:eastAsia="Times New Roman" w:cs="Times New Roman"/>
          <w:color w:val="4A4A4A"/>
          <w:sz w:val="21"/>
          <w:szCs w:val="21"/>
          <w:lang w:eastAsia="en-GB"/>
        </w:rPr>
        <w:t>12.c.</w:t>
      </w:r>
      <w:proofErr w:type="gramEnd"/>
      <w:r>
        <w:rPr>
          <w:rFonts w:eastAsia="Times New Roman" w:cs="Times New Roman"/>
          <w:color w:val="4A4A4A"/>
          <w:sz w:val="21"/>
          <w:szCs w:val="21"/>
          <w:lang w:eastAsia="en-GB"/>
        </w:rPr>
        <w:t>1. The two phases include global monitoring based on price gap estimates plus national monitoring of direct and indirect transfers with optional monitoring of tax expenditure foregone.</w:t>
      </w:r>
    </w:p>
    <w:p w14:paraId="291959FC" w14:textId="77777777" w:rsidR="008217D0" w:rsidRPr="00CF74E8" w:rsidRDefault="008217D0" w:rsidP="001F4954">
      <w:pPr>
        <w:shd w:val="clear" w:color="auto" w:fill="FFFFFF"/>
        <w:spacing w:after="0"/>
        <w:rPr>
          <w:rFonts w:eastAsia="Times New Roman" w:cs="Times New Roman"/>
          <w:color w:val="4A4A4A"/>
          <w:sz w:val="21"/>
          <w:szCs w:val="21"/>
          <w:lang w:eastAsia="en-GB"/>
        </w:rPr>
      </w:pPr>
    </w:p>
    <w:p w14:paraId="25090CFF" w14:textId="77777777" w:rsidR="0058556D" w:rsidRPr="00573631" w:rsidRDefault="0058556D" w:rsidP="008217D0">
      <w:pPr>
        <w:pStyle w:val="MHeader"/>
      </w:pPr>
      <w:r w:rsidRPr="00573631">
        <w:t>Methodology</w:t>
      </w:r>
    </w:p>
    <w:p w14:paraId="42A1486E" w14:textId="77777777"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Computation Method:</w:t>
      </w:r>
    </w:p>
    <w:p w14:paraId="1F40ED56" w14:textId="3B9CAFCC" w:rsidR="00B45432" w:rsidRPr="00B45432" w:rsidRDefault="008217D0" w:rsidP="008217D0">
      <w:pPr>
        <w:pStyle w:val="MText"/>
        <w:rPr>
          <w:lang w:val="en-IE"/>
        </w:rPr>
      </w:pPr>
      <w:r>
        <w:rPr>
          <w:lang w:val="en-IE"/>
        </w:rPr>
        <w:t>I</w:t>
      </w:r>
      <w:r w:rsidR="00B45432" w:rsidRPr="00B45432">
        <w:rPr>
          <w:lang w:val="en-IE"/>
        </w:rPr>
        <w:t>t is proposed that countries report on the subsidy categories listed below as sub-indicators.</w:t>
      </w:r>
    </w:p>
    <w:p w14:paraId="18DDB50A" w14:textId="77777777" w:rsidR="00B45432" w:rsidRPr="00B45432" w:rsidRDefault="00B45432" w:rsidP="008217D0">
      <w:pPr>
        <w:pStyle w:val="MText"/>
        <w:rPr>
          <w:lang w:val="en-IE"/>
        </w:rPr>
      </w:pPr>
      <w:r w:rsidRPr="00B45432">
        <w:rPr>
          <w:lang w:val="en-IE"/>
        </w:rPr>
        <w:t>-</w:t>
      </w:r>
      <w:r w:rsidRPr="00B45432">
        <w:rPr>
          <w:lang w:val="en-IE"/>
        </w:rPr>
        <w:tab/>
        <w:t xml:space="preserve">Direct transfers; </w:t>
      </w:r>
    </w:p>
    <w:p w14:paraId="0C770E56" w14:textId="77777777" w:rsidR="00B45432" w:rsidRPr="00B45432" w:rsidRDefault="00B45432" w:rsidP="008217D0">
      <w:pPr>
        <w:pStyle w:val="MText"/>
        <w:rPr>
          <w:lang w:val="en-IE"/>
        </w:rPr>
      </w:pPr>
      <w:r w:rsidRPr="00B45432">
        <w:rPr>
          <w:lang w:val="en-IE"/>
        </w:rPr>
        <w:t>-</w:t>
      </w:r>
      <w:r w:rsidRPr="00B45432">
        <w:rPr>
          <w:lang w:val="en-IE"/>
        </w:rPr>
        <w:tab/>
        <w:t>Induced transfers (reporting on regulated prices and calculation of the total amount);</w:t>
      </w:r>
    </w:p>
    <w:p w14:paraId="4E6DBA94" w14:textId="4C848240" w:rsidR="00B45432" w:rsidRDefault="00B45432" w:rsidP="008217D0">
      <w:pPr>
        <w:pStyle w:val="MText"/>
        <w:rPr>
          <w:lang w:val="en-IE"/>
        </w:rPr>
      </w:pPr>
      <w:r w:rsidRPr="00B45432">
        <w:rPr>
          <w:lang w:val="en-IE"/>
        </w:rPr>
        <w:t>-</w:t>
      </w:r>
      <w:r w:rsidRPr="00B45432">
        <w:rPr>
          <w:lang w:val="en-IE"/>
        </w:rPr>
        <w:tab/>
        <w:t xml:space="preserve">Tax expenditure, other government revenue foregone and under-pricing of goods and services, including risk (optional). </w:t>
      </w:r>
    </w:p>
    <w:p w14:paraId="1285BCDA" w14:textId="77777777" w:rsidR="00B45432" w:rsidRPr="00B45432" w:rsidRDefault="00B45432" w:rsidP="00B45432">
      <w:pPr>
        <w:shd w:val="clear" w:color="auto" w:fill="FFFFFF"/>
        <w:spacing w:after="0"/>
        <w:rPr>
          <w:sz w:val="21"/>
          <w:szCs w:val="21"/>
          <w:lang w:val="en-IE"/>
        </w:rPr>
      </w:pPr>
    </w:p>
    <w:p w14:paraId="2E7683FA" w14:textId="0D6B6E03" w:rsidR="00B45432" w:rsidRDefault="00B45432" w:rsidP="008217D0">
      <w:pPr>
        <w:pStyle w:val="MText"/>
        <w:rPr>
          <w:lang w:val="en-IE"/>
        </w:rPr>
      </w:pPr>
      <w:r w:rsidRPr="00B45432">
        <w:rPr>
          <w:lang w:val="en-IE"/>
        </w:rPr>
        <w:t xml:space="preserve">The last category should be included as an optional sub-indicator. </w:t>
      </w:r>
      <w:r>
        <w:rPr>
          <w:lang w:val="en-IE"/>
        </w:rPr>
        <w:t xml:space="preserve">Each sub-indicator should be expressed in national currency or United States dollars in current prices. UN Environment will use market exchange rates to calculate between national currency and United States dollar. </w:t>
      </w:r>
    </w:p>
    <w:p w14:paraId="280EB2BA" w14:textId="77777777" w:rsidR="00B45432" w:rsidRDefault="00B45432" w:rsidP="008217D0">
      <w:pPr>
        <w:pStyle w:val="MText"/>
        <w:rPr>
          <w:lang w:val="en-IE"/>
        </w:rPr>
      </w:pPr>
    </w:p>
    <w:p w14:paraId="6B0F50B4" w14:textId="7BCABF26" w:rsidR="00B45432" w:rsidRDefault="00B45432" w:rsidP="008217D0">
      <w:pPr>
        <w:pStyle w:val="MText"/>
        <w:rPr>
          <w:lang w:val="en-IE"/>
        </w:rPr>
      </w:pPr>
      <w:r w:rsidRPr="00B45432">
        <w:rPr>
          <w:lang w:val="en-IE"/>
        </w:rPr>
        <w:t xml:space="preserve">Care should be given if a country chooses to aggregate across the three sub-indicators </w:t>
      </w:r>
      <w:proofErr w:type="gramStart"/>
      <w:r w:rsidRPr="00B45432">
        <w:rPr>
          <w:lang w:val="en-IE"/>
        </w:rPr>
        <w:t>in order to</w:t>
      </w:r>
      <w:proofErr w:type="gramEnd"/>
      <w:r w:rsidRPr="00B45432">
        <w:rPr>
          <w:lang w:val="en-IE"/>
        </w:rPr>
        <w:t xml:space="preserve"> avoid double counting and all three sub-indicators should be publicly available to ensure transparency.</w:t>
      </w:r>
      <w:r>
        <w:rPr>
          <w:lang w:val="en-IE"/>
        </w:rPr>
        <w:t xml:space="preserve">  C</w:t>
      </w:r>
      <w:r w:rsidRPr="00B45432">
        <w:rPr>
          <w:lang w:val="en-IE"/>
        </w:rPr>
        <w:t xml:space="preserve">are needs to be taken when aggregating estimates of induced transfers with data on direct transfers and some measures in under-pricing of goods and services. </w:t>
      </w:r>
    </w:p>
    <w:p w14:paraId="2C140B1E" w14:textId="17FB508C" w:rsidR="00AB7DE6" w:rsidRDefault="00AB7DE6" w:rsidP="008217D0">
      <w:pPr>
        <w:pStyle w:val="MText"/>
        <w:rPr>
          <w:lang w:val="en-IE"/>
        </w:rPr>
      </w:pPr>
    </w:p>
    <w:p w14:paraId="29A2F411" w14:textId="6BEF5B64" w:rsidR="00AB7DE6" w:rsidRPr="00AB7DE6" w:rsidRDefault="00AB7DE6" w:rsidP="008217D0">
      <w:pPr>
        <w:pStyle w:val="MText"/>
        <w:rPr>
          <w:lang w:val="en-IE"/>
        </w:rPr>
      </w:pPr>
      <w:r w:rsidRPr="00AB7DE6">
        <w:rPr>
          <w:lang w:val="en-IE"/>
        </w:rPr>
        <w:t>Estimates of subsidies to consumers observable through price-gaps (i.e., consumer price support) have been calculated by several international organizations (IADB, IEA, and IMF), covering different geographic regions and time-periods. The three organisations that produce these estimates use roughly the same approach, which can be summe</w:t>
      </w:r>
      <w:r>
        <w:rPr>
          <w:lang w:val="en-IE"/>
        </w:rPr>
        <w:t>d up by the following equation:</w:t>
      </w:r>
    </w:p>
    <w:p w14:paraId="68B72C60" w14:textId="77777777" w:rsidR="00AB7DE6" w:rsidRDefault="00AB7DE6" w:rsidP="00AB7DE6">
      <w:pPr>
        <w:shd w:val="clear" w:color="auto" w:fill="FFFFFF"/>
        <w:spacing w:after="0"/>
        <w:rPr>
          <w:sz w:val="21"/>
          <w:szCs w:val="21"/>
          <w:lang w:val="en-IE"/>
        </w:rPr>
      </w:pPr>
    </w:p>
    <w:p w14:paraId="6B7A09A3" w14:textId="68A04D02" w:rsidR="00AB7DE6" w:rsidRDefault="00AB7DE6" w:rsidP="008217D0">
      <w:pPr>
        <w:pStyle w:val="MText"/>
        <w:rPr>
          <w:lang w:val="en-IE"/>
        </w:rPr>
      </w:pPr>
      <w:r w:rsidRPr="00AB7DE6">
        <w:rPr>
          <w:lang w:val="en-IE"/>
        </w:rPr>
        <w:lastRenderedPageBreak/>
        <w:t>Consumer price support = (adjusted net-of-tax reference unit price – local net-of-tax unit price) x units subsidized</w:t>
      </w:r>
    </w:p>
    <w:p w14:paraId="2833DC89" w14:textId="77777777" w:rsidR="00AB7DE6" w:rsidRPr="00AB7DE6" w:rsidRDefault="00AB7DE6" w:rsidP="008217D0">
      <w:pPr>
        <w:pStyle w:val="MText"/>
        <w:rPr>
          <w:lang w:val="en-IE"/>
        </w:rPr>
      </w:pPr>
    </w:p>
    <w:p w14:paraId="1F4DCBC0" w14:textId="7994EC4D" w:rsidR="00AB7DE6" w:rsidRDefault="00AB7DE6" w:rsidP="008217D0">
      <w:pPr>
        <w:pStyle w:val="MText"/>
        <w:rPr>
          <w:lang w:val="en-IE"/>
        </w:rPr>
      </w:pPr>
      <w:r>
        <w:rPr>
          <w:lang w:val="en-IE"/>
        </w:rPr>
        <w:t xml:space="preserve">Estimates are based on </w:t>
      </w:r>
      <w:r w:rsidRPr="00AB7DE6">
        <w:rPr>
          <w:lang w:val="en-IE"/>
        </w:rPr>
        <w:t>reference prices on import (or export) parity prices using the price of a product at the nearest international hub, adjusted for quality differences if necessary, plus (or minus) the cost of freight and insurance to the net importer (or back to the net exporter), plus the cost of internal distribution and marketing and any value-added tax (VAT). For tradable commodities (mainly coal, crude oil, and petroleum products), the reference prices are based on the spot price at the nearest international hub – e.g., the United States, Northwest Europe, or Singapore.</w:t>
      </w:r>
    </w:p>
    <w:p w14:paraId="327DD330" w14:textId="77777777" w:rsidR="00B45432" w:rsidRPr="00B45432" w:rsidRDefault="00B45432" w:rsidP="00B45432">
      <w:pPr>
        <w:shd w:val="clear" w:color="auto" w:fill="FFFFFF"/>
        <w:spacing w:after="0"/>
        <w:rPr>
          <w:sz w:val="21"/>
          <w:szCs w:val="21"/>
          <w:lang w:val="en-IE"/>
        </w:rPr>
      </w:pPr>
    </w:p>
    <w:p w14:paraId="2F3B706F" w14:textId="3390176D" w:rsidR="0058556D" w:rsidRPr="00573631" w:rsidRDefault="0058556D" w:rsidP="008217D0">
      <w:pPr>
        <w:pStyle w:val="MSubHeader"/>
      </w:pPr>
      <w:r w:rsidRPr="00573631">
        <w:t>Disaggregation:</w:t>
      </w:r>
    </w:p>
    <w:p w14:paraId="6D94A488" w14:textId="46F580C7" w:rsidR="006B07A9" w:rsidRDefault="00B45432" w:rsidP="008217D0">
      <w:pPr>
        <w:pStyle w:val="MText"/>
        <w:rPr>
          <w:lang w:val="en-IE"/>
        </w:rPr>
      </w:pPr>
      <w:r w:rsidRPr="00B45432">
        <w:rPr>
          <w:lang w:val="en-IE"/>
        </w:rPr>
        <w:t>Because of the risk of double counting, the dataset should therefore provide disaggregated information on individual subsidy measures that will be reported as sub-indicators by category of subsidies.</w:t>
      </w:r>
    </w:p>
    <w:p w14:paraId="535A1BB9" w14:textId="77777777" w:rsidR="00B45432" w:rsidRPr="00B45432" w:rsidRDefault="00B45432" w:rsidP="00B45432">
      <w:pPr>
        <w:shd w:val="clear" w:color="auto" w:fill="FFFFFF"/>
        <w:spacing w:after="0"/>
        <w:rPr>
          <w:rFonts w:eastAsia="Times New Roman" w:cs="Times New Roman"/>
          <w:color w:val="4A4A4A"/>
          <w:sz w:val="21"/>
          <w:szCs w:val="21"/>
          <w:lang w:eastAsia="en-GB"/>
        </w:rPr>
      </w:pPr>
    </w:p>
    <w:p w14:paraId="09294DB9" w14:textId="77777777" w:rsidR="0058556D" w:rsidRDefault="0058556D" w:rsidP="008217D0">
      <w:pPr>
        <w:pStyle w:val="MSubHeader"/>
      </w:pPr>
      <w:r w:rsidRPr="00573631">
        <w:t>Treatment of missing values:</w:t>
      </w:r>
    </w:p>
    <w:p w14:paraId="109776B2"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1DB13EE4"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607B0E0B" w14:textId="77777777" w:rsidR="00647CBA" w:rsidRPr="00573631" w:rsidRDefault="00647CBA" w:rsidP="008217D0">
      <w:pPr>
        <w:pStyle w:val="MText"/>
      </w:pPr>
      <w:r>
        <w:t xml:space="preserve">Missing values are </w:t>
      </w:r>
      <w:r w:rsidR="00B2750F">
        <w:t xml:space="preserve">not imputed. </w:t>
      </w:r>
    </w:p>
    <w:p w14:paraId="6BD6B454"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388B8979" w14:textId="16F9C8D2" w:rsidR="0058556D" w:rsidRPr="00573631" w:rsidRDefault="00B45432" w:rsidP="008217D0">
      <w:pPr>
        <w:pStyle w:val="MText"/>
      </w:pPr>
      <w:r>
        <w:t>A price gap method is used to create national, regional and global estimates.</w:t>
      </w:r>
    </w:p>
    <w:p w14:paraId="2A50B7C3" w14:textId="77777777" w:rsidR="00345B45" w:rsidRDefault="00345B45" w:rsidP="00573631">
      <w:pPr>
        <w:shd w:val="clear" w:color="auto" w:fill="FFFFFF"/>
        <w:spacing w:after="0"/>
        <w:rPr>
          <w:rFonts w:eastAsia="Times New Roman" w:cs="Times New Roman"/>
          <w:b/>
          <w:bCs/>
          <w:color w:val="4A4A4A"/>
          <w:sz w:val="21"/>
          <w:szCs w:val="21"/>
          <w:lang w:eastAsia="en-GB"/>
        </w:rPr>
      </w:pPr>
    </w:p>
    <w:p w14:paraId="5C25BB2D" w14:textId="72C5D386"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Regional aggregates:</w:t>
      </w:r>
    </w:p>
    <w:p w14:paraId="2251E061" w14:textId="3BFBA664" w:rsidR="0058556D" w:rsidRDefault="008217D0" w:rsidP="00892533">
      <w:pPr>
        <w:shd w:val="clear" w:color="auto" w:fill="FFFFFF"/>
        <w:spacing w:after="0"/>
        <w:jc w:val="both"/>
        <w:rPr>
          <w:rFonts w:eastAsia="Times New Roman" w:cs="Times New Roman"/>
          <w:color w:val="4A4A4A"/>
          <w:sz w:val="21"/>
          <w:szCs w:val="21"/>
          <w:lang w:eastAsia="en-GB"/>
        </w:rPr>
      </w:pPr>
      <w:r>
        <w:t>The methodology used for the calculation of the regional/global aggregates from the country values is</w:t>
      </w:r>
      <w:r w:rsidR="0013497F">
        <w:t xml:space="preserve"> available at</w:t>
      </w:r>
      <w:r>
        <w:t xml:space="preserve"> </w:t>
      </w:r>
      <w:hyperlink r:id="rId8" w:history="1">
        <w:r w:rsidR="00892533" w:rsidRPr="00201731">
          <w:rPr>
            <w:rStyle w:val="Hyperlink"/>
            <w:rFonts w:eastAsia="Times New Roman" w:cs="Times New Roman"/>
            <w:sz w:val="21"/>
            <w:szCs w:val="21"/>
            <w:lang w:eastAsia="en-GB"/>
          </w:rPr>
          <w:t>http://pre-uneplive.unep.org/media/docs/graphs/aggregation_methods.pdf</w:t>
        </w:r>
      </w:hyperlink>
      <w:r w:rsidR="00892533">
        <w:rPr>
          <w:rFonts w:eastAsia="Times New Roman" w:cs="Times New Roman"/>
          <w:color w:val="4A4A4A"/>
          <w:sz w:val="21"/>
          <w:szCs w:val="21"/>
          <w:lang w:eastAsia="en-GB"/>
        </w:rPr>
        <w:t xml:space="preserve">. </w:t>
      </w:r>
    </w:p>
    <w:p w14:paraId="3A19B092" w14:textId="77777777" w:rsidR="00892533" w:rsidRPr="00573631" w:rsidRDefault="00892533" w:rsidP="00573631">
      <w:pPr>
        <w:shd w:val="clear" w:color="auto" w:fill="FFFFFF"/>
        <w:spacing w:after="0"/>
        <w:rPr>
          <w:rFonts w:eastAsia="Times New Roman" w:cs="Times New Roman"/>
          <w:color w:val="4A4A4A"/>
          <w:sz w:val="21"/>
          <w:szCs w:val="21"/>
          <w:lang w:eastAsia="en-GB"/>
        </w:rPr>
      </w:pPr>
    </w:p>
    <w:p w14:paraId="0697A7E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23F048E9" w14:textId="607235B6" w:rsidR="0058556D" w:rsidRDefault="00AB7DE6"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Country level data and price gap data are shown separately, thus this should not apply</w:t>
      </w:r>
      <w:r w:rsidR="008E77DC">
        <w:rPr>
          <w:rFonts w:eastAsia="Times New Roman" w:cs="Times New Roman"/>
          <w:color w:val="4A4A4A"/>
          <w:sz w:val="21"/>
          <w:szCs w:val="21"/>
          <w:lang w:eastAsia="en-GB"/>
        </w:rPr>
        <w:t xml:space="preserve">. </w:t>
      </w:r>
    </w:p>
    <w:p w14:paraId="26F4D20B" w14:textId="77777777" w:rsidR="00CF74E8" w:rsidRPr="00573631" w:rsidRDefault="00CF74E8" w:rsidP="00573631">
      <w:pPr>
        <w:shd w:val="clear" w:color="auto" w:fill="FFFFFF"/>
        <w:spacing w:after="0"/>
        <w:rPr>
          <w:rFonts w:eastAsia="Times New Roman" w:cs="Times New Roman"/>
          <w:color w:val="4A4A4A"/>
          <w:sz w:val="21"/>
          <w:szCs w:val="21"/>
          <w:lang w:eastAsia="en-GB"/>
        </w:rPr>
      </w:pPr>
    </w:p>
    <w:p w14:paraId="5429D1E3"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52A86758"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79726B31" w14:textId="24A01259" w:rsidR="00AB7DE6" w:rsidRDefault="00AB7DE6" w:rsidP="00AB7DE6">
      <w:pPr>
        <w:shd w:val="clear" w:color="auto" w:fill="FFFFFF"/>
        <w:spacing w:after="0"/>
        <w:rPr>
          <w:rFonts w:eastAsia="Times New Roman" w:cs="Times New Roman"/>
          <w:color w:val="4A4A4A"/>
          <w:sz w:val="21"/>
          <w:szCs w:val="21"/>
          <w:lang w:eastAsia="en-GB"/>
        </w:rPr>
      </w:pPr>
      <w:r w:rsidRPr="00AB7DE6">
        <w:rPr>
          <w:rFonts w:eastAsia="Times New Roman" w:cs="Times New Roman"/>
          <w:color w:val="4A4A4A"/>
          <w:sz w:val="21"/>
          <w:szCs w:val="21"/>
          <w:lang w:eastAsia="en-GB"/>
        </w:rPr>
        <w:t>Direct transfers are generally reported in government budgets, and well documented in sectoral and Finance Ministries, broken down by programme if not by fuel. Those that meet the SNA definition of “subsidies” – i.e., subsidies on products, and other subsidies on production – can also be found in a country</w:t>
      </w:r>
      <w:r>
        <w:rPr>
          <w:rFonts w:eastAsia="Times New Roman" w:cs="Times New Roman"/>
          <w:color w:val="4A4A4A"/>
          <w:sz w:val="21"/>
          <w:szCs w:val="21"/>
          <w:lang w:eastAsia="en-GB"/>
        </w:rPr>
        <w:t xml:space="preserve">’s System of National Accounts. </w:t>
      </w:r>
      <w:r w:rsidRPr="00AB7DE6">
        <w:rPr>
          <w:rFonts w:eastAsia="Times New Roman" w:cs="Times New Roman"/>
          <w:color w:val="4A4A4A"/>
          <w:sz w:val="21"/>
          <w:szCs w:val="21"/>
          <w:lang w:eastAsia="en-GB"/>
        </w:rPr>
        <w:t>Budget documents are publicly avail</w:t>
      </w:r>
      <w:r>
        <w:rPr>
          <w:rFonts w:eastAsia="Times New Roman" w:cs="Times New Roman"/>
          <w:color w:val="4A4A4A"/>
          <w:sz w:val="21"/>
          <w:szCs w:val="21"/>
          <w:lang w:eastAsia="en-GB"/>
        </w:rPr>
        <w:t xml:space="preserve">able for most countries. </w:t>
      </w:r>
      <w:r w:rsidRPr="00AB7DE6">
        <w:rPr>
          <w:rFonts w:eastAsia="Times New Roman" w:cs="Times New Roman"/>
          <w:color w:val="4A4A4A"/>
          <w:sz w:val="21"/>
          <w:szCs w:val="21"/>
          <w:lang w:eastAsia="en-GB"/>
        </w:rPr>
        <w:t xml:space="preserve"> The degree to which information on individual programmes is itemized in those reports is highly variable, however. Support to corporations involved in energy production or transformation may sometimes be found in their annual reports, for example. In some cases, researchers may be able to obtain unpublished data from state-owned energy enterprises directly.</w:t>
      </w:r>
    </w:p>
    <w:p w14:paraId="6C7F9DA1" w14:textId="77777777" w:rsidR="00AB7DE6" w:rsidRDefault="00AB7DE6" w:rsidP="00AB7DE6">
      <w:pPr>
        <w:shd w:val="clear" w:color="auto" w:fill="FFFFFF"/>
        <w:spacing w:after="0"/>
        <w:rPr>
          <w:rFonts w:eastAsia="Times New Roman" w:cs="Times New Roman"/>
          <w:color w:val="4A4A4A"/>
          <w:sz w:val="21"/>
          <w:szCs w:val="21"/>
          <w:lang w:eastAsia="en-GB"/>
        </w:rPr>
      </w:pPr>
    </w:p>
    <w:p w14:paraId="0D769EB0" w14:textId="3860472B" w:rsidR="008C2CBF" w:rsidRDefault="00AB7DE6" w:rsidP="00573631">
      <w:pPr>
        <w:shd w:val="clear" w:color="auto" w:fill="FFFFFF"/>
        <w:spacing w:after="0"/>
        <w:rPr>
          <w:rFonts w:eastAsia="Times New Roman" w:cs="Times New Roman"/>
          <w:color w:val="4A4A4A"/>
          <w:sz w:val="21"/>
          <w:szCs w:val="21"/>
          <w:lang w:eastAsia="en-GB"/>
        </w:rPr>
      </w:pPr>
      <w:r w:rsidRPr="00AB7DE6">
        <w:rPr>
          <w:rFonts w:eastAsia="Times New Roman" w:cs="Times New Roman"/>
          <w:color w:val="4A4A4A"/>
          <w:sz w:val="21"/>
          <w:szCs w:val="21"/>
          <w:lang w:eastAsia="en-GB"/>
        </w:rPr>
        <w:t xml:space="preserve">Induced transfer </w:t>
      </w:r>
      <w:proofErr w:type="gramStart"/>
      <w:r w:rsidRPr="00AB7DE6">
        <w:rPr>
          <w:rFonts w:eastAsia="Times New Roman" w:cs="Times New Roman"/>
          <w:color w:val="4A4A4A"/>
          <w:sz w:val="21"/>
          <w:szCs w:val="21"/>
          <w:lang w:eastAsia="en-GB"/>
        </w:rPr>
        <w:t>are</w:t>
      </w:r>
      <w:proofErr w:type="gramEnd"/>
      <w:r w:rsidRPr="00AB7DE6">
        <w:rPr>
          <w:rFonts w:eastAsia="Times New Roman" w:cs="Times New Roman"/>
          <w:color w:val="4A4A4A"/>
          <w:sz w:val="21"/>
          <w:szCs w:val="21"/>
          <w:lang w:eastAsia="en-GB"/>
        </w:rPr>
        <w:t xml:space="preserve"> measured by calculating the price-gap between the producer or consumer price and a reference price, and multiplying that differential by the affected volume produced or consumed. </w:t>
      </w:r>
    </w:p>
    <w:p w14:paraId="609709A5" w14:textId="1D59F4A8" w:rsidR="00AB7DE6" w:rsidRDefault="00AB7DE6" w:rsidP="00573631">
      <w:pPr>
        <w:shd w:val="clear" w:color="auto" w:fill="FFFFFF"/>
        <w:spacing w:after="0"/>
        <w:rPr>
          <w:rFonts w:eastAsia="Times New Roman" w:cs="Times New Roman"/>
          <w:color w:val="4A4A4A"/>
          <w:sz w:val="21"/>
          <w:szCs w:val="21"/>
          <w:lang w:eastAsia="en-GB"/>
        </w:rPr>
      </w:pPr>
    </w:p>
    <w:p w14:paraId="1F0B9239" w14:textId="231D6A96" w:rsidR="00AB7DE6" w:rsidRDefault="00AB7DE6" w:rsidP="00573631">
      <w:pPr>
        <w:shd w:val="clear" w:color="auto" w:fill="FFFFFF"/>
        <w:spacing w:after="0"/>
        <w:rPr>
          <w:rFonts w:eastAsia="Times New Roman" w:cs="Times New Roman"/>
          <w:color w:val="4A4A4A"/>
          <w:sz w:val="21"/>
          <w:szCs w:val="21"/>
          <w:lang w:eastAsia="en-GB"/>
        </w:rPr>
      </w:pPr>
      <w:r w:rsidRPr="00AB7DE6">
        <w:rPr>
          <w:rFonts w:eastAsia="Times New Roman" w:cs="Times New Roman"/>
          <w:color w:val="4A4A4A"/>
          <w:sz w:val="21"/>
          <w:szCs w:val="21"/>
          <w:lang w:eastAsia="en-GB"/>
        </w:rPr>
        <w:t xml:space="preserve">Measuring the value of special features introduced into the tax code to favour certain industries or activities of those industries (such as investment in productive capital) can be a complex endeavour. Some countries do this exercise already, and report the annual value of those tax features in their periodic tax-expenditure reports. Where that is not the case, the analysist must construct a model and </w:t>
      </w:r>
      <w:r w:rsidRPr="00AB7DE6">
        <w:rPr>
          <w:rFonts w:eastAsia="Times New Roman" w:cs="Times New Roman"/>
          <w:color w:val="4A4A4A"/>
          <w:sz w:val="21"/>
          <w:szCs w:val="21"/>
          <w:lang w:eastAsia="en-GB"/>
        </w:rPr>
        <w:lastRenderedPageBreak/>
        <w:t>estimate the difference in the revenues that would be owed to the government under the baseline conditions and with the special tax feature.</w:t>
      </w:r>
    </w:p>
    <w:p w14:paraId="7286249E" w14:textId="77777777" w:rsidR="00AB7DE6" w:rsidRDefault="00AB7DE6" w:rsidP="00573631">
      <w:pPr>
        <w:shd w:val="clear" w:color="auto" w:fill="FFFFFF"/>
        <w:spacing w:after="0"/>
        <w:rPr>
          <w:rFonts w:eastAsia="Times New Roman" w:cs="Times New Roman"/>
          <w:color w:val="4A4A4A"/>
          <w:sz w:val="21"/>
          <w:szCs w:val="21"/>
          <w:lang w:eastAsia="en-GB"/>
        </w:rPr>
      </w:pPr>
    </w:p>
    <w:p w14:paraId="125F3536" w14:textId="4818C903" w:rsidR="00BE4303" w:rsidRDefault="00AB7DE6"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Fossil fuel subsidies should be monitored on an annual basis.</w:t>
      </w:r>
    </w:p>
    <w:p w14:paraId="4A3C6C9E" w14:textId="0406C278" w:rsidR="006C3248" w:rsidRPr="0008658D" w:rsidRDefault="001F5AA4"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p>
    <w:p w14:paraId="5F50C677" w14:textId="77777777" w:rsidR="0058556D" w:rsidRPr="00573631" w:rsidRDefault="0058556D" w:rsidP="0013497F">
      <w:pPr>
        <w:pStyle w:val="MSubHeader"/>
      </w:pPr>
      <w:r w:rsidRPr="00573631">
        <w:t>Collection process:</w:t>
      </w:r>
    </w:p>
    <w:p w14:paraId="47F48A88" w14:textId="22C67681" w:rsidR="0058556D" w:rsidRDefault="00987013" w:rsidP="00573631">
      <w:pPr>
        <w:shd w:val="clear" w:color="auto" w:fill="FFFFFF"/>
        <w:spacing w:after="0"/>
        <w:rPr>
          <w:rFonts w:eastAsia="Times New Roman" w:cs="Times New Roman"/>
          <w:color w:val="4A4A4A"/>
          <w:sz w:val="21"/>
          <w:szCs w:val="21"/>
          <w:lang w:val="en-US" w:eastAsia="en-GB"/>
        </w:rPr>
      </w:pPr>
      <w:r>
        <w:rPr>
          <w:rFonts w:eastAsia="Times New Roman" w:cs="Times New Roman"/>
          <w:color w:val="4A4A4A"/>
          <w:sz w:val="21"/>
          <w:szCs w:val="21"/>
          <w:lang w:eastAsia="en-GB"/>
        </w:rPr>
        <w:t>The data will be</w:t>
      </w:r>
      <w:r w:rsidR="00091A2D">
        <w:rPr>
          <w:rFonts w:eastAsia="Times New Roman" w:cs="Times New Roman"/>
          <w:color w:val="4A4A4A"/>
          <w:sz w:val="21"/>
          <w:szCs w:val="21"/>
          <w:lang w:eastAsia="en-GB"/>
        </w:rPr>
        <w:t xml:space="preserve"> collected by UN Environment through electronic reporting </w:t>
      </w:r>
      <w:r w:rsidR="00AB7DE6">
        <w:rPr>
          <w:rFonts w:eastAsia="Times New Roman" w:cs="Times New Roman"/>
          <w:color w:val="4A4A4A"/>
          <w:sz w:val="21"/>
          <w:szCs w:val="21"/>
          <w:lang w:eastAsia="en-GB"/>
        </w:rPr>
        <w:t>being developed by UN Environment</w:t>
      </w:r>
      <w:r w:rsidR="00091A2D">
        <w:rPr>
          <w:rFonts w:eastAsia="Times New Roman" w:cs="Times New Roman"/>
          <w:color w:val="4A4A4A"/>
          <w:sz w:val="21"/>
          <w:szCs w:val="21"/>
          <w:lang w:eastAsia="en-GB"/>
        </w:rPr>
        <w:t xml:space="preserve">. </w:t>
      </w:r>
    </w:p>
    <w:p w14:paraId="26650F2A" w14:textId="77777777" w:rsidR="00D3198D" w:rsidRPr="005D0B50" w:rsidRDefault="00D3198D" w:rsidP="00573631">
      <w:pPr>
        <w:shd w:val="clear" w:color="auto" w:fill="FFFFFF"/>
        <w:spacing w:after="0"/>
        <w:rPr>
          <w:rFonts w:eastAsia="Times New Roman" w:cs="Times New Roman"/>
          <w:color w:val="4A4A4A"/>
          <w:sz w:val="21"/>
          <w:szCs w:val="21"/>
          <w:lang w:val="en-US" w:eastAsia="en-GB"/>
        </w:rPr>
      </w:pPr>
    </w:p>
    <w:p w14:paraId="0B735C33" w14:textId="77777777" w:rsidR="0058556D" w:rsidRPr="00573631" w:rsidRDefault="0058556D" w:rsidP="0012467E">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44677BDF" w14:textId="77777777" w:rsidR="0058556D" w:rsidRPr="00573631" w:rsidRDefault="0058556D" w:rsidP="0012467E">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2F180007" w14:textId="4C3C3D4D" w:rsidR="001F4290" w:rsidRPr="005544B6" w:rsidRDefault="00DA620D" w:rsidP="005544B6">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An initial baseline data </w:t>
      </w:r>
      <w:r w:rsidR="00AB7DE6">
        <w:rPr>
          <w:rFonts w:eastAsia="Times New Roman" w:cs="Times New Roman"/>
          <w:color w:val="4A4A4A"/>
          <w:sz w:val="21"/>
          <w:szCs w:val="21"/>
          <w:lang w:eastAsia="en-GB"/>
        </w:rPr>
        <w:t>assessment of data availability demonstrates that 99 countries have existing data which can be used to estimate fossil fuels from direct transfer and many of these countries also have information on tax revenue foregone. Data on induced transfers using a price gap approach is available for all UN member states.</w:t>
      </w:r>
    </w:p>
    <w:p w14:paraId="46C5D599"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2EA02C3E" w14:textId="77777777" w:rsidR="0058556D" w:rsidRPr="00573631" w:rsidRDefault="0058556D" w:rsidP="00573631">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5DD36C8F" w14:textId="47597EDD" w:rsidR="00AA1E78" w:rsidRDefault="00D60BF9" w:rsidP="00AB7DE6">
      <w:pPr>
        <w:keepNext/>
        <w:keepLines/>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reporting </w:t>
      </w:r>
      <w:r w:rsidR="00AB7DE6">
        <w:rPr>
          <w:rFonts w:eastAsia="Times New Roman" w:cs="Times New Roman"/>
          <w:color w:val="4A4A4A"/>
          <w:sz w:val="21"/>
          <w:szCs w:val="21"/>
          <w:lang w:eastAsia="en-GB"/>
        </w:rPr>
        <w:t>on this indicator will follow an annual cycle with initial reporting on induced transfers starting in 2018. Data on direct transfers and tax revenue foregone will be in place by 2020.</w:t>
      </w:r>
    </w:p>
    <w:p w14:paraId="2B04A47B" w14:textId="77777777" w:rsidR="00AB7DE6" w:rsidRPr="00573631" w:rsidRDefault="00AB7DE6" w:rsidP="00AB7DE6">
      <w:pPr>
        <w:keepNext/>
        <w:keepLines/>
        <w:shd w:val="clear" w:color="auto" w:fill="FFFFFF"/>
        <w:spacing w:after="0"/>
        <w:jc w:val="both"/>
        <w:rPr>
          <w:rFonts w:eastAsia="Times New Roman" w:cs="Times New Roman"/>
          <w:color w:val="4A4A4A"/>
          <w:sz w:val="21"/>
          <w:szCs w:val="21"/>
          <w:lang w:eastAsia="en-GB"/>
        </w:rPr>
      </w:pPr>
    </w:p>
    <w:p w14:paraId="12F895A0"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7F6C9A7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50CDDFF8" w14:textId="77777777" w:rsidR="00AB7DE6" w:rsidRDefault="00AB7DE6" w:rsidP="00AB7DE6">
      <w:pPr>
        <w:keepNext/>
        <w:keepLines/>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Annual with reporting on induced transfers starting in 2018. Data on direct transfers and tax revenue foregone will be in place by 2020.</w:t>
      </w:r>
    </w:p>
    <w:p w14:paraId="2AF57F84" w14:textId="24E061F6" w:rsidR="007B234D" w:rsidRPr="00D60BF9" w:rsidRDefault="007B234D" w:rsidP="00AB7DE6">
      <w:pPr>
        <w:pStyle w:val="ListParagraph"/>
        <w:keepNext/>
        <w:keepLines/>
        <w:shd w:val="clear" w:color="auto" w:fill="FFFFFF"/>
        <w:spacing w:after="0"/>
        <w:jc w:val="both"/>
        <w:rPr>
          <w:rFonts w:eastAsia="Times New Roman" w:cs="Times New Roman"/>
          <w:color w:val="4A4A4A"/>
          <w:sz w:val="21"/>
          <w:szCs w:val="21"/>
          <w:lang w:eastAsia="en-GB"/>
        </w:rPr>
      </w:pPr>
    </w:p>
    <w:p w14:paraId="2729B715" w14:textId="77777777" w:rsidR="00A61D74" w:rsidRPr="00573631" w:rsidRDefault="00A61D74" w:rsidP="00A61D74">
      <w:pPr>
        <w:shd w:val="clear" w:color="auto" w:fill="FFFFFF"/>
        <w:tabs>
          <w:tab w:val="left" w:pos="1320"/>
        </w:tabs>
        <w:spacing w:after="0"/>
        <w:rPr>
          <w:rFonts w:eastAsia="Times New Roman" w:cs="Times New Roman"/>
          <w:color w:val="4A4A4A"/>
          <w:sz w:val="21"/>
          <w:szCs w:val="21"/>
          <w:lang w:eastAsia="en-GB"/>
        </w:rPr>
      </w:pPr>
    </w:p>
    <w:p w14:paraId="06616917"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746DD3CD" w14:textId="0AADEB26" w:rsidR="00A61D74" w:rsidRDefault="00AB7DE6"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Annual.</w:t>
      </w:r>
    </w:p>
    <w:p w14:paraId="46B0F7A1" w14:textId="77777777" w:rsidR="00AB7DE6" w:rsidRPr="00573631" w:rsidRDefault="00AB7DE6" w:rsidP="00573631">
      <w:pPr>
        <w:shd w:val="clear" w:color="auto" w:fill="FFFFFF"/>
        <w:spacing w:after="0"/>
        <w:rPr>
          <w:rFonts w:eastAsia="Times New Roman" w:cs="Times New Roman"/>
          <w:color w:val="4A4A4A"/>
          <w:sz w:val="21"/>
          <w:szCs w:val="21"/>
          <w:lang w:eastAsia="en-GB"/>
        </w:rPr>
      </w:pPr>
    </w:p>
    <w:p w14:paraId="34635A22"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0139E119" w14:textId="0561E864" w:rsidR="00F61DC7" w:rsidRDefault="0052748C" w:rsidP="009B4305">
      <w:pPr>
        <w:pStyle w:val="ListParagraph"/>
        <w:numPr>
          <w:ilvl w:val="0"/>
          <w:numId w:val="36"/>
        </w:numPr>
        <w:shd w:val="clear" w:color="auto" w:fill="FFFFFF"/>
        <w:spacing w:after="0"/>
        <w:jc w:val="both"/>
        <w:rPr>
          <w:rFonts w:eastAsia="Times New Roman" w:cs="Times New Roman"/>
          <w:color w:val="4A4A4A"/>
          <w:sz w:val="21"/>
          <w:szCs w:val="21"/>
          <w:lang w:eastAsia="en-GB"/>
        </w:rPr>
      </w:pPr>
      <w:r w:rsidRPr="00AB7DE6">
        <w:rPr>
          <w:rFonts w:eastAsia="Times New Roman" w:cs="Times New Roman"/>
          <w:color w:val="4A4A4A"/>
          <w:sz w:val="21"/>
          <w:szCs w:val="21"/>
          <w:lang w:eastAsia="en-GB"/>
        </w:rPr>
        <w:t>National Focal Points</w:t>
      </w:r>
      <w:r w:rsidR="00AB7DE6">
        <w:rPr>
          <w:rFonts w:eastAsia="Times New Roman" w:cs="Times New Roman"/>
          <w:color w:val="4A4A4A"/>
          <w:sz w:val="21"/>
          <w:szCs w:val="21"/>
          <w:lang w:eastAsia="en-GB"/>
        </w:rPr>
        <w:t xml:space="preserve"> from National Statistical Systems.</w:t>
      </w:r>
    </w:p>
    <w:p w14:paraId="181D05BE" w14:textId="4C794350" w:rsidR="00AB7DE6" w:rsidRDefault="00AB7DE6" w:rsidP="009B4305">
      <w:pPr>
        <w:pStyle w:val="ListParagraph"/>
        <w:numPr>
          <w:ilvl w:val="0"/>
          <w:numId w:val="36"/>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OECD</w:t>
      </w:r>
    </w:p>
    <w:p w14:paraId="63183817" w14:textId="0EDC9F37" w:rsidR="00AB7DE6" w:rsidRDefault="00AB7DE6" w:rsidP="009B4305">
      <w:pPr>
        <w:pStyle w:val="ListParagraph"/>
        <w:numPr>
          <w:ilvl w:val="0"/>
          <w:numId w:val="36"/>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IMF and IEA</w:t>
      </w:r>
    </w:p>
    <w:p w14:paraId="40D4BAFA" w14:textId="77777777" w:rsidR="00AB7DE6" w:rsidRPr="00AB7DE6" w:rsidRDefault="00AB7DE6" w:rsidP="00AB7DE6">
      <w:pPr>
        <w:pStyle w:val="ListParagraph"/>
        <w:shd w:val="clear" w:color="auto" w:fill="FFFFFF"/>
        <w:spacing w:after="0"/>
        <w:jc w:val="both"/>
        <w:rPr>
          <w:rFonts w:eastAsia="Times New Roman" w:cs="Times New Roman"/>
          <w:color w:val="4A4A4A"/>
          <w:sz w:val="21"/>
          <w:szCs w:val="21"/>
          <w:lang w:eastAsia="en-GB"/>
        </w:rPr>
      </w:pPr>
    </w:p>
    <w:p w14:paraId="247D3268"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0527717E" w14:textId="7CDBAA2F" w:rsidR="00F41D1A" w:rsidRPr="0013497F" w:rsidRDefault="0052748C" w:rsidP="0013497F">
      <w:pPr>
        <w:shd w:val="clear" w:color="auto" w:fill="FFFFFF"/>
        <w:spacing w:after="0"/>
        <w:rPr>
          <w:rFonts w:eastAsia="Times New Roman" w:cs="Times New Roman"/>
          <w:color w:val="4A4A4A"/>
          <w:sz w:val="21"/>
          <w:szCs w:val="21"/>
          <w:lang w:val="fr-FR" w:eastAsia="en-GB"/>
        </w:rPr>
      </w:pPr>
      <w:r w:rsidRPr="0013497F">
        <w:rPr>
          <w:rFonts w:eastAsia="Times New Roman" w:cs="Times New Roman"/>
          <w:color w:val="4A4A4A"/>
          <w:sz w:val="21"/>
          <w:szCs w:val="21"/>
          <w:lang w:val="fr-FR" w:eastAsia="en-GB"/>
        </w:rPr>
        <w:t xml:space="preserve">UN </w:t>
      </w:r>
      <w:proofErr w:type="spellStart"/>
      <w:r w:rsidRPr="0013497F">
        <w:rPr>
          <w:rFonts w:eastAsia="Times New Roman" w:cs="Times New Roman"/>
          <w:color w:val="4A4A4A"/>
          <w:sz w:val="21"/>
          <w:szCs w:val="21"/>
          <w:lang w:val="fr-FR" w:eastAsia="en-GB"/>
        </w:rPr>
        <w:t>Environment</w:t>
      </w:r>
      <w:proofErr w:type="spellEnd"/>
      <w:r w:rsidRPr="0013497F">
        <w:rPr>
          <w:rFonts w:eastAsia="Times New Roman" w:cs="Times New Roman"/>
          <w:color w:val="4A4A4A"/>
          <w:sz w:val="21"/>
          <w:szCs w:val="21"/>
          <w:lang w:val="fr-FR" w:eastAsia="en-GB"/>
        </w:rPr>
        <w:t xml:space="preserve"> (United Nations </w:t>
      </w:r>
      <w:proofErr w:type="spellStart"/>
      <w:r w:rsidRPr="0013497F">
        <w:rPr>
          <w:rFonts w:eastAsia="Times New Roman" w:cs="Times New Roman"/>
          <w:color w:val="4A4A4A"/>
          <w:sz w:val="21"/>
          <w:szCs w:val="21"/>
          <w:lang w:val="fr-FR" w:eastAsia="en-GB"/>
        </w:rPr>
        <w:t>Environment</w:t>
      </w:r>
      <w:proofErr w:type="spellEnd"/>
      <w:r w:rsidRPr="0013497F">
        <w:rPr>
          <w:rFonts w:eastAsia="Times New Roman" w:cs="Times New Roman"/>
          <w:color w:val="4A4A4A"/>
          <w:sz w:val="21"/>
          <w:szCs w:val="21"/>
          <w:lang w:val="fr-FR" w:eastAsia="en-GB"/>
        </w:rPr>
        <w:t xml:space="preserve"> Programme) </w:t>
      </w:r>
    </w:p>
    <w:p w14:paraId="364E7E09" w14:textId="5C711223" w:rsidR="00D3198D" w:rsidRPr="008217D0" w:rsidRDefault="00D3198D" w:rsidP="00D3198D">
      <w:pPr>
        <w:shd w:val="clear" w:color="auto" w:fill="FFFFFF"/>
        <w:spacing w:after="0"/>
        <w:rPr>
          <w:rFonts w:eastAsia="Times New Roman" w:cs="Times New Roman"/>
          <w:color w:val="4A4A4A"/>
          <w:sz w:val="21"/>
          <w:szCs w:val="21"/>
          <w:lang w:val="fr-FR" w:eastAsia="en-GB"/>
        </w:rPr>
      </w:pPr>
    </w:p>
    <w:p w14:paraId="1F73FE87"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References</w:t>
      </w:r>
    </w:p>
    <w:p w14:paraId="3FF84168" w14:textId="77777777" w:rsidR="006B6B81" w:rsidRDefault="006B6B81" w:rsidP="00573631">
      <w:pPr>
        <w:shd w:val="clear" w:color="auto" w:fill="FFFFFF"/>
        <w:spacing w:after="0"/>
        <w:rPr>
          <w:rFonts w:eastAsia="Times New Roman" w:cs="Times New Roman"/>
          <w:color w:val="4A4A4A"/>
          <w:sz w:val="18"/>
          <w:szCs w:val="21"/>
          <w:lang w:eastAsia="en-GB"/>
        </w:rPr>
      </w:pPr>
    </w:p>
    <w:p w14:paraId="3BF30D13" w14:textId="77777777"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p>
    <w:p w14:paraId="3028923D" w14:textId="77777777" w:rsidR="00AB7DE6" w:rsidRPr="00FD14C8" w:rsidRDefault="00AB7DE6" w:rsidP="00AB7DE6">
      <w:pPr>
        <w:widowControl w:val="0"/>
        <w:autoSpaceDE w:val="0"/>
        <w:autoSpaceDN w:val="0"/>
        <w:adjustRightInd w:val="0"/>
        <w:spacing w:line="240" w:lineRule="auto"/>
        <w:ind w:left="480" w:hanging="480"/>
        <w:rPr>
          <w:rFonts w:ascii="Calibri" w:hAnsi="Calibri" w:cs="Calibri"/>
          <w:noProof/>
          <w:szCs w:val="24"/>
        </w:rPr>
      </w:pPr>
      <w:r w:rsidRPr="00FD14C8">
        <w:rPr>
          <w:rFonts w:ascii="Calibri" w:hAnsi="Calibri" w:cs="Calibri"/>
          <w:noProof/>
          <w:szCs w:val="24"/>
        </w:rPr>
        <w:t xml:space="preserve">IEA. (2005). </w:t>
      </w:r>
      <w:r w:rsidRPr="00FD14C8">
        <w:rPr>
          <w:rFonts w:ascii="Calibri" w:hAnsi="Calibri" w:cs="Calibri"/>
          <w:i/>
          <w:iCs/>
          <w:noProof/>
          <w:szCs w:val="24"/>
        </w:rPr>
        <w:t>Energy Statistics–Manual</w:t>
      </w:r>
      <w:r w:rsidRPr="00FD14C8">
        <w:rPr>
          <w:rFonts w:ascii="Calibri" w:hAnsi="Calibri" w:cs="Calibri"/>
          <w:noProof/>
          <w:szCs w:val="24"/>
        </w:rPr>
        <w:t xml:space="preserve">. </w:t>
      </w:r>
      <w:r w:rsidRPr="00FD14C8">
        <w:rPr>
          <w:rFonts w:ascii="Calibri" w:hAnsi="Calibri" w:cs="Calibri"/>
          <w:i/>
          <w:iCs/>
          <w:noProof/>
          <w:szCs w:val="24"/>
        </w:rPr>
        <w:t>International Energy Agency, Paris, France</w:t>
      </w:r>
      <w:r w:rsidRPr="00FD14C8">
        <w:rPr>
          <w:rFonts w:ascii="Calibri" w:hAnsi="Calibri" w:cs="Calibri"/>
          <w:noProof/>
          <w:szCs w:val="24"/>
        </w:rPr>
        <w:t>. Paris. https://doi.org/10.1787/9789264033986-en</w:t>
      </w:r>
    </w:p>
    <w:p w14:paraId="56A9758D" w14:textId="77777777" w:rsidR="006F4138" w:rsidRPr="00FD14C8" w:rsidRDefault="006F4138" w:rsidP="006F4138">
      <w:pPr>
        <w:widowControl w:val="0"/>
        <w:autoSpaceDE w:val="0"/>
        <w:autoSpaceDN w:val="0"/>
        <w:adjustRightInd w:val="0"/>
        <w:spacing w:line="240" w:lineRule="auto"/>
        <w:ind w:left="480" w:hanging="480"/>
        <w:rPr>
          <w:rFonts w:ascii="Calibri" w:hAnsi="Calibri" w:cs="Calibri"/>
          <w:noProof/>
          <w:szCs w:val="24"/>
        </w:rPr>
      </w:pPr>
      <w:r w:rsidRPr="00FD14C8">
        <w:rPr>
          <w:rFonts w:ascii="Calibri" w:hAnsi="Calibri" w:cs="Calibri"/>
          <w:noProof/>
          <w:szCs w:val="24"/>
        </w:rPr>
        <w:lastRenderedPageBreak/>
        <w:t xml:space="preserve">OECD. (2015). </w:t>
      </w:r>
      <w:r w:rsidRPr="00FD14C8">
        <w:rPr>
          <w:rFonts w:ascii="Calibri" w:hAnsi="Calibri" w:cs="Calibri"/>
          <w:i/>
          <w:iCs/>
          <w:noProof/>
          <w:szCs w:val="24"/>
        </w:rPr>
        <w:t>OECD Companion to the Inventory of Support Measures for Fossil Fuels 2015</w:t>
      </w:r>
      <w:r w:rsidRPr="00FD14C8">
        <w:rPr>
          <w:rFonts w:ascii="Calibri" w:hAnsi="Calibri" w:cs="Calibri"/>
          <w:noProof/>
          <w:szCs w:val="24"/>
        </w:rPr>
        <w:t>. Paris.</w:t>
      </w:r>
    </w:p>
    <w:p w14:paraId="764965BE"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78D1340A"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Related indicators as of February 2020</w:t>
      </w:r>
    </w:p>
    <w:p w14:paraId="0CC653F4" w14:textId="77777777" w:rsidR="006B6B81" w:rsidRDefault="006B6B81" w:rsidP="00D60BF9">
      <w:pPr>
        <w:shd w:val="clear" w:color="auto" w:fill="FFFFFF"/>
        <w:spacing w:after="0"/>
        <w:jc w:val="both"/>
        <w:rPr>
          <w:rFonts w:eastAsia="Times New Roman" w:cs="Times New Roman"/>
          <w:color w:val="4A4A4A"/>
          <w:sz w:val="18"/>
          <w:szCs w:val="21"/>
          <w:lang w:eastAsia="en-GB"/>
        </w:rPr>
      </w:pPr>
    </w:p>
    <w:p w14:paraId="2F8F75E8" w14:textId="3E0F8042" w:rsidR="0058556D" w:rsidRPr="00573631" w:rsidRDefault="0058556D" w:rsidP="00D60BF9">
      <w:pPr>
        <w:shd w:val="clear" w:color="auto" w:fill="FFFFFF"/>
        <w:spacing w:after="0"/>
        <w:jc w:val="both"/>
        <w:rPr>
          <w:rFonts w:eastAsia="Times New Roman" w:cs="Times New Roman"/>
          <w:color w:val="4A4A4A"/>
          <w:sz w:val="21"/>
          <w:szCs w:val="21"/>
          <w:lang w:eastAsia="en-GB"/>
        </w:rPr>
      </w:pPr>
    </w:p>
    <w:sectPr w:rsidR="0058556D" w:rsidRPr="00573631" w:rsidSect="00571DE3">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EF51C" w14:textId="77777777" w:rsidR="00D6675E" w:rsidRDefault="00D6675E" w:rsidP="00887DE2">
      <w:pPr>
        <w:spacing w:after="0" w:line="240" w:lineRule="auto"/>
      </w:pPr>
      <w:r>
        <w:separator/>
      </w:r>
    </w:p>
  </w:endnote>
  <w:endnote w:type="continuationSeparator" w:id="0">
    <w:p w14:paraId="4708EE30" w14:textId="77777777" w:rsidR="00D6675E" w:rsidRDefault="00D6675E" w:rsidP="00887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9734B" w14:textId="77777777" w:rsidR="00D6675E" w:rsidRDefault="00D6675E" w:rsidP="00887DE2">
      <w:pPr>
        <w:spacing w:after="0" w:line="240" w:lineRule="auto"/>
      </w:pPr>
      <w:r>
        <w:separator/>
      </w:r>
    </w:p>
  </w:footnote>
  <w:footnote w:type="continuationSeparator" w:id="0">
    <w:p w14:paraId="387E0D4B" w14:textId="77777777" w:rsidR="00D6675E" w:rsidRDefault="00D6675E" w:rsidP="00887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9D58F" w14:textId="23FCF92D" w:rsidR="0013497F" w:rsidRPr="00757E8A" w:rsidRDefault="0013497F" w:rsidP="0013497F">
    <w:pPr>
      <w:pStyle w:val="Header"/>
      <w:jc w:val="right"/>
      <w:rPr>
        <w:color w:val="404040" w:themeColor="text1" w:themeTint="BF"/>
        <w:sz w:val="18"/>
        <w:szCs w:val="18"/>
      </w:rPr>
    </w:pPr>
    <w:bookmarkStart w:id="1" w:name="_Hlk506197003"/>
    <w:bookmarkStart w:id="2" w:name="_Hlk506197004"/>
    <w:bookmarkStart w:id="3" w:name="_Hlk506197005"/>
    <w:bookmarkStart w:id="4" w:name="_Hlk516233502"/>
    <w:bookmarkStart w:id="5" w:name="_Hlk516233503"/>
    <w:bookmarkStart w:id="6" w:name="_Hlk516233504"/>
    <w:r w:rsidRPr="00757E8A">
      <w:rPr>
        <w:color w:val="404040" w:themeColor="text1" w:themeTint="BF"/>
        <w:sz w:val="18"/>
        <w:szCs w:val="18"/>
      </w:rPr>
      <w:t xml:space="preserve">Last updated: </w:t>
    </w:r>
    <w:bookmarkEnd w:id="1"/>
    <w:bookmarkEnd w:id="2"/>
    <w:bookmarkEnd w:id="3"/>
    <w:bookmarkEnd w:id="4"/>
    <w:bookmarkEnd w:id="5"/>
    <w:bookmarkEnd w:id="6"/>
    <w:r w:rsidR="00A726C8">
      <w:rPr>
        <w:noProof/>
        <w:color w:val="404040" w:themeColor="text1" w:themeTint="BF"/>
        <w:sz w:val="18"/>
        <w:szCs w:val="18"/>
      </w:rPr>
      <w:t>March</w:t>
    </w:r>
    <w:r w:rsidR="00A726C8">
      <w:rPr>
        <w:noProof/>
        <w:color w:val="404040" w:themeColor="text1" w:themeTint="BF"/>
        <w:sz w:val="18"/>
        <w:szCs w:val="18"/>
      </w:rPr>
      <w:t xml:space="preserve"> </w:t>
    </w:r>
    <w:r w:rsidR="009F4948">
      <w:rPr>
        <w:noProof/>
        <w:color w:val="404040" w:themeColor="text1" w:themeTint="BF"/>
        <w:sz w:val="18"/>
        <w:szCs w:val="18"/>
      </w:rPr>
      <w:t>202</w:t>
    </w:r>
    <w:r w:rsidR="00A726C8">
      <w:rPr>
        <w:noProof/>
        <w:color w:val="404040" w:themeColor="text1" w:themeTint="BF"/>
        <w:sz w:val="18"/>
        <w:szCs w:val="18"/>
      </w:rPr>
      <w:t>1</w:t>
    </w:r>
  </w:p>
  <w:p w14:paraId="2CB0C9D0" w14:textId="77777777" w:rsidR="0013497F" w:rsidRDefault="00134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6D43"/>
    <w:multiLevelType w:val="hybridMultilevel"/>
    <w:tmpl w:val="F566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E5174"/>
    <w:multiLevelType w:val="hybridMultilevel"/>
    <w:tmpl w:val="3B801B2E"/>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187981"/>
    <w:multiLevelType w:val="hybridMultilevel"/>
    <w:tmpl w:val="27E4A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7565B"/>
    <w:multiLevelType w:val="hybridMultilevel"/>
    <w:tmpl w:val="52760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13B1A"/>
    <w:multiLevelType w:val="hybridMultilevel"/>
    <w:tmpl w:val="6D026E00"/>
    <w:lvl w:ilvl="0" w:tplc="8050FC04">
      <w:start w:val="1"/>
      <w:numFmt w:val="decimal"/>
      <w:lvlText w:val="%1."/>
      <w:lvlJc w:val="left"/>
      <w:pPr>
        <w:ind w:left="360" w:hanging="360"/>
      </w:pPr>
      <w:rPr>
        <w:rFonts w:hint="eastAsia"/>
        <w:b w:val="0"/>
        <w:sz w:val="20"/>
        <w:szCs w:val="20"/>
        <w:lang w:val="en-GB"/>
      </w:rPr>
    </w:lvl>
    <w:lvl w:ilvl="1" w:tplc="98E40D06">
      <w:start w:val="1"/>
      <w:numFmt w:val="lowerLetter"/>
      <w:lvlText w:val="(%2)"/>
      <w:lvlJc w:val="left"/>
      <w:pPr>
        <w:ind w:left="1080" w:hanging="360"/>
      </w:pPr>
      <w:rPr>
        <w:rFonts w:ascii="Times New Roman" w:eastAsia="Times New Roman" w:hAnsi="Times New Roman" w:cs="Times New Roman"/>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BC70C5"/>
    <w:multiLevelType w:val="hybridMultilevel"/>
    <w:tmpl w:val="2F6EE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C50769"/>
    <w:multiLevelType w:val="hybridMultilevel"/>
    <w:tmpl w:val="94B4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21FA2"/>
    <w:multiLevelType w:val="hybridMultilevel"/>
    <w:tmpl w:val="8C9E29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615BE"/>
    <w:multiLevelType w:val="hybridMultilevel"/>
    <w:tmpl w:val="FBD6F9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82AC6"/>
    <w:multiLevelType w:val="hybridMultilevel"/>
    <w:tmpl w:val="62EC6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1B309D"/>
    <w:multiLevelType w:val="hybridMultilevel"/>
    <w:tmpl w:val="871C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3591E"/>
    <w:multiLevelType w:val="hybridMultilevel"/>
    <w:tmpl w:val="1034FF40"/>
    <w:lvl w:ilvl="0" w:tplc="EBE67D1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56EA5"/>
    <w:multiLevelType w:val="hybridMultilevel"/>
    <w:tmpl w:val="1E783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C28AA"/>
    <w:multiLevelType w:val="hybridMultilevel"/>
    <w:tmpl w:val="748A3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0D003D"/>
    <w:multiLevelType w:val="hybridMultilevel"/>
    <w:tmpl w:val="FBD6F9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F3BE9"/>
    <w:multiLevelType w:val="hybridMultilevel"/>
    <w:tmpl w:val="B5900136"/>
    <w:lvl w:ilvl="0" w:tplc="AD58A2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651A2"/>
    <w:multiLevelType w:val="hybridMultilevel"/>
    <w:tmpl w:val="FBD6F9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D5044"/>
    <w:multiLevelType w:val="hybridMultilevel"/>
    <w:tmpl w:val="31D4E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E4621B"/>
    <w:multiLevelType w:val="hybridMultilevel"/>
    <w:tmpl w:val="8C9E29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9D7AA3"/>
    <w:multiLevelType w:val="hybridMultilevel"/>
    <w:tmpl w:val="3CA4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650E00"/>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CE5358"/>
    <w:multiLevelType w:val="hybridMultilevel"/>
    <w:tmpl w:val="1E783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D421A"/>
    <w:multiLevelType w:val="hybridMultilevel"/>
    <w:tmpl w:val="36E2E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B6C46"/>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0573A6"/>
    <w:multiLevelType w:val="hybridMultilevel"/>
    <w:tmpl w:val="EC540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08365B"/>
    <w:multiLevelType w:val="hybridMultilevel"/>
    <w:tmpl w:val="04C8B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5C4E0B"/>
    <w:multiLevelType w:val="hybridMultilevel"/>
    <w:tmpl w:val="72DCB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286A12"/>
    <w:multiLevelType w:val="hybridMultilevel"/>
    <w:tmpl w:val="8C9E29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0D1AF3"/>
    <w:multiLevelType w:val="hybridMultilevel"/>
    <w:tmpl w:val="FF6C5E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C750D4B"/>
    <w:multiLevelType w:val="hybridMultilevel"/>
    <w:tmpl w:val="78E0D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0E7B3A"/>
    <w:multiLevelType w:val="hybridMultilevel"/>
    <w:tmpl w:val="68E48530"/>
    <w:lvl w:ilvl="0" w:tplc="0409001B">
      <w:start w:val="1"/>
      <w:numFmt w:val="lowerRoman"/>
      <w:lvlText w:val="%1."/>
      <w:lvlJc w:val="right"/>
      <w:pPr>
        <w:ind w:left="1980" w:hanging="36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32" w15:restartNumberingAfterBreak="0">
    <w:nsid w:val="6DC855D3"/>
    <w:multiLevelType w:val="hybridMultilevel"/>
    <w:tmpl w:val="A1E08F04"/>
    <w:lvl w:ilvl="0" w:tplc="0409001B">
      <w:start w:val="1"/>
      <w:numFmt w:val="lowerRoman"/>
      <w:lvlText w:val="%1."/>
      <w:lvlJc w:val="righ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3" w15:restartNumberingAfterBreak="0">
    <w:nsid w:val="6E284E77"/>
    <w:multiLevelType w:val="hybridMultilevel"/>
    <w:tmpl w:val="A348A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831915"/>
    <w:multiLevelType w:val="hybridMultilevel"/>
    <w:tmpl w:val="EDB27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7F632F"/>
    <w:multiLevelType w:val="hybridMultilevel"/>
    <w:tmpl w:val="31FE2474"/>
    <w:lvl w:ilvl="0" w:tplc="E07A3DB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C92408"/>
    <w:multiLevelType w:val="hybridMultilevel"/>
    <w:tmpl w:val="2162037E"/>
    <w:lvl w:ilvl="0" w:tplc="1E2E409E">
      <w:start w:val="1"/>
      <w:numFmt w:val="decimal"/>
      <w:lvlText w:val="%1."/>
      <w:lvlJc w:val="left"/>
      <w:pPr>
        <w:ind w:left="1778" w:hanging="360"/>
      </w:pPr>
      <w:rPr>
        <w:rFonts w:hint="eastAsia"/>
        <w:b w:val="0"/>
        <w:sz w:val="20"/>
        <w:szCs w:val="20"/>
      </w:rPr>
    </w:lvl>
    <w:lvl w:ilvl="1" w:tplc="98E40D06">
      <w:start w:val="1"/>
      <w:numFmt w:val="lowerLetter"/>
      <w:lvlText w:val="(%2)"/>
      <w:lvlJc w:val="left"/>
      <w:pPr>
        <w:ind w:left="2575" w:hanging="360"/>
      </w:pPr>
      <w:rPr>
        <w:rFonts w:ascii="Times New Roman" w:eastAsia="Times New Roman" w:hAnsi="Times New Roman" w:cs="Times New Roman"/>
      </w:rPr>
    </w:lvl>
    <w:lvl w:ilvl="2" w:tplc="0409001B">
      <w:start w:val="1"/>
      <w:numFmt w:val="lowerRoman"/>
      <w:lvlText w:val="%3."/>
      <w:lvlJc w:val="right"/>
      <w:pPr>
        <w:ind w:left="3295" w:hanging="180"/>
      </w:pPr>
    </w:lvl>
    <w:lvl w:ilvl="3" w:tplc="0409000F">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37" w15:restartNumberingAfterBreak="0">
    <w:nsid w:val="756C7E66"/>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C35C0"/>
    <w:multiLevelType w:val="hybridMultilevel"/>
    <w:tmpl w:val="8C9E29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9C44DB"/>
    <w:multiLevelType w:val="hybridMultilevel"/>
    <w:tmpl w:val="7C02E2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4C121C"/>
    <w:multiLevelType w:val="hybridMultilevel"/>
    <w:tmpl w:val="C4A6AC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EAB39CC"/>
    <w:multiLevelType w:val="hybridMultilevel"/>
    <w:tmpl w:val="F4922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33"/>
  </w:num>
  <w:num w:numId="4">
    <w:abstractNumId w:val="7"/>
  </w:num>
  <w:num w:numId="5">
    <w:abstractNumId w:val="39"/>
  </w:num>
  <w:num w:numId="6">
    <w:abstractNumId w:val="11"/>
  </w:num>
  <w:num w:numId="7">
    <w:abstractNumId w:val="16"/>
  </w:num>
  <w:num w:numId="8">
    <w:abstractNumId w:val="4"/>
  </w:num>
  <w:num w:numId="9">
    <w:abstractNumId w:val="14"/>
  </w:num>
  <w:num w:numId="10">
    <w:abstractNumId w:val="8"/>
  </w:num>
  <w:num w:numId="11">
    <w:abstractNumId w:val="31"/>
  </w:num>
  <w:num w:numId="12">
    <w:abstractNumId w:val="32"/>
  </w:num>
  <w:num w:numId="13">
    <w:abstractNumId w:val="38"/>
  </w:num>
  <w:num w:numId="14">
    <w:abstractNumId w:val="19"/>
  </w:num>
  <w:num w:numId="15">
    <w:abstractNumId w:val="28"/>
  </w:num>
  <w:num w:numId="16">
    <w:abstractNumId w:val="27"/>
  </w:num>
  <w:num w:numId="17">
    <w:abstractNumId w:val="25"/>
  </w:num>
  <w:num w:numId="18">
    <w:abstractNumId w:val="23"/>
  </w:num>
  <w:num w:numId="19">
    <w:abstractNumId w:val="3"/>
  </w:num>
  <w:num w:numId="20">
    <w:abstractNumId w:val="34"/>
  </w:num>
  <w:num w:numId="21">
    <w:abstractNumId w:val="2"/>
  </w:num>
  <w:num w:numId="22">
    <w:abstractNumId w:val="9"/>
  </w:num>
  <w:num w:numId="23">
    <w:abstractNumId w:val="18"/>
  </w:num>
  <w:num w:numId="24">
    <w:abstractNumId w:val="41"/>
  </w:num>
  <w:num w:numId="25">
    <w:abstractNumId w:val="13"/>
  </w:num>
  <w:num w:numId="26">
    <w:abstractNumId w:val="20"/>
  </w:num>
  <w:num w:numId="27">
    <w:abstractNumId w:val="26"/>
  </w:num>
  <w:num w:numId="28">
    <w:abstractNumId w:val="37"/>
  </w:num>
  <w:num w:numId="29">
    <w:abstractNumId w:val="12"/>
  </w:num>
  <w:num w:numId="30">
    <w:abstractNumId w:val="10"/>
  </w:num>
  <w:num w:numId="31">
    <w:abstractNumId w:val="21"/>
  </w:num>
  <w:num w:numId="32">
    <w:abstractNumId w:val="24"/>
  </w:num>
  <w:num w:numId="33">
    <w:abstractNumId w:val="30"/>
  </w:num>
  <w:num w:numId="34">
    <w:abstractNumId w:val="6"/>
  </w:num>
  <w:num w:numId="35">
    <w:abstractNumId w:val="36"/>
  </w:num>
  <w:num w:numId="36">
    <w:abstractNumId w:val="22"/>
  </w:num>
  <w:num w:numId="37">
    <w:abstractNumId w:val="29"/>
  </w:num>
  <w:num w:numId="38">
    <w:abstractNumId w:val="5"/>
  </w:num>
  <w:num w:numId="39">
    <w:abstractNumId w:val="40"/>
  </w:num>
  <w:num w:numId="40">
    <w:abstractNumId w:val="1"/>
  </w:num>
  <w:num w:numId="41">
    <w:abstractNumId w:val="35"/>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wMDK3tDQwMDO1MDJQ0lEKTi0uzszPAykwrAUAVrTa1iwAAAA="/>
  </w:docVars>
  <w:rsids>
    <w:rsidRoot w:val="0058556D"/>
    <w:rsid w:val="00003FDE"/>
    <w:rsid w:val="000070BA"/>
    <w:rsid w:val="000173F9"/>
    <w:rsid w:val="00026518"/>
    <w:rsid w:val="00042C85"/>
    <w:rsid w:val="00047DDA"/>
    <w:rsid w:val="00050AFF"/>
    <w:rsid w:val="00071F07"/>
    <w:rsid w:val="0007759D"/>
    <w:rsid w:val="000777AB"/>
    <w:rsid w:val="00077FEF"/>
    <w:rsid w:val="0008658D"/>
    <w:rsid w:val="00090FB1"/>
    <w:rsid w:val="00091A2D"/>
    <w:rsid w:val="00096186"/>
    <w:rsid w:val="000A03CE"/>
    <w:rsid w:val="000A72E4"/>
    <w:rsid w:val="000B0E2F"/>
    <w:rsid w:val="000B2430"/>
    <w:rsid w:val="000C5EE9"/>
    <w:rsid w:val="000D0B30"/>
    <w:rsid w:val="000E03F7"/>
    <w:rsid w:val="000F6B3F"/>
    <w:rsid w:val="000F703E"/>
    <w:rsid w:val="00104C0D"/>
    <w:rsid w:val="00120E86"/>
    <w:rsid w:val="0012467E"/>
    <w:rsid w:val="00125DE9"/>
    <w:rsid w:val="001332E0"/>
    <w:rsid w:val="0013497F"/>
    <w:rsid w:val="00134DE7"/>
    <w:rsid w:val="00160F88"/>
    <w:rsid w:val="00180988"/>
    <w:rsid w:val="0018379F"/>
    <w:rsid w:val="00185354"/>
    <w:rsid w:val="001854DC"/>
    <w:rsid w:val="00194D09"/>
    <w:rsid w:val="001A391F"/>
    <w:rsid w:val="001A5167"/>
    <w:rsid w:val="001B1BA9"/>
    <w:rsid w:val="001C421F"/>
    <w:rsid w:val="001D360D"/>
    <w:rsid w:val="001D3698"/>
    <w:rsid w:val="001F4290"/>
    <w:rsid w:val="001F4954"/>
    <w:rsid w:val="001F5AA4"/>
    <w:rsid w:val="001F7F43"/>
    <w:rsid w:val="00201F32"/>
    <w:rsid w:val="00204EBC"/>
    <w:rsid w:val="00210175"/>
    <w:rsid w:val="00210693"/>
    <w:rsid w:val="002316F5"/>
    <w:rsid w:val="002320C5"/>
    <w:rsid w:val="00233AAD"/>
    <w:rsid w:val="00246DC0"/>
    <w:rsid w:val="00250675"/>
    <w:rsid w:val="002530EE"/>
    <w:rsid w:val="002579F6"/>
    <w:rsid w:val="00260F40"/>
    <w:rsid w:val="0026136F"/>
    <w:rsid w:val="00261A8D"/>
    <w:rsid w:val="002641D9"/>
    <w:rsid w:val="00265876"/>
    <w:rsid w:val="00266FEA"/>
    <w:rsid w:val="00282496"/>
    <w:rsid w:val="00283C1C"/>
    <w:rsid w:val="00286726"/>
    <w:rsid w:val="00291A00"/>
    <w:rsid w:val="00291A11"/>
    <w:rsid w:val="002928ED"/>
    <w:rsid w:val="002A315C"/>
    <w:rsid w:val="002A3342"/>
    <w:rsid w:val="002A64BA"/>
    <w:rsid w:val="002B4989"/>
    <w:rsid w:val="002D714E"/>
    <w:rsid w:val="002E53C3"/>
    <w:rsid w:val="003341DA"/>
    <w:rsid w:val="00340DF1"/>
    <w:rsid w:val="00343FAA"/>
    <w:rsid w:val="00345145"/>
    <w:rsid w:val="00345B45"/>
    <w:rsid w:val="00353C98"/>
    <w:rsid w:val="00354574"/>
    <w:rsid w:val="003559F0"/>
    <w:rsid w:val="00382DEE"/>
    <w:rsid w:val="003939E2"/>
    <w:rsid w:val="00397574"/>
    <w:rsid w:val="003A7CEA"/>
    <w:rsid w:val="003C153F"/>
    <w:rsid w:val="003C5937"/>
    <w:rsid w:val="003F0BD3"/>
    <w:rsid w:val="00422EFA"/>
    <w:rsid w:val="004428F8"/>
    <w:rsid w:val="00445003"/>
    <w:rsid w:val="004456ED"/>
    <w:rsid w:val="004606E8"/>
    <w:rsid w:val="004841B8"/>
    <w:rsid w:val="004B09EB"/>
    <w:rsid w:val="004B0F1C"/>
    <w:rsid w:val="004B3091"/>
    <w:rsid w:val="004B6A87"/>
    <w:rsid w:val="00502DBA"/>
    <w:rsid w:val="005040C4"/>
    <w:rsid w:val="00507637"/>
    <w:rsid w:val="0051193C"/>
    <w:rsid w:val="00514DBF"/>
    <w:rsid w:val="0052748C"/>
    <w:rsid w:val="00534E20"/>
    <w:rsid w:val="00550921"/>
    <w:rsid w:val="005544B6"/>
    <w:rsid w:val="005566F7"/>
    <w:rsid w:val="005606DD"/>
    <w:rsid w:val="00571DE3"/>
    <w:rsid w:val="00573631"/>
    <w:rsid w:val="0058556D"/>
    <w:rsid w:val="00585DDA"/>
    <w:rsid w:val="00592B8C"/>
    <w:rsid w:val="00596C46"/>
    <w:rsid w:val="00597748"/>
    <w:rsid w:val="005D0764"/>
    <w:rsid w:val="005D0AF4"/>
    <w:rsid w:val="005D0B50"/>
    <w:rsid w:val="005E5D27"/>
    <w:rsid w:val="005F0FE7"/>
    <w:rsid w:val="005F2ED9"/>
    <w:rsid w:val="005F6CCA"/>
    <w:rsid w:val="006104AF"/>
    <w:rsid w:val="006143BA"/>
    <w:rsid w:val="00621893"/>
    <w:rsid w:val="006351E1"/>
    <w:rsid w:val="00637273"/>
    <w:rsid w:val="00641EF0"/>
    <w:rsid w:val="00647CBA"/>
    <w:rsid w:val="006561FE"/>
    <w:rsid w:val="006852FC"/>
    <w:rsid w:val="006B07A9"/>
    <w:rsid w:val="006B40AB"/>
    <w:rsid w:val="006B5DC5"/>
    <w:rsid w:val="006B6B81"/>
    <w:rsid w:val="006B7084"/>
    <w:rsid w:val="006C3248"/>
    <w:rsid w:val="006C6481"/>
    <w:rsid w:val="006C7D30"/>
    <w:rsid w:val="006D0C94"/>
    <w:rsid w:val="006D1C20"/>
    <w:rsid w:val="006D4B93"/>
    <w:rsid w:val="006E3C08"/>
    <w:rsid w:val="006F4138"/>
    <w:rsid w:val="00700ACF"/>
    <w:rsid w:val="00712487"/>
    <w:rsid w:val="00712C37"/>
    <w:rsid w:val="007231FC"/>
    <w:rsid w:val="00723ED0"/>
    <w:rsid w:val="007530CA"/>
    <w:rsid w:val="007578D9"/>
    <w:rsid w:val="0076213D"/>
    <w:rsid w:val="00763E43"/>
    <w:rsid w:val="00764EB5"/>
    <w:rsid w:val="00777A95"/>
    <w:rsid w:val="007B234D"/>
    <w:rsid w:val="007B4A78"/>
    <w:rsid w:val="007D0981"/>
    <w:rsid w:val="007D1929"/>
    <w:rsid w:val="007D4670"/>
    <w:rsid w:val="007F0124"/>
    <w:rsid w:val="007F2F47"/>
    <w:rsid w:val="007F33BC"/>
    <w:rsid w:val="00803CF1"/>
    <w:rsid w:val="008217D0"/>
    <w:rsid w:val="008249C5"/>
    <w:rsid w:val="00833690"/>
    <w:rsid w:val="008526F9"/>
    <w:rsid w:val="008544D9"/>
    <w:rsid w:val="00881E28"/>
    <w:rsid w:val="00887DE2"/>
    <w:rsid w:val="00892533"/>
    <w:rsid w:val="00894C4B"/>
    <w:rsid w:val="008A12E3"/>
    <w:rsid w:val="008A16AC"/>
    <w:rsid w:val="008A42FA"/>
    <w:rsid w:val="008C1C2C"/>
    <w:rsid w:val="008C2335"/>
    <w:rsid w:val="008C2CBF"/>
    <w:rsid w:val="008C3FB8"/>
    <w:rsid w:val="008C4056"/>
    <w:rsid w:val="008C67C1"/>
    <w:rsid w:val="008C7789"/>
    <w:rsid w:val="008E77DC"/>
    <w:rsid w:val="0090028D"/>
    <w:rsid w:val="00900ECF"/>
    <w:rsid w:val="00912467"/>
    <w:rsid w:val="00917F65"/>
    <w:rsid w:val="009203BA"/>
    <w:rsid w:val="009311E7"/>
    <w:rsid w:val="009830BF"/>
    <w:rsid w:val="00987013"/>
    <w:rsid w:val="009A7E3A"/>
    <w:rsid w:val="009B1265"/>
    <w:rsid w:val="009B5693"/>
    <w:rsid w:val="009B6A73"/>
    <w:rsid w:val="009D687E"/>
    <w:rsid w:val="009F4948"/>
    <w:rsid w:val="009F6DE7"/>
    <w:rsid w:val="00A005A3"/>
    <w:rsid w:val="00A02EA5"/>
    <w:rsid w:val="00A02EEB"/>
    <w:rsid w:val="00A0742D"/>
    <w:rsid w:val="00A142CB"/>
    <w:rsid w:val="00A22E9D"/>
    <w:rsid w:val="00A248AB"/>
    <w:rsid w:val="00A37FCB"/>
    <w:rsid w:val="00A54863"/>
    <w:rsid w:val="00A61D74"/>
    <w:rsid w:val="00A62556"/>
    <w:rsid w:val="00A726C8"/>
    <w:rsid w:val="00A86102"/>
    <w:rsid w:val="00A8688B"/>
    <w:rsid w:val="00A9286F"/>
    <w:rsid w:val="00AA1E78"/>
    <w:rsid w:val="00AA3C37"/>
    <w:rsid w:val="00AA4062"/>
    <w:rsid w:val="00AB35E2"/>
    <w:rsid w:val="00AB7DE6"/>
    <w:rsid w:val="00AD45CC"/>
    <w:rsid w:val="00AD6065"/>
    <w:rsid w:val="00AF1CD0"/>
    <w:rsid w:val="00AF5CB4"/>
    <w:rsid w:val="00AF71D6"/>
    <w:rsid w:val="00B01347"/>
    <w:rsid w:val="00B1251C"/>
    <w:rsid w:val="00B2750F"/>
    <w:rsid w:val="00B3175F"/>
    <w:rsid w:val="00B402D8"/>
    <w:rsid w:val="00B4137D"/>
    <w:rsid w:val="00B4237C"/>
    <w:rsid w:val="00B42FE8"/>
    <w:rsid w:val="00B45432"/>
    <w:rsid w:val="00B52AFD"/>
    <w:rsid w:val="00B54077"/>
    <w:rsid w:val="00B579D8"/>
    <w:rsid w:val="00B83597"/>
    <w:rsid w:val="00B8634A"/>
    <w:rsid w:val="00BB1E7E"/>
    <w:rsid w:val="00BB646E"/>
    <w:rsid w:val="00BC5B6E"/>
    <w:rsid w:val="00BC7613"/>
    <w:rsid w:val="00BD0D19"/>
    <w:rsid w:val="00BD1BA1"/>
    <w:rsid w:val="00BD46BF"/>
    <w:rsid w:val="00BE182B"/>
    <w:rsid w:val="00BE4303"/>
    <w:rsid w:val="00C07817"/>
    <w:rsid w:val="00C35BC4"/>
    <w:rsid w:val="00C361C7"/>
    <w:rsid w:val="00C4001B"/>
    <w:rsid w:val="00C41F99"/>
    <w:rsid w:val="00C43F5B"/>
    <w:rsid w:val="00C47A25"/>
    <w:rsid w:val="00C62E50"/>
    <w:rsid w:val="00C75095"/>
    <w:rsid w:val="00CA1221"/>
    <w:rsid w:val="00CB4371"/>
    <w:rsid w:val="00CC68BE"/>
    <w:rsid w:val="00CE0FD9"/>
    <w:rsid w:val="00CF74E8"/>
    <w:rsid w:val="00D010F1"/>
    <w:rsid w:val="00D01461"/>
    <w:rsid w:val="00D15975"/>
    <w:rsid w:val="00D24251"/>
    <w:rsid w:val="00D26F57"/>
    <w:rsid w:val="00D27439"/>
    <w:rsid w:val="00D3198D"/>
    <w:rsid w:val="00D40056"/>
    <w:rsid w:val="00D60BF9"/>
    <w:rsid w:val="00D6675E"/>
    <w:rsid w:val="00D70AD9"/>
    <w:rsid w:val="00D7166E"/>
    <w:rsid w:val="00D72152"/>
    <w:rsid w:val="00D8657E"/>
    <w:rsid w:val="00D903AF"/>
    <w:rsid w:val="00D927C4"/>
    <w:rsid w:val="00D94BA5"/>
    <w:rsid w:val="00D9510F"/>
    <w:rsid w:val="00DA57F0"/>
    <w:rsid w:val="00DA620D"/>
    <w:rsid w:val="00DB12D5"/>
    <w:rsid w:val="00DB3CB9"/>
    <w:rsid w:val="00DD18B1"/>
    <w:rsid w:val="00DD61DE"/>
    <w:rsid w:val="00DE2EA3"/>
    <w:rsid w:val="00DE5DC3"/>
    <w:rsid w:val="00DF7D8B"/>
    <w:rsid w:val="00E00D8A"/>
    <w:rsid w:val="00E11604"/>
    <w:rsid w:val="00E11D92"/>
    <w:rsid w:val="00E130A0"/>
    <w:rsid w:val="00E210C4"/>
    <w:rsid w:val="00E227D3"/>
    <w:rsid w:val="00E319C7"/>
    <w:rsid w:val="00E662E7"/>
    <w:rsid w:val="00E66409"/>
    <w:rsid w:val="00E6719F"/>
    <w:rsid w:val="00E81D5B"/>
    <w:rsid w:val="00EA40C8"/>
    <w:rsid w:val="00EB0298"/>
    <w:rsid w:val="00EB19AD"/>
    <w:rsid w:val="00EB6493"/>
    <w:rsid w:val="00ED05A9"/>
    <w:rsid w:val="00ED7201"/>
    <w:rsid w:val="00EE309F"/>
    <w:rsid w:val="00EF25C9"/>
    <w:rsid w:val="00EF4CFA"/>
    <w:rsid w:val="00F12313"/>
    <w:rsid w:val="00F16B7B"/>
    <w:rsid w:val="00F17257"/>
    <w:rsid w:val="00F20F3F"/>
    <w:rsid w:val="00F34D24"/>
    <w:rsid w:val="00F41D1A"/>
    <w:rsid w:val="00F44ED9"/>
    <w:rsid w:val="00F556A2"/>
    <w:rsid w:val="00F61DC7"/>
    <w:rsid w:val="00F878B9"/>
    <w:rsid w:val="00FA0A34"/>
    <w:rsid w:val="00FB24E8"/>
    <w:rsid w:val="00FC18DA"/>
    <w:rsid w:val="00FC1C89"/>
    <w:rsid w:val="00FD5C03"/>
    <w:rsid w:val="00FD60DA"/>
    <w:rsid w:val="00FF0AE1"/>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9593"/>
  <w15:docId w15:val="{0818BADD-3E89-47B0-B4CC-BD98B54F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FootnoteText">
    <w:name w:val="footnote text"/>
    <w:basedOn w:val="Normal"/>
    <w:link w:val="FootnoteTextChar"/>
    <w:uiPriority w:val="99"/>
    <w:unhideWhenUsed/>
    <w:rsid w:val="00887DE2"/>
    <w:pPr>
      <w:spacing w:after="0" w:line="240" w:lineRule="auto"/>
    </w:pPr>
    <w:rPr>
      <w:sz w:val="20"/>
      <w:szCs w:val="20"/>
    </w:rPr>
  </w:style>
  <w:style w:type="character" w:customStyle="1" w:styleId="FootnoteTextChar">
    <w:name w:val="Footnote Text Char"/>
    <w:basedOn w:val="DefaultParagraphFont"/>
    <w:link w:val="FootnoteText"/>
    <w:uiPriority w:val="99"/>
    <w:rsid w:val="00887DE2"/>
    <w:rPr>
      <w:sz w:val="20"/>
      <w:szCs w:val="20"/>
    </w:rPr>
  </w:style>
  <w:style w:type="character" w:styleId="FootnoteReference">
    <w:name w:val="footnote reference"/>
    <w:basedOn w:val="DefaultParagraphFont"/>
    <w:uiPriority w:val="99"/>
    <w:unhideWhenUsed/>
    <w:rsid w:val="00887DE2"/>
    <w:rPr>
      <w:vertAlign w:val="superscript"/>
    </w:rPr>
  </w:style>
  <w:style w:type="paragraph" w:customStyle="1" w:styleId="NormalNonumber">
    <w:name w:val="Normal_No_number"/>
    <w:basedOn w:val="Normal"/>
    <w:rsid w:val="008C3FB8"/>
    <w:pPr>
      <w:tabs>
        <w:tab w:val="left" w:pos="1247"/>
        <w:tab w:val="left" w:pos="1814"/>
        <w:tab w:val="left" w:pos="2381"/>
        <w:tab w:val="left" w:pos="2948"/>
        <w:tab w:val="left" w:pos="3515"/>
        <w:tab w:val="left" w:pos="4082"/>
      </w:tabs>
      <w:spacing w:after="120" w:line="240" w:lineRule="auto"/>
      <w:ind w:left="1247"/>
    </w:pPr>
    <w:rPr>
      <w:rFonts w:ascii="Times New Roman" w:eastAsia="Times New Roman" w:hAnsi="Times New Roman" w:cs="Times New Roman"/>
      <w:sz w:val="20"/>
      <w:szCs w:val="20"/>
      <w:lang w:val="fr-CA" w:eastAsia="en-US"/>
    </w:rPr>
  </w:style>
  <w:style w:type="paragraph" w:styleId="Revision">
    <w:name w:val="Revision"/>
    <w:hidden/>
    <w:uiPriority w:val="99"/>
    <w:semiHidden/>
    <w:rsid w:val="006561FE"/>
    <w:pPr>
      <w:spacing w:after="0" w:line="240" w:lineRule="auto"/>
    </w:pPr>
  </w:style>
  <w:style w:type="character" w:customStyle="1" w:styleId="ListParagraphChar">
    <w:name w:val="List Paragraph Char"/>
    <w:aliases w:val="heading 2 Char,List Paragraph 1 Char"/>
    <w:link w:val="ListParagraph"/>
    <w:uiPriority w:val="34"/>
    <w:rsid w:val="009203BA"/>
  </w:style>
  <w:style w:type="character" w:styleId="FollowedHyperlink">
    <w:name w:val="FollowedHyperlink"/>
    <w:basedOn w:val="DefaultParagraphFont"/>
    <w:uiPriority w:val="99"/>
    <w:semiHidden/>
    <w:unhideWhenUsed/>
    <w:rsid w:val="008E77DC"/>
    <w:rPr>
      <w:color w:val="800080" w:themeColor="followedHyperlink"/>
      <w:u w:val="single"/>
    </w:rPr>
  </w:style>
  <w:style w:type="paragraph" w:customStyle="1" w:styleId="MHeader">
    <w:name w:val="M.Header"/>
    <w:basedOn w:val="Normal"/>
    <w:link w:val="MHeaderChar"/>
    <w:qFormat/>
    <w:rsid w:val="008217D0"/>
    <w:pPr>
      <w:pBdr>
        <w:bottom w:val="single" w:sz="12" w:space="4" w:color="DDDDDD"/>
      </w:pBdr>
      <w:shd w:val="clear" w:color="auto" w:fill="FFFFFF"/>
      <w:spacing w:after="0"/>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8217D0"/>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8217D0"/>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8217D0"/>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8217D0"/>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8217D0"/>
    <w:pPr>
      <w:shd w:val="clear" w:color="auto" w:fill="F5F5F5"/>
      <w:spacing w:after="0"/>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8217D0"/>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8217D0"/>
    <w:pPr>
      <w:shd w:val="clear" w:color="auto" w:fill="F5F5F5"/>
      <w:spacing w:after="0"/>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8217D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8217D0"/>
    <w:rPr>
      <w:rFonts w:eastAsia="Times New Roman" w:cs="Times New Roman"/>
      <w:color w:val="1C75BC"/>
      <w:shd w:val="clear" w:color="auto" w:fill="F5F5F5"/>
      <w:lang w:eastAsia="en-GB"/>
    </w:rPr>
  </w:style>
  <w:style w:type="paragraph" w:styleId="Header">
    <w:name w:val="header"/>
    <w:basedOn w:val="Normal"/>
    <w:link w:val="HeaderChar"/>
    <w:uiPriority w:val="99"/>
    <w:unhideWhenUsed/>
    <w:rsid w:val="0013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97F"/>
  </w:style>
  <w:style w:type="paragraph" w:styleId="Footer">
    <w:name w:val="footer"/>
    <w:basedOn w:val="Normal"/>
    <w:link w:val="FooterChar"/>
    <w:uiPriority w:val="99"/>
    <w:unhideWhenUsed/>
    <w:rsid w:val="00134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186944">
      <w:bodyDiv w:val="1"/>
      <w:marLeft w:val="0"/>
      <w:marRight w:val="0"/>
      <w:marTop w:val="0"/>
      <w:marBottom w:val="0"/>
      <w:divBdr>
        <w:top w:val="none" w:sz="0" w:space="0" w:color="auto"/>
        <w:left w:val="none" w:sz="0" w:space="0" w:color="auto"/>
        <w:bottom w:val="none" w:sz="0" w:space="0" w:color="auto"/>
        <w:right w:val="none" w:sz="0" w:space="0" w:color="auto"/>
      </w:divBdr>
    </w:div>
    <w:div w:id="7879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uneplive.unep.org/media/docs/graphs/aggregation_methods.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D9122-4817-46CE-A523-D1D1225BB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1585</Words>
  <Characters>9041</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Harumi Shibata Salazar</cp:lastModifiedBy>
  <cp:revision>2</cp:revision>
  <cp:lastPrinted>2018-10-16T17:35:00Z</cp:lastPrinted>
  <dcterms:created xsi:type="dcterms:W3CDTF">2021-03-31T07:23:00Z</dcterms:created>
  <dcterms:modified xsi:type="dcterms:W3CDTF">2021-03-31T07:23:00Z</dcterms:modified>
</cp:coreProperties>
</file>