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bookmarkStart w:id="0" w:name="_GoBack"/>
      <w:bookmarkEnd w:id="0"/>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0C615824" w14:textId="0A0FEC09" w:rsidR="00D24330" w:rsidRPr="00A96255" w:rsidRDefault="00271045" w:rsidP="002F5F0C">
      <w:pPr>
        <w:pStyle w:val="MGTHeader"/>
      </w:pPr>
      <w:r w:rsidRPr="00271045">
        <w:t>Goal 14: Conserve and sustainably use the oceans, seas and marine resources for sustainable development</w:t>
      </w:r>
    </w:p>
    <w:p w14:paraId="084142D2" w14:textId="77777777" w:rsidR="00D24330" w:rsidRPr="00A96255" w:rsidRDefault="00D24330" w:rsidP="00D24330">
      <w:pPr>
        <w:pStyle w:val="MIndHeader"/>
      </w:pPr>
      <w:r w:rsidRPr="00A96255">
        <w:t>0.b. Target</w:t>
      </w:r>
    </w:p>
    <w:p w14:paraId="0D7F1B46" w14:textId="0DC4710B" w:rsidR="00D24330" w:rsidRPr="00A96255" w:rsidRDefault="00271045" w:rsidP="00D24330">
      <w:pPr>
        <w:pStyle w:val="MGTHeader"/>
      </w:pPr>
      <w:r w:rsidRPr="00271045">
        <w:t>Target 14.b: Provide access for small-scale artisanal fishers to marine resources and markets</w:t>
      </w:r>
    </w:p>
    <w:p w14:paraId="3E67E7E0" w14:textId="77777777" w:rsidR="00D24330" w:rsidRPr="00A96255" w:rsidRDefault="00D24330" w:rsidP="00D24330">
      <w:pPr>
        <w:pStyle w:val="MIndHeader"/>
      </w:pPr>
      <w:r w:rsidRPr="00A96255">
        <w:t>0.c. Indicator</w:t>
      </w:r>
    </w:p>
    <w:p w14:paraId="6045F6C3" w14:textId="20DA2AE4" w:rsidR="00D24330" w:rsidRPr="00A96255" w:rsidRDefault="00271045" w:rsidP="00D24330">
      <w:pPr>
        <w:pStyle w:val="MGTHeader"/>
      </w:pPr>
      <w:r w:rsidRPr="00271045">
        <w:t>Indicator 14.b.1: Progress by countries in the degree of application of a legal/regulatory/policy/institutional framework which recognizes and protects access rights for small-scale fisheries</w:t>
      </w:r>
    </w:p>
    <w:p w14:paraId="37E5E4F6" w14:textId="77777777" w:rsidR="00D24330" w:rsidRPr="00A96255" w:rsidRDefault="00D24330" w:rsidP="00D24330">
      <w:pPr>
        <w:pStyle w:val="MIndHeader"/>
      </w:pPr>
      <w:r w:rsidRPr="00A96255">
        <w:t>0.d. Series</w:t>
      </w:r>
    </w:p>
    <w:p w14:paraId="6380B485" w14:textId="77777777" w:rsidR="00A269E0" w:rsidRPr="00A96255" w:rsidRDefault="00A269E0" w:rsidP="00A269E0">
      <w:pPr>
        <w:pStyle w:val="MGTHeader"/>
      </w:pPr>
      <w:r>
        <w:t>Metadata applies to complete series under this indicator.</w:t>
      </w:r>
      <w:r w:rsidRPr="00A96255">
        <w:tab/>
      </w:r>
    </w:p>
    <w:p w14:paraId="771888BA" w14:textId="6C551AA1" w:rsidR="00D24330" w:rsidRPr="00A96255" w:rsidRDefault="00D24330" w:rsidP="00D24330">
      <w:pPr>
        <w:pStyle w:val="MGTHeader"/>
      </w:pPr>
      <w:r w:rsidRPr="00A96255">
        <w:tab/>
      </w:r>
    </w:p>
    <w:p w14:paraId="157DACE7" w14:textId="77777777" w:rsidR="00D24330" w:rsidRPr="00A96255" w:rsidRDefault="00D24330" w:rsidP="00D24330">
      <w:pPr>
        <w:pStyle w:val="MIndHeader"/>
      </w:pPr>
      <w:r w:rsidRPr="00A96255">
        <w:t>0.e. Metadata update</w:t>
      </w:r>
    </w:p>
    <w:p w14:paraId="03424B60" w14:textId="402A1765" w:rsidR="00D24330" w:rsidRPr="00A96255" w:rsidRDefault="00D772A1" w:rsidP="00D24330">
      <w:pPr>
        <w:pStyle w:val="MGTHeader"/>
      </w:pPr>
      <w:r>
        <w:t>February 2021</w:t>
      </w:r>
    </w:p>
    <w:p w14:paraId="415C9FF1" w14:textId="77777777" w:rsidR="00D24330" w:rsidRPr="00A96255" w:rsidRDefault="00D24330" w:rsidP="00D24330">
      <w:pPr>
        <w:pStyle w:val="MIndHeader"/>
      </w:pPr>
      <w:r w:rsidRPr="00A96255">
        <w:t>0.f. Related indicators</w:t>
      </w:r>
    </w:p>
    <w:p w14:paraId="21524279" w14:textId="6C5B941D" w:rsidR="00D24330" w:rsidRPr="00A96255" w:rsidRDefault="00B861C8" w:rsidP="00D24330">
      <w:pPr>
        <w:pStyle w:val="MGTHeader"/>
      </w:pPr>
      <w:r w:rsidRPr="00B861C8">
        <w:t>Linkages with any other Goals and Targets: SDG 1, SDG 2 (in particular 2.3), SDG 5, SDG 12, SDG 13, SDG 14.2/4/5/6/7</w:t>
      </w:r>
    </w:p>
    <w:p w14:paraId="077BC49E" w14:textId="77777777" w:rsidR="00D24330" w:rsidRPr="00A96255" w:rsidRDefault="00D24330" w:rsidP="00D24330">
      <w:pPr>
        <w:pStyle w:val="MIndHeader"/>
      </w:pPr>
      <w:r w:rsidRPr="00A96255">
        <w:t>0.g. International organisations(s) responsible for global monitoring</w:t>
      </w:r>
    </w:p>
    <w:p w14:paraId="0393368E" w14:textId="29D06133" w:rsidR="00621893" w:rsidRPr="00A96255" w:rsidRDefault="00271045" w:rsidP="00D24330">
      <w:pPr>
        <w:pStyle w:val="MGTHeader"/>
        <w:rPr>
          <w:color w:val="4A4A4A"/>
        </w:rPr>
      </w:pPr>
      <w:r w:rsidRPr="00271045">
        <w:t>Food and Agriculture Organi</w:t>
      </w:r>
      <w:r w:rsidR="00A269E0">
        <w:t>z</w:t>
      </w:r>
      <w:r w:rsidRPr="00271045">
        <w:t>ation of the United Nations</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1" w:name="_Toc37932744"/>
      <w:bookmarkStart w:id="2" w:name="_Toc36813072"/>
      <w:bookmarkStart w:id="3" w:name="_Toc36812685"/>
      <w:bookmarkStart w:id="4" w:name="_Toc36812572"/>
      <w:bookmarkStart w:id="5" w:name="_Toc36655609"/>
      <w:r w:rsidRPr="00EA05D3">
        <w:t>1. Data reporter</w:t>
      </w:r>
      <w:bookmarkEnd w:id="1"/>
      <w:bookmarkEnd w:id="2"/>
      <w:bookmarkEnd w:id="3"/>
      <w:bookmarkEnd w:id="4"/>
      <w:bookmarkEnd w:id="5"/>
    </w:p>
    <w:p w14:paraId="0BD77982" w14:textId="72DFE854" w:rsidR="00576CFA" w:rsidRPr="00A96255" w:rsidRDefault="00576CFA" w:rsidP="00F719A8">
      <w:pPr>
        <w:pStyle w:val="MHeader2"/>
      </w:pPr>
      <w:r w:rsidRPr="00A96255">
        <w:t>1.a. Organisation</w:t>
      </w:r>
    </w:p>
    <w:p w14:paraId="065F26D2" w14:textId="3A2D9D65" w:rsidR="00576CFA" w:rsidRDefault="00271045" w:rsidP="00576CFA">
      <w:pPr>
        <w:pStyle w:val="MText"/>
      </w:pPr>
      <w:r w:rsidRPr="00271045">
        <w:t>Food and Agriculture Organi</w:t>
      </w:r>
      <w:r w:rsidR="00A269E0">
        <w:t>z</w:t>
      </w:r>
      <w:r w:rsidRPr="00271045">
        <w:t>ation of the United Nations</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4C993B6F" w14:textId="77777777" w:rsidR="00271045" w:rsidRDefault="00271045" w:rsidP="00271045">
      <w:pPr>
        <w:pStyle w:val="MText"/>
      </w:pPr>
      <w:r>
        <w:t>Definition:</w:t>
      </w:r>
    </w:p>
    <w:p w14:paraId="153B09C3" w14:textId="1E51C478" w:rsidR="00D51E7C" w:rsidRDefault="00271045" w:rsidP="00271045">
      <w:pPr>
        <w:pStyle w:val="MText"/>
      </w:pPr>
      <w:r>
        <w:t>Progress by number of countries in the degree of application of a legal/regulatory/policy/institutional framework which recognizes and protects access rights for small-scale fisheries.</w:t>
      </w:r>
    </w:p>
    <w:p w14:paraId="41EAE611" w14:textId="6B88F609" w:rsidR="00271045" w:rsidRDefault="00271045" w:rsidP="00271045">
      <w:pPr>
        <w:pStyle w:val="MText"/>
      </w:pPr>
    </w:p>
    <w:p w14:paraId="7F659732" w14:textId="77777777" w:rsidR="00271045" w:rsidRDefault="00271045" w:rsidP="00271045">
      <w:pPr>
        <w:pStyle w:val="MText"/>
      </w:pPr>
      <w:r>
        <w:t>Concepts:</w:t>
      </w:r>
    </w:p>
    <w:p w14:paraId="0053ABA3" w14:textId="7766529F" w:rsidR="00271045" w:rsidRPr="00A96255" w:rsidRDefault="00271045" w:rsidP="00271045">
      <w:pPr>
        <w:pStyle w:val="MText"/>
      </w:pPr>
      <w:r>
        <w:t>National Statistical Systems already collect fisheries-relevant data, with a focus on production, employment, and trade. Relevant concepts can be found at CWP Handbook of Fishery Statistical Standards of the Coordinating Working Party on Fisheries Statistics (CWP).</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lastRenderedPageBreak/>
        <w:t>2.b.</w:t>
      </w:r>
      <w:r w:rsidR="008B0AC7" w:rsidRPr="00A96255">
        <w:t xml:space="preserve"> Unit of measure</w:t>
      </w:r>
    </w:p>
    <w:p w14:paraId="1CAE3771" w14:textId="1A2D9B6A" w:rsidR="00576CFA" w:rsidRPr="00A96255" w:rsidRDefault="00A269E0" w:rsidP="00576CFA">
      <w:pPr>
        <w:pStyle w:val="MText"/>
      </w:pPr>
      <w:r>
        <w:t>Degree of implementation of frameworks which recognize and protect access rights for small-scale fisheries</w:t>
      </w:r>
      <w:r w:rsidR="7E9E8EC4">
        <w:t>, categorized into 5 bands, as follows:</w:t>
      </w:r>
    </w:p>
    <w:tbl>
      <w:tblPr>
        <w:tblStyle w:val="GridTable1Light"/>
        <w:tblW w:w="0" w:type="auto"/>
        <w:tblLook w:val="04A0" w:firstRow="1" w:lastRow="0" w:firstColumn="1" w:lastColumn="0" w:noHBand="0" w:noVBand="1"/>
      </w:tblPr>
      <w:tblGrid>
        <w:gridCol w:w="7569"/>
      </w:tblGrid>
      <w:tr w:rsidR="0828A6AE" w14:paraId="6B77137E" w14:textId="77777777" w:rsidTr="0828A6AE">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7569" w:type="dxa"/>
          </w:tcPr>
          <w:p w14:paraId="14E5361A" w14:textId="77777777" w:rsidR="0828A6AE" w:rsidRDefault="0828A6AE" w:rsidP="0828A6AE">
            <w:pPr>
              <w:pStyle w:val="MText"/>
            </w:pPr>
            <w:r>
              <w:t>Band 1: Very low implementation of instruments for access to resources and markets for small-scale fisheries</w:t>
            </w:r>
          </w:p>
        </w:tc>
      </w:tr>
      <w:tr w:rsidR="0828A6AE" w14:paraId="0EFE0610" w14:textId="77777777" w:rsidTr="0828A6AE">
        <w:trPr>
          <w:trHeight w:val="432"/>
        </w:trPr>
        <w:tc>
          <w:tcPr>
            <w:cnfStyle w:val="001000000000" w:firstRow="0" w:lastRow="0" w:firstColumn="1" w:lastColumn="0" w:oddVBand="0" w:evenVBand="0" w:oddHBand="0" w:evenHBand="0" w:firstRowFirstColumn="0" w:firstRowLastColumn="0" w:lastRowFirstColumn="0" w:lastRowLastColumn="0"/>
            <w:tcW w:w="7569" w:type="dxa"/>
          </w:tcPr>
          <w:p w14:paraId="098E383F" w14:textId="77777777" w:rsidR="0828A6AE" w:rsidRDefault="0828A6AE" w:rsidP="0828A6AE">
            <w:pPr>
              <w:pStyle w:val="MText"/>
            </w:pPr>
            <w:r>
              <w:t>Band 2: Low implementation of instruments for access to resources and markets for small-scale fisheries</w:t>
            </w:r>
          </w:p>
        </w:tc>
      </w:tr>
      <w:tr w:rsidR="0828A6AE" w14:paraId="1F410FB0" w14:textId="77777777" w:rsidTr="0828A6AE">
        <w:trPr>
          <w:trHeight w:val="432"/>
        </w:trPr>
        <w:tc>
          <w:tcPr>
            <w:cnfStyle w:val="001000000000" w:firstRow="0" w:lastRow="0" w:firstColumn="1" w:lastColumn="0" w:oddVBand="0" w:evenVBand="0" w:oddHBand="0" w:evenHBand="0" w:firstRowFirstColumn="0" w:firstRowLastColumn="0" w:lastRowFirstColumn="0" w:lastRowLastColumn="0"/>
            <w:tcW w:w="7569" w:type="dxa"/>
          </w:tcPr>
          <w:p w14:paraId="61B60E7F" w14:textId="77777777" w:rsidR="0828A6AE" w:rsidRDefault="0828A6AE" w:rsidP="0828A6AE">
            <w:pPr>
              <w:pStyle w:val="MText"/>
            </w:pPr>
            <w:r>
              <w:t>Band 3: Medium implementation of instruments for access to resources and markets for small-scale fisheries</w:t>
            </w:r>
          </w:p>
        </w:tc>
      </w:tr>
      <w:tr w:rsidR="0828A6AE" w14:paraId="57CF1300" w14:textId="77777777" w:rsidTr="0828A6AE">
        <w:trPr>
          <w:trHeight w:val="432"/>
        </w:trPr>
        <w:tc>
          <w:tcPr>
            <w:cnfStyle w:val="001000000000" w:firstRow="0" w:lastRow="0" w:firstColumn="1" w:lastColumn="0" w:oddVBand="0" w:evenVBand="0" w:oddHBand="0" w:evenHBand="0" w:firstRowFirstColumn="0" w:firstRowLastColumn="0" w:lastRowFirstColumn="0" w:lastRowLastColumn="0"/>
            <w:tcW w:w="7569" w:type="dxa"/>
          </w:tcPr>
          <w:p w14:paraId="592F6419" w14:textId="77777777" w:rsidR="0828A6AE" w:rsidRDefault="0828A6AE" w:rsidP="0828A6AE">
            <w:pPr>
              <w:pStyle w:val="MText"/>
            </w:pPr>
            <w:r>
              <w:t>Band 4: High implementation of instruments for access to resources and markets for small-scale fisheries</w:t>
            </w:r>
          </w:p>
        </w:tc>
      </w:tr>
      <w:tr w:rsidR="0828A6AE" w14:paraId="4DEC36F1" w14:textId="77777777" w:rsidTr="0828A6AE">
        <w:trPr>
          <w:trHeight w:val="432"/>
        </w:trPr>
        <w:tc>
          <w:tcPr>
            <w:cnfStyle w:val="001000000000" w:firstRow="0" w:lastRow="0" w:firstColumn="1" w:lastColumn="0" w:oddVBand="0" w:evenVBand="0" w:oddHBand="0" w:evenHBand="0" w:firstRowFirstColumn="0" w:firstRowLastColumn="0" w:lastRowFirstColumn="0" w:lastRowLastColumn="0"/>
            <w:tcW w:w="7569" w:type="dxa"/>
          </w:tcPr>
          <w:p w14:paraId="5B750C07" w14:textId="77777777" w:rsidR="0828A6AE" w:rsidRDefault="0828A6AE" w:rsidP="0828A6AE">
            <w:pPr>
              <w:pStyle w:val="MText"/>
            </w:pPr>
            <w:r>
              <w:t>Band 5: Very high implementation of instruments for access to resources and markets for small-scale fisheries</w:t>
            </w:r>
          </w:p>
        </w:tc>
      </w:tr>
    </w:tbl>
    <w:p w14:paraId="311A0BAA" w14:textId="0ADD6B43" w:rsidR="0828A6AE" w:rsidRDefault="0828A6AE" w:rsidP="0828A6AE">
      <w:pPr>
        <w:pStyle w:val="MText"/>
        <w:rPr>
          <w:rFonts w:ascii="Calibri" w:hAnsi="Calibri"/>
        </w:rPr>
      </w:pPr>
    </w:p>
    <w:p w14:paraId="651AA7AC" w14:textId="5144B8C4" w:rsidR="00DA615C" w:rsidRPr="00A96255" w:rsidRDefault="008B0AC7" w:rsidP="00F719A8">
      <w:pPr>
        <w:pStyle w:val="MHeader2"/>
      </w:pPr>
      <w:r w:rsidRPr="00A96255">
        <w:t>2.c. Classifications</w:t>
      </w:r>
    </w:p>
    <w:p w14:paraId="03898CC0" w14:textId="00B91329" w:rsidR="00A269E0" w:rsidRPr="00A96255" w:rsidRDefault="00A269E0" w:rsidP="00A269E0">
      <w:pPr>
        <w:pStyle w:val="MText"/>
      </w:pPr>
      <w:r>
        <w:t>No applicable international standards for measuring degree of implementation of frameworks which recognize and protect access rights for small-scale fisheries.</w:t>
      </w:r>
    </w:p>
    <w:p w14:paraId="3D384BA8" w14:textId="54711B4E" w:rsidR="00EC2915" w:rsidRDefault="00EC2915"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08E1C3DF" w14:textId="01D534B0" w:rsidR="00576CFA" w:rsidRPr="00A96255" w:rsidRDefault="00271045" w:rsidP="00576CFA">
      <w:pPr>
        <w:pStyle w:val="MText"/>
      </w:pPr>
      <w:r w:rsidRPr="00271045">
        <w:t>Data is based on the replies to three questions of the CCRF questionnaire.  It is usually provided from administrative sources, as best identified by the national fisheries administration responsible for replying to the CCRF questionnaire. The data is based on the presence of relevant laws, regulations, policies, plans or strategies and how these have been implemented so both legislative, management, and other documentation must be consulted to respond to the queries.</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5823FBC8" w14:textId="3325EBCB" w:rsidR="00576CFA" w:rsidRPr="00A96255" w:rsidRDefault="00271045" w:rsidP="00576CFA">
      <w:pPr>
        <w:pStyle w:val="MText"/>
      </w:pPr>
      <w:r w:rsidRPr="00271045">
        <w:t xml:space="preserve">The CCRF questionnaire is a web-based system, with related data processing tools and usability features. Data is collected from FAO member countries every two years to be reported at aggregated level </w:t>
      </w:r>
      <w:proofErr w:type="gramStart"/>
      <w:r w:rsidRPr="00271045">
        <w:t>on the occasion of</w:t>
      </w:r>
      <w:proofErr w:type="gramEnd"/>
      <w:r w:rsidRPr="00271045">
        <w:t xml:space="preserve"> the sessions of the FAO Committee on Fisheries (COFI), usually in the period November to March preceding the session of COFI. In 2016, for the 32nd Session of COFI, 92 countries and the European Union (EU) responded to the section on small-scale fisheries of the CCRF questionnaire, which includes the three questions providing the variables for indicator 14.b.1.</w:t>
      </w:r>
      <w:r w:rsidR="00576CFA"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3.c. Data collection calendar</w:t>
      </w:r>
    </w:p>
    <w:p w14:paraId="753AA8B6" w14:textId="25888B20" w:rsidR="00271045" w:rsidRPr="000A3278" w:rsidRDefault="40D5C4C6" w:rsidP="0828A6AE">
      <w:pPr>
        <w:pStyle w:val="MText"/>
      </w:pPr>
      <w:r w:rsidRPr="000A3278">
        <w:t xml:space="preserve">The questionnaire is sent out on a biennial basis. It is expected to be sent out towards the end of the year prior to the holding of the Committee on Fisheries and remain open for a </w:t>
      </w:r>
      <w:proofErr w:type="gramStart"/>
      <w:r w:rsidRPr="000A3278">
        <w:t>2-3 month</w:t>
      </w:r>
      <w:proofErr w:type="gramEnd"/>
      <w:r w:rsidRPr="000A3278">
        <w:t xml:space="preserve"> period, alterations of this calendar are subject to changes in the timing of the Committee on Fisheries.</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3.d. Data release calendar</w:t>
      </w:r>
    </w:p>
    <w:p w14:paraId="2E58BFD0" w14:textId="024E21B2" w:rsidR="00271045" w:rsidRPr="000A3278" w:rsidRDefault="351AF9C6" w:rsidP="0828A6AE">
      <w:pPr>
        <w:pStyle w:val="MText"/>
      </w:pPr>
      <w:r w:rsidRPr="000A3278">
        <w:t xml:space="preserve"> Data for the indicator is expected to be released one week after closure of the questionnaire.</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lastRenderedPageBreak/>
        <w:t>3.e. Data providers</w:t>
      </w:r>
    </w:p>
    <w:p w14:paraId="6DBC0025" w14:textId="1821C0D0" w:rsidR="00576CFA" w:rsidRPr="00A96255" w:rsidRDefault="00271045" w:rsidP="00576CFA">
      <w:pPr>
        <w:pStyle w:val="MText"/>
      </w:pPr>
      <w:r w:rsidRPr="00271045">
        <w:t>Data is typically provided by the National Fishery Ministries/departments.</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3.f. Data compilers</w:t>
      </w:r>
    </w:p>
    <w:p w14:paraId="605E8F9D" w14:textId="4E4A0914" w:rsidR="00576CFA" w:rsidRPr="00A96255" w:rsidRDefault="00271045" w:rsidP="00576CFA">
      <w:pPr>
        <w:pStyle w:val="MText"/>
      </w:pPr>
      <w:r w:rsidRPr="00271045">
        <w:t>FAO</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3.g. Institutional mandate</w:t>
      </w:r>
    </w:p>
    <w:p w14:paraId="798CF4D0" w14:textId="163E696B" w:rsidR="00576CFA" w:rsidRDefault="1C249A75" w:rsidP="0828A6AE">
      <w:pPr>
        <w:pStyle w:val="MText"/>
        <w:rPr>
          <w:rFonts w:ascii="Calibri" w:hAnsi="Calibri"/>
        </w:rPr>
      </w:pPr>
      <w:r w:rsidRPr="0828A6AE">
        <w:rPr>
          <w:rFonts w:ascii="Times" w:eastAsia="Times" w:hAnsi="Times" w:cs="Times"/>
          <w:color w:val="000000" w:themeColor="text1"/>
        </w:rPr>
        <w:t xml:space="preserve"> Article I of the FAO constitution requires that the Organization collect, analyses, interpret and disseminate information relating to nutrition, food and agriculture http://www.fao.org/3/K8024E/K8024E.pdf.</w:t>
      </w:r>
    </w:p>
    <w:p w14:paraId="7D007C3C" w14:textId="68631AC1" w:rsidR="00EC2915" w:rsidRDefault="00EC2915"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280CB036" w14:textId="77777777" w:rsidR="00271045" w:rsidRPr="006D6A72" w:rsidRDefault="00271045" w:rsidP="00271045">
      <w:pPr>
        <w:pStyle w:val="MText"/>
      </w:pPr>
      <w:r w:rsidRPr="006D6A72">
        <w:t>Target 14.b focuses on access to resources and markets for small-scale fisheries, in line with the Rio+20 outcome document para, 175. In order to guarantee secure access, an enabling environment is necessary which recognizes and protects small-scale fisheries rights. Such an enabling environment has three key features:</w:t>
      </w:r>
    </w:p>
    <w:p w14:paraId="09D0D70B" w14:textId="77777777" w:rsidR="00271045" w:rsidRPr="006D6A72" w:rsidRDefault="00271045" w:rsidP="00271045">
      <w:pPr>
        <w:pStyle w:val="MText"/>
        <w:numPr>
          <w:ilvl w:val="0"/>
          <w:numId w:val="5"/>
        </w:numPr>
      </w:pPr>
      <w:r w:rsidRPr="006D6A72">
        <w:t>Appropriate legal, regulatory and policy frameworks</w:t>
      </w:r>
      <w:r>
        <w:t>;</w:t>
      </w:r>
      <w:r w:rsidRPr="006D6A72">
        <w:t xml:space="preserve"> </w:t>
      </w:r>
    </w:p>
    <w:p w14:paraId="2BD68927" w14:textId="77777777" w:rsidR="00271045" w:rsidRPr="006D6A72" w:rsidRDefault="00271045" w:rsidP="00271045">
      <w:pPr>
        <w:pStyle w:val="MText"/>
        <w:numPr>
          <w:ilvl w:val="0"/>
          <w:numId w:val="5"/>
        </w:numPr>
      </w:pPr>
      <w:r w:rsidRPr="006D6A72">
        <w:t>Specific initiatives to support small-scale fisheries</w:t>
      </w:r>
      <w:r>
        <w:t>;</w:t>
      </w:r>
      <w:r w:rsidRPr="006D6A72">
        <w:t xml:space="preserve"> and</w:t>
      </w:r>
    </w:p>
    <w:p w14:paraId="605873EF" w14:textId="77777777" w:rsidR="00271045" w:rsidRPr="006D6A72" w:rsidRDefault="00271045" w:rsidP="00271045">
      <w:pPr>
        <w:pStyle w:val="MText"/>
        <w:numPr>
          <w:ilvl w:val="0"/>
          <w:numId w:val="5"/>
        </w:numPr>
      </w:pPr>
      <w:r w:rsidRPr="006D6A72">
        <w:t xml:space="preserve">Related institutional mechanisms which allow for the participation of small-scale fisheries organisations in relevant processes. </w:t>
      </w:r>
    </w:p>
    <w:p w14:paraId="3C647EB4" w14:textId="77777777" w:rsidR="00271045" w:rsidRDefault="00271045" w:rsidP="00271045">
      <w:pPr>
        <w:pStyle w:val="MText"/>
      </w:pPr>
    </w:p>
    <w:p w14:paraId="765D81ED" w14:textId="77777777" w:rsidR="00271045" w:rsidRDefault="00271045" w:rsidP="00271045">
      <w:pPr>
        <w:pStyle w:val="MText"/>
      </w:pPr>
      <w:r w:rsidRPr="006D6A72">
        <w:t>The 32nd Session of the FAO Committee on Fisheries agreed that the data submitted through the Code of Conduct for Responsible Fisheries (CCRF) questionnaire could be used by Members for reporting on Sustainable Development Goals (SDGs) indicators.</w:t>
      </w:r>
    </w:p>
    <w:p w14:paraId="7C4E4653" w14:textId="77777777" w:rsidR="00271045" w:rsidRPr="006D6A72" w:rsidRDefault="00271045" w:rsidP="00271045">
      <w:pPr>
        <w:pStyle w:val="MText"/>
      </w:pPr>
    </w:p>
    <w:p w14:paraId="61ECC746" w14:textId="77777777" w:rsidR="00271045" w:rsidRPr="006D6A72" w:rsidRDefault="00271045" w:rsidP="00271045">
      <w:pPr>
        <w:pStyle w:val="MText"/>
      </w:pPr>
      <w:r w:rsidRPr="006D6A72">
        <w:t>The indicator variables are therefore chosen from three of the five questions on small-scale fisheries of the CCRF questionnaire to reflect these three aspects:</w:t>
      </w:r>
    </w:p>
    <w:p w14:paraId="53A5C2A3" w14:textId="77777777" w:rsidR="00271045" w:rsidRPr="006D6A72" w:rsidRDefault="00271045" w:rsidP="00271045">
      <w:pPr>
        <w:pStyle w:val="MText"/>
        <w:numPr>
          <w:ilvl w:val="0"/>
          <w:numId w:val="6"/>
        </w:numPr>
      </w:pPr>
      <w:r w:rsidRPr="006D6A72">
        <w:t>Are there any laws, regulations, policies, plans or strategies that specifically target or address the small-scale fisheries sector?</w:t>
      </w:r>
    </w:p>
    <w:p w14:paraId="1928CADF" w14:textId="77777777" w:rsidR="00271045" w:rsidRPr="006D6A72" w:rsidRDefault="00271045" w:rsidP="00271045">
      <w:pPr>
        <w:pStyle w:val="MText"/>
        <w:numPr>
          <w:ilvl w:val="0"/>
          <w:numId w:val="6"/>
        </w:numPr>
      </w:pPr>
      <w:r>
        <w:t>Are there any o</w:t>
      </w:r>
      <w:r w:rsidRPr="006D6A72">
        <w:t>ngoing specific initiatives to implement the SSF Guidelines?</w:t>
      </w:r>
    </w:p>
    <w:p w14:paraId="4CFB96D1" w14:textId="77777777" w:rsidR="00271045" w:rsidRDefault="00271045" w:rsidP="00271045">
      <w:pPr>
        <w:pStyle w:val="MText"/>
        <w:numPr>
          <w:ilvl w:val="0"/>
          <w:numId w:val="6"/>
        </w:numPr>
      </w:pPr>
      <w:r w:rsidRPr="006D6A72">
        <w:t>Does your country have an advisory/consultative body to the Ministry/Department of Fisheries in which fishers/fish workers can participate and contribute to decision-making processes?</w:t>
      </w:r>
    </w:p>
    <w:p w14:paraId="6AD5A68A" w14:textId="77777777" w:rsidR="00271045" w:rsidRPr="006D6A72" w:rsidRDefault="00271045" w:rsidP="00271045">
      <w:pPr>
        <w:pStyle w:val="MText"/>
      </w:pPr>
    </w:p>
    <w:p w14:paraId="2162FB70" w14:textId="77777777" w:rsidR="00271045" w:rsidRDefault="00271045" w:rsidP="00271045">
      <w:pPr>
        <w:pStyle w:val="MText"/>
      </w:pPr>
      <w:r w:rsidRPr="006D6A72">
        <w:t>The national indicator is calculated based on these questions specifically focusing on actual efforts of promoting and facilitating access rights to small scale fisheries.</w:t>
      </w:r>
    </w:p>
    <w:p w14:paraId="6D54C28A" w14:textId="77777777" w:rsidR="00271045" w:rsidRPr="006D6A72" w:rsidRDefault="00271045" w:rsidP="00271045">
      <w:pPr>
        <w:pStyle w:val="MText"/>
      </w:pPr>
    </w:p>
    <w:p w14:paraId="67B81394" w14:textId="117AE2C5" w:rsidR="00271045" w:rsidRDefault="00271045" w:rsidP="00271045">
      <w:pPr>
        <w:pStyle w:val="MText"/>
      </w:pPr>
      <w:r w:rsidRPr="006D6A72">
        <w:t>Although the exact score will be important from one reporting year to the next for determining the progress made by a country, to aid the interpretation of this indicator, the score will then be converted into one of 5 bands as following:</w:t>
      </w:r>
    </w:p>
    <w:p w14:paraId="325A6BB2" w14:textId="77777777" w:rsidR="00D772A1" w:rsidRPr="006D6A72" w:rsidRDefault="00D772A1" w:rsidP="00271045">
      <w:pPr>
        <w:pStyle w:val="MText"/>
      </w:pPr>
    </w:p>
    <w:tbl>
      <w:tblPr>
        <w:tblStyle w:val="GridTable1Light"/>
        <w:tblW w:w="0" w:type="auto"/>
        <w:tblLook w:val="04A0" w:firstRow="1" w:lastRow="0" w:firstColumn="1" w:lastColumn="0" w:noHBand="0" w:noVBand="1"/>
      </w:tblPr>
      <w:tblGrid>
        <w:gridCol w:w="1447"/>
        <w:gridCol w:w="7569"/>
      </w:tblGrid>
      <w:tr w:rsidR="00271045" w14:paraId="4E2540E5" w14:textId="77777777" w:rsidTr="00D72B52">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25" w:type="dxa"/>
          </w:tcPr>
          <w:p w14:paraId="1BD400E4" w14:textId="77777777" w:rsidR="00271045" w:rsidRPr="00197D0C" w:rsidRDefault="00271045" w:rsidP="00D72B52">
            <w:pPr>
              <w:pStyle w:val="MText"/>
              <w:rPr>
                <w:b w:val="0"/>
              </w:rPr>
            </w:pPr>
            <w:r w:rsidRPr="00197D0C">
              <w:t>Score</w:t>
            </w:r>
          </w:p>
        </w:tc>
        <w:tc>
          <w:tcPr>
            <w:tcW w:w="8190" w:type="dxa"/>
          </w:tcPr>
          <w:p w14:paraId="2F32E26D" w14:textId="77777777" w:rsidR="00271045" w:rsidRPr="00197D0C" w:rsidRDefault="00271045" w:rsidP="00D72B52">
            <w:pPr>
              <w:pStyle w:val="MText"/>
              <w:cnfStyle w:val="100000000000" w:firstRow="1" w:lastRow="0" w:firstColumn="0" w:lastColumn="0" w:oddVBand="0" w:evenVBand="0" w:oddHBand="0" w:evenHBand="0" w:firstRowFirstColumn="0" w:firstRowLastColumn="0" w:lastRowFirstColumn="0" w:lastRowLastColumn="0"/>
              <w:rPr>
                <w:b w:val="0"/>
              </w:rPr>
            </w:pPr>
            <w:r>
              <w:t>Bands</w:t>
            </w:r>
          </w:p>
        </w:tc>
      </w:tr>
      <w:tr w:rsidR="00271045" w14:paraId="4D9B73AC" w14:textId="77777777" w:rsidTr="00D72B52">
        <w:trPr>
          <w:trHeight w:val="432"/>
        </w:trPr>
        <w:tc>
          <w:tcPr>
            <w:cnfStyle w:val="001000000000" w:firstRow="0" w:lastRow="0" w:firstColumn="1" w:lastColumn="0" w:oddVBand="0" w:evenVBand="0" w:oddHBand="0" w:evenHBand="0" w:firstRowFirstColumn="0" w:firstRowLastColumn="0" w:lastRowFirstColumn="0" w:lastRowLastColumn="0"/>
            <w:tcW w:w="1525" w:type="dxa"/>
          </w:tcPr>
          <w:p w14:paraId="06376E1B" w14:textId="77777777" w:rsidR="00271045" w:rsidRDefault="00271045" w:rsidP="00D72B52">
            <w:pPr>
              <w:pStyle w:val="MText"/>
            </w:pPr>
            <w:r>
              <w:t>&gt;0 –&lt; 0.2</w:t>
            </w:r>
          </w:p>
        </w:tc>
        <w:tc>
          <w:tcPr>
            <w:tcW w:w="8190" w:type="dxa"/>
          </w:tcPr>
          <w:p w14:paraId="1787BE47" w14:textId="77777777" w:rsidR="00271045" w:rsidRDefault="00271045" w:rsidP="00D72B52">
            <w:pPr>
              <w:pStyle w:val="MText"/>
              <w:cnfStyle w:val="000000000000" w:firstRow="0" w:lastRow="0" w:firstColumn="0" w:lastColumn="0" w:oddVBand="0" w:evenVBand="0" w:oddHBand="0" w:evenHBand="0" w:firstRowFirstColumn="0" w:firstRowLastColumn="0" w:lastRowFirstColumn="0" w:lastRowLastColumn="0"/>
            </w:pPr>
            <w:r>
              <w:t xml:space="preserve">Band 1: </w:t>
            </w:r>
            <w:r w:rsidRPr="001948D3">
              <w:t xml:space="preserve">Very low implementation of </w:t>
            </w:r>
            <w:r>
              <w:t xml:space="preserve">instruments for </w:t>
            </w:r>
            <w:r w:rsidRPr="00994798">
              <w:t>access to resources and markets for small-scale fisheries</w:t>
            </w:r>
          </w:p>
        </w:tc>
      </w:tr>
      <w:tr w:rsidR="00271045" w14:paraId="3114A294" w14:textId="77777777" w:rsidTr="00D72B52">
        <w:trPr>
          <w:trHeight w:val="432"/>
        </w:trPr>
        <w:tc>
          <w:tcPr>
            <w:cnfStyle w:val="001000000000" w:firstRow="0" w:lastRow="0" w:firstColumn="1" w:lastColumn="0" w:oddVBand="0" w:evenVBand="0" w:oddHBand="0" w:evenHBand="0" w:firstRowFirstColumn="0" w:firstRowLastColumn="0" w:lastRowFirstColumn="0" w:lastRowLastColumn="0"/>
            <w:tcW w:w="1525" w:type="dxa"/>
          </w:tcPr>
          <w:p w14:paraId="5FB16B11" w14:textId="77777777" w:rsidR="00271045" w:rsidRDefault="00271045" w:rsidP="00D72B52">
            <w:pPr>
              <w:pStyle w:val="MText"/>
            </w:pPr>
            <w:r>
              <w:lastRenderedPageBreak/>
              <w:t>0.2 –&lt; 0.4</w:t>
            </w:r>
          </w:p>
        </w:tc>
        <w:tc>
          <w:tcPr>
            <w:tcW w:w="8190" w:type="dxa"/>
          </w:tcPr>
          <w:p w14:paraId="3465665C" w14:textId="77777777" w:rsidR="00271045" w:rsidRDefault="00271045" w:rsidP="00D72B52">
            <w:pPr>
              <w:pStyle w:val="MText"/>
              <w:cnfStyle w:val="000000000000" w:firstRow="0" w:lastRow="0" w:firstColumn="0" w:lastColumn="0" w:oddVBand="0" w:evenVBand="0" w:oddHBand="0" w:evenHBand="0" w:firstRowFirstColumn="0" w:firstRowLastColumn="0" w:lastRowFirstColumn="0" w:lastRowLastColumn="0"/>
            </w:pPr>
            <w:r>
              <w:t>Band 2: Low</w:t>
            </w:r>
            <w:r w:rsidRPr="001948D3">
              <w:t xml:space="preserve"> implementation of </w:t>
            </w:r>
            <w:r>
              <w:t xml:space="preserve">instruments for </w:t>
            </w:r>
            <w:r w:rsidRPr="00994798">
              <w:t>access to resources and markets for small-scale fisheries</w:t>
            </w:r>
          </w:p>
        </w:tc>
      </w:tr>
      <w:tr w:rsidR="00271045" w14:paraId="2DDCA23E" w14:textId="77777777" w:rsidTr="00D72B52">
        <w:trPr>
          <w:trHeight w:val="432"/>
        </w:trPr>
        <w:tc>
          <w:tcPr>
            <w:cnfStyle w:val="001000000000" w:firstRow="0" w:lastRow="0" w:firstColumn="1" w:lastColumn="0" w:oddVBand="0" w:evenVBand="0" w:oddHBand="0" w:evenHBand="0" w:firstRowFirstColumn="0" w:firstRowLastColumn="0" w:lastRowFirstColumn="0" w:lastRowLastColumn="0"/>
            <w:tcW w:w="1525" w:type="dxa"/>
          </w:tcPr>
          <w:p w14:paraId="7FADC25B" w14:textId="77777777" w:rsidR="00271045" w:rsidRDefault="00271045" w:rsidP="00D72B52">
            <w:pPr>
              <w:pStyle w:val="MText"/>
            </w:pPr>
            <w:r>
              <w:t>0.4 –&lt; 0.6</w:t>
            </w:r>
          </w:p>
        </w:tc>
        <w:tc>
          <w:tcPr>
            <w:tcW w:w="8190" w:type="dxa"/>
          </w:tcPr>
          <w:p w14:paraId="48061EE9" w14:textId="77777777" w:rsidR="00271045" w:rsidRDefault="00271045" w:rsidP="00D72B52">
            <w:pPr>
              <w:pStyle w:val="MText"/>
              <w:cnfStyle w:val="000000000000" w:firstRow="0" w:lastRow="0" w:firstColumn="0" w:lastColumn="0" w:oddVBand="0" w:evenVBand="0" w:oddHBand="0" w:evenHBand="0" w:firstRowFirstColumn="0" w:firstRowLastColumn="0" w:lastRowFirstColumn="0" w:lastRowLastColumn="0"/>
            </w:pPr>
            <w:r>
              <w:t xml:space="preserve">Band 3: </w:t>
            </w:r>
            <w:r w:rsidRPr="001948D3">
              <w:t xml:space="preserve">Medium implementation of </w:t>
            </w:r>
            <w:r>
              <w:t xml:space="preserve">instruments for </w:t>
            </w:r>
            <w:r w:rsidRPr="00994798">
              <w:t>access to resources and markets for small-scale fisheries</w:t>
            </w:r>
          </w:p>
        </w:tc>
      </w:tr>
      <w:tr w:rsidR="00271045" w14:paraId="0A16F9B9" w14:textId="77777777" w:rsidTr="00D72B52">
        <w:trPr>
          <w:trHeight w:val="432"/>
        </w:trPr>
        <w:tc>
          <w:tcPr>
            <w:cnfStyle w:val="001000000000" w:firstRow="0" w:lastRow="0" w:firstColumn="1" w:lastColumn="0" w:oddVBand="0" w:evenVBand="0" w:oddHBand="0" w:evenHBand="0" w:firstRowFirstColumn="0" w:firstRowLastColumn="0" w:lastRowFirstColumn="0" w:lastRowLastColumn="0"/>
            <w:tcW w:w="1525" w:type="dxa"/>
          </w:tcPr>
          <w:p w14:paraId="0448F6F3" w14:textId="77777777" w:rsidR="00271045" w:rsidRDefault="00271045" w:rsidP="00D72B52">
            <w:pPr>
              <w:pStyle w:val="MText"/>
            </w:pPr>
            <w:r>
              <w:t>0.6 –&lt; 0.8</w:t>
            </w:r>
          </w:p>
        </w:tc>
        <w:tc>
          <w:tcPr>
            <w:tcW w:w="8190" w:type="dxa"/>
          </w:tcPr>
          <w:p w14:paraId="7E367442" w14:textId="77777777" w:rsidR="00271045" w:rsidRDefault="00271045" w:rsidP="00D72B52">
            <w:pPr>
              <w:pStyle w:val="MText"/>
              <w:cnfStyle w:val="000000000000" w:firstRow="0" w:lastRow="0" w:firstColumn="0" w:lastColumn="0" w:oddVBand="0" w:evenVBand="0" w:oddHBand="0" w:evenHBand="0" w:firstRowFirstColumn="0" w:firstRowLastColumn="0" w:lastRowFirstColumn="0" w:lastRowLastColumn="0"/>
            </w:pPr>
            <w:r>
              <w:t xml:space="preserve">Band 4: </w:t>
            </w:r>
            <w:r w:rsidRPr="001948D3">
              <w:t xml:space="preserve">High implementation of </w:t>
            </w:r>
            <w:r>
              <w:t xml:space="preserve">instruments for </w:t>
            </w:r>
            <w:r w:rsidRPr="00994798">
              <w:t>access to resources and markets for small-scale fisheries</w:t>
            </w:r>
          </w:p>
        </w:tc>
      </w:tr>
      <w:tr w:rsidR="00271045" w14:paraId="4CF2B125" w14:textId="77777777" w:rsidTr="00D72B52">
        <w:trPr>
          <w:trHeight w:val="432"/>
        </w:trPr>
        <w:tc>
          <w:tcPr>
            <w:cnfStyle w:val="001000000000" w:firstRow="0" w:lastRow="0" w:firstColumn="1" w:lastColumn="0" w:oddVBand="0" w:evenVBand="0" w:oddHBand="0" w:evenHBand="0" w:firstRowFirstColumn="0" w:firstRowLastColumn="0" w:lastRowFirstColumn="0" w:lastRowLastColumn="0"/>
            <w:tcW w:w="1525" w:type="dxa"/>
          </w:tcPr>
          <w:p w14:paraId="2E76D77E" w14:textId="77777777" w:rsidR="00271045" w:rsidRDefault="00271045" w:rsidP="00D72B52">
            <w:pPr>
              <w:pStyle w:val="MText"/>
            </w:pPr>
            <w:r>
              <w:t>0.8 – 1.0</w:t>
            </w:r>
          </w:p>
        </w:tc>
        <w:tc>
          <w:tcPr>
            <w:tcW w:w="8190" w:type="dxa"/>
          </w:tcPr>
          <w:p w14:paraId="2035D9D6" w14:textId="77777777" w:rsidR="00271045" w:rsidRDefault="00271045" w:rsidP="00D72B52">
            <w:pPr>
              <w:pStyle w:val="MText"/>
              <w:cnfStyle w:val="000000000000" w:firstRow="0" w:lastRow="0" w:firstColumn="0" w:lastColumn="0" w:oddVBand="0" w:evenVBand="0" w:oddHBand="0" w:evenHBand="0" w:firstRowFirstColumn="0" w:firstRowLastColumn="0" w:lastRowFirstColumn="0" w:lastRowLastColumn="0"/>
            </w:pPr>
            <w:r>
              <w:t xml:space="preserve">Band 5: </w:t>
            </w:r>
            <w:r w:rsidRPr="00197D0C">
              <w:t xml:space="preserve">Very high implementation of </w:t>
            </w:r>
            <w:r>
              <w:t xml:space="preserve">instruments for </w:t>
            </w:r>
            <w:r w:rsidRPr="00994798">
              <w:t>access to resources and markets for small-scale fisheries</w:t>
            </w:r>
          </w:p>
        </w:tc>
      </w:tr>
    </w:tbl>
    <w:p w14:paraId="1582C072" w14:textId="77777777" w:rsidR="00271045" w:rsidRDefault="00271045" w:rsidP="00271045">
      <w:pPr>
        <w:pStyle w:val="BodyText"/>
        <w:ind w:left="0"/>
      </w:pPr>
    </w:p>
    <w:p w14:paraId="2529B069" w14:textId="618DCD10" w:rsidR="00E1050F" w:rsidRPr="00A96255" w:rsidRDefault="00E1050F" w:rsidP="00F719A8">
      <w:pPr>
        <w:pStyle w:val="MHeader2"/>
      </w:pPr>
      <w:r w:rsidRPr="00A96255">
        <w:t>4.b. Comment and limitations</w:t>
      </w:r>
    </w:p>
    <w:p w14:paraId="762049F5" w14:textId="5781D438" w:rsidR="00576CFA" w:rsidRPr="00A96255" w:rsidRDefault="00271045" w:rsidP="00576CFA">
      <w:pPr>
        <w:pStyle w:val="MText"/>
      </w:pPr>
      <w:r w:rsidRPr="003465F1">
        <w:rPr>
          <w:rFonts w:eastAsia="Calibri"/>
        </w:rPr>
        <w:t>It should be noted that while target 14.b refers to access for small-scale artisanal fishers to marine resources and markets some landlocked countries with inland fisheries have taken the opportunity to report on this indicator.</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4.c. Method of computation</w:t>
      </w:r>
    </w:p>
    <w:p w14:paraId="28F53EBF" w14:textId="77777777" w:rsidR="00271045" w:rsidRPr="00F53B8D" w:rsidRDefault="00271045" w:rsidP="00271045">
      <w:pPr>
        <w:pStyle w:val="MText"/>
      </w:pPr>
      <w:r w:rsidRPr="00F53B8D">
        <w:t xml:space="preserve">The indicator is calculated using three variables, which are given respective weightings for the final calculation. There has not been a change in the calculation, nor the use of mixed sources. </w:t>
      </w:r>
    </w:p>
    <w:p w14:paraId="6374E4D9" w14:textId="77777777" w:rsidR="00271045" w:rsidRPr="00F53B8D" w:rsidRDefault="00271045" w:rsidP="00271045">
      <w:pPr>
        <w:shd w:val="clear" w:color="auto" w:fill="FFFFFF"/>
        <w:spacing w:after="0"/>
        <w:rPr>
          <w:rFonts w:eastAsia="Times New Roman" w:cs="Times New Roman"/>
          <w:color w:val="4A4A4A"/>
          <w:sz w:val="21"/>
          <w:szCs w:val="21"/>
          <w:lang w:eastAsia="en-GB"/>
        </w:rPr>
      </w:pPr>
    </w:p>
    <w:p w14:paraId="167C5345" w14:textId="77777777" w:rsidR="00271045" w:rsidRPr="00F53B8D" w:rsidRDefault="00271045" w:rsidP="00271045">
      <w:pPr>
        <w:pStyle w:val="MText"/>
      </w:pPr>
      <w:r w:rsidRPr="00F53B8D">
        <w:rPr>
          <w:b/>
        </w:rPr>
        <w:t>Variable 1</w:t>
      </w:r>
      <w:r>
        <w:t xml:space="preserve">: </w:t>
      </w:r>
      <w:r w:rsidRPr="00F53B8D">
        <w:t>Existence of laws, regulations, policies, plans or strategies that specifically target or address the small-scale fisheries sector</w:t>
      </w:r>
    </w:p>
    <w:p w14:paraId="3A9329E6" w14:textId="77777777" w:rsidR="00271045" w:rsidRPr="00F53B8D" w:rsidRDefault="00271045" w:rsidP="00271045">
      <w:pPr>
        <w:pStyle w:val="MText"/>
      </w:pPr>
      <w:r w:rsidRPr="00F53B8D">
        <w:rPr>
          <w:b/>
        </w:rPr>
        <w:t>Variable 2</w:t>
      </w:r>
      <w:r>
        <w:t>:</w:t>
      </w:r>
      <w:r w:rsidRPr="00F53B8D">
        <w:t xml:space="preserve"> Ongoing specific initiatives to implement the SSF Guidelines</w:t>
      </w:r>
    </w:p>
    <w:p w14:paraId="3ABB405C" w14:textId="77777777" w:rsidR="00271045" w:rsidRPr="00F53B8D" w:rsidRDefault="00271045" w:rsidP="00271045">
      <w:pPr>
        <w:pStyle w:val="MText"/>
      </w:pPr>
      <w:r w:rsidRPr="00F53B8D">
        <w:rPr>
          <w:b/>
        </w:rPr>
        <w:t>Variable 3</w:t>
      </w:r>
      <w:r>
        <w:t>:</w:t>
      </w:r>
      <w:r w:rsidRPr="00F53B8D">
        <w:t xml:space="preserve"> Existence of mechanisms enabling small-scale fishers and fish workers to contribute to decision-making processes </w:t>
      </w:r>
    </w:p>
    <w:p w14:paraId="3CA0E12A" w14:textId="77777777" w:rsidR="00271045" w:rsidRPr="00F53B8D" w:rsidRDefault="00271045" w:rsidP="00271045">
      <w:pPr>
        <w:shd w:val="clear" w:color="auto" w:fill="FFFFFF"/>
        <w:spacing w:after="0"/>
        <w:rPr>
          <w:rFonts w:eastAsia="Times New Roman" w:cs="Times New Roman"/>
          <w:color w:val="4A4A4A"/>
          <w:sz w:val="21"/>
          <w:szCs w:val="21"/>
          <w:lang w:eastAsia="en-GB"/>
        </w:rPr>
      </w:pPr>
    </w:p>
    <w:p w14:paraId="02EAD6A3" w14:textId="77777777" w:rsidR="00271045" w:rsidRPr="00F53B8D" w:rsidRDefault="00271045" w:rsidP="00271045">
      <w:pPr>
        <w:pStyle w:val="MText"/>
      </w:pPr>
      <w:r w:rsidRPr="00F53B8D">
        <w:t xml:space="preserve">Performance is scored based on the country responses to the relevant portions of three questions included in the Code of Conduct for Responsible Fisheries Questionnaire (CCRF). These questions have been transformed into weighted variables for the purpose of calculating the country scores. </w:t>
      </w:r>
      <w:r w:rsidRPr="00F53B8D">
        <w:rPr>
          <w:u w:val="single"/>
        </w:rPr>
        <w:t xml:space="preserve">The target has been set at a positive (‘yes’) response to </w:t>
      </w:r>
      <w:r>
        <w:rPr>
          <w:u w:val="single"/>
        </w:rPr>
        <w:t xml:space="preserve">all </w:t>
      </w:r>
      <w:r w:rsidRPr="00F53B8D">
        <w:rPr>
          <w:u w:val="single"/>
        </w:rPr>
        <w:t>the sub-variables</w:t>
      </w:r>
      <w:r>
        <w:rPr>
          <w:u w:val="single"/>
        </w:rPr>
        <w:t xml:space="preserve">, </w:t>
      </w:r>
      <w:r w:rsidRPr="00F53B8D">
        <w:rPr>
          <w:u w:val="single"/>
        </w:rPr>
        <w:t>resulting in a score of 1</w:t>
      </w:r>
      <w:r w:rsidRPr="00F53B8D">
        <w:t xml:space="preserve">.  </w:t>
      </w:r>
    </w:p>
    <w:p w14:paraId="0638DE8B" w14:textId="77777777" w:rsidR="00271045" w:rsidRPr="000A3278" w:rsidRDefault="00271045" w:rsidP="00271045">
      <w:pPr>
        <w:ind w:left="845"/>
        <w:rPr>
          <w:rFonts w:ascii="Arial" w:hAnsi="Arial" w:cs="Arial"/>
          <w:sz w:val="16"/>
          <w:szCs w:val="16"/>
        </w:rPr>
      </w:pPr>
    </w:p>
    <w:tbl>
      <w:tblPr>
        <w:tblW w:w="8275" w:type="dxa"/>
        <w:jc w:val="center"/>
        <w:tblLayout w:type="fixed"/>
        <w:tblLook w:val="04A0" w:firstRow="1" w:lastRow="0" w:firstColumn="1" w:lastColumn="0" w:noHBand="0" w:noVBand="1"/>
      </w:tblPr>
      <w:tblGrid>
        <w:gridCol w:w="1134"/>
        <w:gridCol w:w="1376"/>
        <w:gridCol w:w="1170"/>
        <w:gridCol w:w="352"/>
        <w:gridCol w:w="1268"/>
        <w:gridCol w:w="2070"/>
        <w:gridCol w:w="905"/>
      </w:tblGrid>
      <w:tr w:rsidR="00271045" w:rsidRPr="0074072A" w14:paraId="55A59AFE" w14:textId="77777777" w:rsidTr="000A3278">
        <w:trPr>
          <w:trHeight w:val="300"/>
          <w:jc w:val="center"/>
        </w:trPr>
        <w:tc>
          <w:tcPr>
            <w:tcW w:w="1134" w:type="dxa"/>
            <w:tcBorders>
              <w:top w:val="single" w:sz="8" w:space="0" w:color="auto"/>
              <w:left w:val="single" w:sz="8" w:space="0" w:color="auto"/>
              <w:bottom w:val="single" w:sz="4" w:space="0" w:color="FFFFFF"/>
              <w:right w:val="single" w:sz="8" w:space="0" w:color="auto"/>
            </w:tcBorders>
            <w:shd w:val="clear" w:color="auto" w:fill="auto"/>
            <w:noWrap/>
            <w:vAlign w:val="bottom"/>
            <w:hideMark/>
          </w:tcPr>
          <w:p w14:paraId="4EBE3E3C" w14:textId="77777777" w:rsidR="00271045" w:rsidRPr="0074072A" w:rsidRDefault="00271045" w:rsidP="00D72B52">
            <w:pPr>
              <w:pStyle w:val="MText"/>
              <w:rPr>
                <w:lang w:val="en-US"/>
              </w:rPr>
            </w:pPr>
            <w:r w:rsidRPr="0074072A">
              <w:rPr>
                <w:lang w:val="en-US"/>
              </w:rPr>
              <w:t> </w:t>
            </w:r>
          </w:p>
        </w:tc>
        <w:tc>
          <w:tcPr>
            <w:tcW w:w="1376" w:type="dxa"/>
            <w:tcBorders>
              <w:top w:val="single" w:sz="8" w:space="0" w:color="auto"/>
              <w:left w:val="single" w:sz="8" w:space="0" w:color="auto"/>
              <w:bottom w:val="single" w:sz="4" w:space="0" w:color="auto"/>
              <w:right w:val="nil"/>
            </w:tcBorders>
            <w:shd w:val="clear" w:color="auto" w:fill="auto"/>
            <w:noWrap/>
            <w:vAlign w:val="bottom"/>
            <w:hideMark/>
          </w:tcPr>
          <w:p w14:paraId="7366560E" w14:textId="77777777" w:rsidR="00271045" w:rsidRPr="0074072A" w:rsidRDefault="00271045" w:rsidP="00D72B52">
            <w:pPr>
              <w:pStyle w:val="MText"/>
              <w:rPr>
                <w:i/>
                <w:iCs/>
                <w:lang w:val="en-US"/>
              </w:rPr>
            </w:pPr>
            <w:r w:rsidRPr="0074072A">
              <w:rPr>
                <w:i/>
                <w:iCs/>
                <w:lang w:val="en-US"/>
              </w:rPr>
              <w:t>Sub-variables</w:t>
            </w:r>
          </w:p>
        </w:tc>
        <w:tc>
          <w:tcPr>
            <w:tcW w:w="1170" w:type="dxa"/>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380058F0" w14:textId="77777777" w:rsidR="00271045" w:rsidRPr="0074072A" w:rsidRDefault="00271045" w:rsidP="00D72B52">
            <w:pPr>
              <w:pStyle w:val="MText"/>
              <w:rPr>
                <w:i/>
                <w:iCs/>
                <w:lang w:val="en-US"/>
              </w:rPr>
            </w:pPr>
            <w:r w:rsidRPr="0074072A">
              <w:rPr>
                <w:i/>
                <w:iCs/>
                <w:lang w:val="en-US"/>
              </w:rPr>
              <w:t>Weight</w:t>
            </w:r>
          </w:p>
        </w:tc>
        <w:tc>
          <w:tcPr>
            <w:tcW w:w="352" w:type="dxa"/>
            <w:tcBorders>
              <w:top w:val="single" w:sz="4" w:space="0" w:color="FFFFFF"/>
              <w:left w:val="nil"/>
              <w:bottom w:val="single" w:sz="4" w:space="0" w:color="FFFFFF"/>
              <w:right w:val="nil"/>
            </w:tcBorders>
            <w:shd w:val="clear" w:color="auto" w:fill="auto"/>
            <w:noWrap/>
            <w:vAlign w:val="bottom"/>
            <w:hideMark/>
          </w:tcPr>
          <w:p w14:paraId="0060C0CA" w14:textId="77777777" w:rsidR="00271045" w:rsidRPr="0074072A" w:rsidRDefault="00271045" w:rsidP="00D72B52">
            <w:pPr>
              <w:pStyle w:val="MText"/>
              <w:rPr>
                <w:i/>
                <w:iCs/>
                <w:lang w:val="en-US"/>
              </w:rPr>
            </w:pPr>
            <w:r w:rsidRPr="0074072A">
              <w:rPr>
                <w:i/>
                <w:iCs/>
                <w:lang w:val="en-US"/>
              </w:rPr>
              <w:t> </w:t>
            </w:r>
          </w:p>
        </w:tc>
        <w:tc>
          <w:tcPr>
            <w:tcW w:w="1268" w:type="dxa"/>
            <w:tcBorders>
              <w:top w:val="single" w:sz="8" w:space="0" w:color="auto"/>
              <w:left w:val="single" w:sz="8" w:space="0" w:color="auto"/>
              <w:bottom w:val="nil"/>
              <w:right w:val="single" w:sz="8" w:space="0" w:color="auto"/>
            </w:tcBorders>
            <w:shd w:val="clear" w:color="auto" w:fill="auto"/>
            <w:noWrap/>
            <w:vAlign w:val="bottom"/>
            <w:hideMark/>
          </w:tcPr>
          <w:p w14:paraId="1AD0B171" w14:textId="77777777" w:rsidR="00271045" w:rsidRPr="0074072A" w:rsidRDefault="00271045" w:rsidP="00D72B52">
            <w:pPr>
              <w:pStyle w:val="MText"/>
              <w:rPr>
                <w:lang w:val="en-US"/>
              </w:rPr>
            </w:pPr>
            <w:r w:rsidRPr="0074072A">
              <w:rPr>
                <w:lang w:val="en-US"/>
              </w:rPr>
              <w:t> </w:t>
            </w:r>
          </w:p>
        </w:tc>
        <w:tc>
          <w:tcPr>
            <w:tcW w:w="2070" w:type="dxa"/>
            <w:tcBorders>
              <w:top w:val="single" w:sz="8" w:space="0" w:color="auto"/>
              <w:left w:val="nil"/>
              <w:bottom w:val="single" w:sz="4" w:space="0" w:color="auto"/>
              <w:right w:val="nil"/>
            </w:tcBorders>
            <w:shd w:val="clear" w:color="auto" w:fill="auto"/>
            <w:noWrap/>
            <w:vAlign w:val="bottom"/>
            <w:hideMark/>
          </w:tcPr>
          <w:p w14:paraId="53340E66" w14:textId="77777777" w:rsidR="00271045" w:rsidRPr="0074072A" w:rsidRDefault="00271045" w:rsidP="00D72B52">
            <w:pPr>
              <w:pStyle w:val="MText"/>
              <w:rPr>
                <w:lang w:val="en-US"/>
              </w:rPr>
            </w:pPr>
            <w:r w:rsidRPr="0074072A">
              <w:rPr>
                <w:i/>
                <w:iCs/>
                <w:lang w:val="en-US"/>
              </w:rPr>
              <w:t>Sub-variables</w:t>
            </w:r>
          </w:p>
        </w:tc>
        <w:tc>
          <w:tcPr>
            <w:tcW w:w="905" w:type="dxa"/>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0F1938D2" w14:textId="77777777" w:rsidR="00271045" w:rsidRPr="0074072A" w:rsidRDefault="00271045" w:rsidP="00D72B52">
            <w:pPr>
              <w:pStyle w:val="MText"/>
              <w:rPr>
                <w:i/>
                <w:iCs/>
                <w:lang w:val="en-US"/>
              </w:rPr>
            </w:pPr>
            <w:r w:rsidRPr="0074072A">
              <w:rPr>
                <w:i/>
                <w:iCs/>
                <w:lang w:val="en-US"/>
              </w:rPr>
              <w:t>Weight</w:t>
            </w:r>
          </w:p>
        </w:tc>
      </w:tr>
      <w:tr w:rsidR="00271045" w:rsidRPr="0074072A" w14:paraId="0B33F6C2" w14:textId="77777777" w:rsidTr="000A3278">
        <w:trPr>
          <w:trHeight w:val="300"/>
          <w:jc w:val="center"/>
        </w:trPr>
        <w:tc>
          <w:tcPr>
            <w:tcW w:w="1134" w:type="dxa"/>
            <w:vMerge w:val="restart"/>
            <w:tcBorders>
              <w:top w:val="nil"/>
              <w:left w:val="single" w:sz="8" w:space="0" w:color="auto"/>
              <w:bottom w:val="single" w:sz="4" w:space="0" w:color="FFFFFF"/>
              <w:right w:val="single" w:sz="8" w:space="0" w:color="auto"/>
            </w:tcBorders>
            <w:shd w:val="clear" w:color="auto" w:fill="auto"/>
            <w:noWrap/>
            <w:vAlign w:val="center"/>
            <w:hideMark/>
          </w:tcPr>
          <w:p w14:paraId="4D37DFC9" w14:textId="77777777" w:rsidR="00271045" w:rsidRPr="0074072A" w:rsidRDefault="00271045" w:rsidP="00D72B52">
            <w:pPr>
              <w:pStyle w:val="MText"/>
              <w:rPr>
                <w:b/>
                <w:bCs/>
                <w:i/>
                <w:iCs/>
                <w:lang w:val="en-US"/>
              </w:rPr>
            </w:pPr>
            <w:r w:rsidRPr="0074072A">
              <w:rPr>
                <w:b/>
                <w:bCs/>
                <w:i/>
                <w:iCs/>
                <w:lang w:val="en-US"/>
              </w:rPr>
              <w:t>Variable 1</w:t>
            </w:r>
          </w:p>
        </w:tc>
        <w:tc>
          <w:tcPr>
            <w:tcW w:w="1376" w:type="dxa"/>
            <w:tcBorders>
              <w:top w:val="nil"/>
              <w:left w:val="nil"/>
              <w:bottom w:val="single" w:sz="4" w:space="0" w:color="FFFFFF"/>
              <w:right w:val="nil"/>
            </w:tcBorders>
            <w:shd w:val="clear" w:color="auto" w:fill="auto"/>
            <w:noWrap/>
            <w:vAlign w:val="bottom"/>
            <w:hideMark/>
          </w:tcPr>
          <w:p w14:paraId="7390EFDE" w14:textId="77777777" w:rsidR="00271045" w:rsidRPr="0074072A" w:rsidRDefault="00271045" w:rsidP="00D72B52">
            <w:pPr>
              <w:pStyle w:val="MText"/>
              <w:rPr>
                <w:lang w:val="en-US"/>
              </w:rPr>
            </w:pPr>
            <w:r w:rsidRPr="0074072A">
              <w:rPr>
                <w:lang w:val="en-US"/>
              </w:rPr>
              <w:t>1.1</w:t>
            </w:r>
          </w:p>
        </w:tc>
        <w:tc>
          <w:tcPr>
            <w:tcW w:w="1170" w:type="dxa"/>
            <w:tcBorders>
              <w:top w:val="nil"/>
              <w:left w:val="single" w:sz="4" w:space="0" w:color="auto"/>
              <w:bottom w:val="single" w:sz="4" w:space="0" w:color="FFFFFF"/>
              <w:right w:val="single" w:sz="8" w:space="0" w:color="auto"/>
            </w:tcBorders>
            <w:shd w:val="clear" w:color="auto" w:fill="auto"/>
            <w:noWrap/>
            <w:vAlign w:val="bottom"/>
            <w:hideMark/>
          </w:tcPr>
          <w:p w14:paraId="1A4F0D4A" w14:textId="77777777" w:rsidR="00271045" w:rsidRPr="0074072A" w:rsidRDefault="00271045" w:rsidP="00D72B52">
            <w:pPr>
              <w:pStyle w:val="MText"/>
              <w:rPr>
                <w:lang w:val="en-US"/>
              </w:rPr>
            </w:pPr>
            <w:r w:rsidRPr="0074072A">
              <w:rPr>
                <w:lang w:val="en-US"/>
              </w:rPr>
              <w:t>0.1</w:t>
            </w:r>
          </w:p>
        </w:tc>
        <w:tc>
          <w:tcPr>
            <w:tcW w:w="352" w:type="dxa"/>
            <w:tcBorders>
              <w:top w:val="nil"/>
              <w:left w:val="nil"/>
              <w:bottom w:val="single" w:sz="4" w:space="0" w:color="FFFFFF"/>
              <w:right w:val="nil"/>
            </w:tcBorders>
            <w:shd w:val="clear" w:color="auto" w:fill="auto"/>
            <w:noWrap/>
            <w:vAlign w:val="bottom"/>
            <w:hideMark/>
          </w:tcPr>
          <w:p w14:paraId="65BD8A40" w14:textId="77777777" w:rsidR="00271045" w:rsidRPr="0074072A" w:rsidRDefault="00271045" w:rsidP="00D72B52">
            <w:pPr>
              <w:pStyle w:val="MText"/>
              <w:rPr>
                <w:lang w:val="en-US"/>
              </w:rPr>
            </w:pPr>
            <w:r w:rsidRPr="0074072A">
              <w:rPr>
                <w:lang w:val="en-US"/>
              </w:rPr>
              <w:t> </w:t>
            </w:r>
          </w:p>
        </w:tc>
        <w:tc>
          <w:tcPr>
            <w:tcW w:w="126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36DA632" w14:textId="77777777" w:rsidR="00271045" w:rsidRPr="0074072A" w:rsidRDefault="00271045" w:rsidP="00D72B52">
            <w:pPr>
              <w:pStyle w:val="MText"/>
              <w:rPr>
                <w:b/>
                <w:bCs/>
                <w:i/>
                <w:iCs/>
                <w:lang w:val="en-US"/>
              </w:rPr>
            </w:pPr>
            <w:r w:rsidRPr="0074072A">
              <w:rPr>
                <w:b/>
                <w:bCs/>
                <w:i/>
                <w:iCs/>
                <w:lang w:val="en-US"/>
              </w:rPr>
              <w:t>Variable 2</w:t>
            </w:r>
          </w:p>
        </w:tc>
        <w:tc>
          <w:tcPr>
            <w:tcW w:w="2070" w:type="dxa"/>
            <w:tcBorders>
              <w:top w:val="nil"/>
              <w:left w:val="nil"/>
              <w:bottom w:val="single" w:sz="4" w:space="0" w:color="FFFFFF"/>
              <w:right w:val="nil"/>
            </w:tcBorders>
            <w:shd w:val="clear" w:color="auto" w:fill="auto"/>
            <w:noWrap/>
            <w:vAlign w:val="center"/>
            <w:hideMark/>
          </w:tcPr>
          <w:p w14:paraId="108DAA0D" w14:textId="77777777" w:rsidR="00271045" w:rsidRPr="0074072A" w:rsidRDefault="00271045" w:rsidP="00D72B52">
            <w:pPr>
              <w:pStyle w:val="MText"/>
              <w:rPr>
                <w:i/>
                <w:iCs/>
                <w:lang w:val="en-US"/>
              </w:rPr>
            </w:pPr>
            <w:r w:rsidRPr="0074072A">
              <w:rPr>
                <w:i/>
                <w:iCs/>
                <w:lang w:val="en-US"/>
              </w:rPr>
              <w:t>2.1</w:t>
            </w:r>
          </w:p>
        </w:tc>
        <w:tc>
          <w:tcPr>
            <w:tcW w:w="905" w:type="dxa"/>
            <w:tcBorders>
              <w:top w:val="nil"/>
              <w:left w:val="single" w:sz="4" w:space="0" w:color="auto"/>
              <w:bottom w:val="single" w:sz="4" w:space="0" w:color="FFFFFF"/>
              <w:right w:val="single" w:sz="8" w:space="0" w:color="auto"/>
            </w:tcBorders>
            <w:shd w:val="clear" w:color="auto" w:fill="auto"/>
            <w:noWrap/>
            <w:vAlign w:val="bottom"/>
            <w:hideMark/>
          </w:tcPr>
          <w:p w14:paraId="25C17F0E" w14:textId="77777777" w:rsidR="00271045" w:rsidRPr="0074072A" w:rsidRDefault="00271045" w:rsidP="00D72B52">
            <w:pPr>
              <w:pStyle w:val="MText"/>
              <w:rPr>
                <w:lang w:val="en-US"/>
              </w:rPr>
            </w:pPr>
            <w:r w:rsidRPr="0074072A">
              <w:rPr>
                <w:lang w:val="en-US"/>
              </w:rPr>
              <w:t>0.03</w:t>
            </w:r>
          </w:p>
        </w:tc>
      </w:tr>
      <w:tr w:rsidR="00271045" w:rsidRPr="0074072A" w14:paraId="27BC1A95" w14:textId="77777777" w:rsidTr="000A3278">
        <w:trPr>
          <w:trHeight w:val="300"/>
          <w:jc w:val="center"/>
        </w:trPr>
        <w:tc>
          <w:tcPr>
            <w:tcW w:w="1134" w:type="dxa"/>
            <w:vMerge/>
            <w:tcBorders>
              <w:top w:val="nil"/>
              <w:left w:val="single" w:sz="8" w:space="0" w:color="auto"/>
              <w:bottom w:val="single" w:sz="4" w:space="0" w:color="FFFFFF"/>
              <w:right w:val="single" w:sz="8" w:space="0" w:color="auto"/>
            </w:tcBorders>
            <w:vAlign w:val="center"/>
            <w:hideMark/>
          </w:tcPr>
          <w:p w14:paraId="638E2C91" w14:textId="77777777" w:rsidR="00271045" w:rsidRPr="0074072A" w:rsidRDefault="00271045" w:rsidP="00D72B52">
            <w:pPr>
              <w:pStyle w:val="MText"/>
              <w:rPr>
                <w:b/>
                <w:bCs/>
                <w:i/>
                <w:iCs/>
                <w:lang w:val="en-US"/>
              </w:rPr>
            </w:pPr>
          </w:p>
        </w:tc>
        <w:tc>
          <w:tcPr>
            <w:tcW w:w="1376" w:type="dxa"/>
            <w:tcBorders>
              <w:top w:val="nil"/>
              <w:left w:val="nil"/>
              <w:bottom w:val="single" w:sz="4" w:space="0" w:color="FFFFFF"/>
              <w:right w:val="nil"/>
            </w:tcBorders>
            <w:shd w:val="clear" w:color="auto" w:fill="auto"/>
            <w:noWrap/>
            <w:vAlign w:val="bottom"/>
            <w:hideMark/>
          </w:tcPr>
          <w:p w14:paraId="6050AA70" w14:textId="77777777" w:rsidR="00271045" w:rsidRPr="0074072A" w:rsidRDefault="00271045" w:rsidP="00D72B52">
            <w:pPr>
              <w:pStyle w:val="MText"/>
              <w:rPr>
                <w:lang w:val="en-US"/>
              </w:rPr>
            </w:pPr>
            <w:r w:rsidRPr="0074072A">
              <w:rPr>
                <w:lang w:val="en-US"/>
              </w:rPr>
              <w:t>1.2</w:t>
            </w:r>
          </w:p>
        </w:tc>
        <w:tc>
          <w:tcPr>
            <w:tcW w:w="1170" w:type="dxa"/>
            <w:tcBorders>
              <w:top w:val="nil"/>
              <w:left w:val="single" w:sz="4" w:space="0" w:color="auto"/>
              <w:bottom w:val="single" w:sz="4" w:space="0" w:color="FFFFFF"/>
              <w:right w:val="single" w:sz="8" w:space="0" w:color="auto"/>
            </w:tcBorders>
            <w:shd w:val="clear" w:color="auto" w:fill="auto"/>
            <w:noWrap/>
            <w:vAlign w:val="bottom"/>
            <w:hideMark/>
          </w:tcPr>
          <w:p w14:paraId="11A77CE2" w14:textId="77777777" w:rsidR="00271045" w:rsidRPr="0074072A" w:rsidRDefault="00271045" w:rsidP="00D72B52">
            <w:pPr>
              <w:pStyle w:val="MText"/>
              <w:rPr>
                <w:lang w:val="en-US"/>
              </w:rPr>
            </w:pPr>
            <w:r w:rsidRPr="0074072A">
              <w:rPr>
                <w:lang w:val="en-US"/>
              </w:rPr>
              <w:t>0.1</w:t>
            </w:r>
          </w:p>
        </w:tc>
        <w:tc>
          <w:tcPr>
            <w:tcW w:w="352" w:type="dxa"/>
            <w:tcBorders>
              <w:top w:val="nil"/>
              <w:left w:val="nil"/>
              <w:bottom w:val="single" w:sz="4" w:space="0" w:color="FFFFFF"/>
              <w:right w:val="nil"/>
            </w:tcBorders>
            <w:shd w:val="clear" w:color="auto" w:fill="auto"/>
            <w:noWrap/>
            <w:vAlign w:val="bottom"/>
            <w:hideMark/>
          </w:tcPr>
          <w:p w14:paraId="616E96AF" w14:textId="77777777" w:rsidR="00271045" w:rsidRPr="0074072A" w:rsidRDefault="00271045" w:rsidP="00D72B52">
            <w:pPr>
              <w:pStyle w:val="MText"/>
              <w:rPr>
                <w:lang w:val="en-US"/>
              </w:rPr>
            </w:pPr>
            <w:r w:rsidRPr="0074072A">
              <w:rPr>
                <w:lang w:val="en-US"/>
              </w:rPr>
              <w:t> </w:t>
            </w:r>
          </w:p>
        </w:tc>
        <w:tc>
          <w:tcPr>
            <w:tcW w:w="1268" w:type="dxa"/>
            <w:vMerge/>
            <w:tcBorders>
              <w:top w:val="nil"/>
              <w:left w:val="single" w:sz="8" w:space="0" w:color="auto"/>
              <w:bottom w:val="single" w:sz="8" w:space="0" w:color="000000"/>
              <w:right w:val="single" w:sz="8" w:space="0" w:color="auto"/>
            </w:tcBorders>
            <w:vAlign w:val="center"/>
            <w:hideMark/>
          </w:tcPr>
          <w:p w14:paraId="6A979455" w14:textId="77777777" w:rsidR="00271045" w:rsidRPr="0074072A" w:rsidRDefault="00271045" w:rsidP="00D72B52">
            <w:pPr>
              <w:pStyle w:val="MText"/>
              <w:rPr>
                <w:b/>
                <w:bCs/>
                <w:i/>
                <w:iCs/>
                <w:lang w:val="en-US"/>
              </w:rPr>
            </w:pPr>
          </w:p>
        </w:tc>
        <w:tc>
          <w:tcPr>
            <w:tcW w:w="2070" w:type="dxa"/>
            <w:tcBorders>
              <w:top w:val="nil"/>
              <w:left w:val="nil"/>
              <w:bottom w:val="single" w:sz="4" w:space="0" w:color="FFFFFF"/>
              <w:right w:val="nil"/>
            </w:tcBorders>
            <w:shd w:val="clear" w:color="auto" w:fill="auto"/>
            <w:noWrap/>
            <w:vAlign w:val="center"/>
            <w:hideMark/>
          </w:tcPr>
          <w:p w14:paraId="54227C23" w14:textId="77777777" w:rsidR="00271045" w:rsidRPr="0074072A" w:rsidRDefault="00271045" w:rsidP="00D72B52">
            <w:pPr>
              <w:pStyle w:val="MText"/>
              <w:rPr>
                <w:lang w:val="en-US"/>
              </w:rPr>
            </w:pPr>
            <w:r w:rsidRPr="0074072A">
              <w:rPr>
                <w:lang w:val="en-US"/>
              </w:rPr>
              <w:t>2.2</w:t>
            </w:r>
          </w:p>
        </w:tc>
        <w:tc>
          <w:tcPr>
            <w:tcW w:w="905" w:type="dxa"/>
            <w:tcBorders>
              <w:top w:val="nil"/>
              <w:left w:val="single" w:sz="4" w:space="0" w:color="auto"/>
              <w:bottom w:val="single" w:sz="4" w:space="0" w:color="FFFFFF"/>
              <w:right w:val="single" w:sz="8" w:space="0" w:color="auto"/>
            </w:tcBorders>
            <w:shd w:val="clear" w:color="auto" w:fill="auto"/>
            <w:noWrap/>
            <w:vAlign w:val="bottom"/>
            <w:hideMark/>
          </w:tcPr>
          <w:p w14:paraId="4A011CD6" w14:textId="77777777" w:rsidR="00271045" w:rsidRPr="0074072A" w:rsidRDefault="00271045" w:rsidP="00D72B52">
            <w:pPr>
              <w:pStyle w:val="MText"/>
              <w:rPr>
                <w:lang w:val="en-US"/>
              </w:rPr>
            </w:pPr>
            <w:r w:rsidRPr="0074072A">
              <w:rPr>
                <w:lang w:val="en-US"/>
              </w:rPr>
              <w:t>0.03</w:t>
            </w:r>
          </w:p>
        </w:tc>
      </w:tr>
      <w:tr w:rsidR="00271045" w:rsidRPr="0074072A" w14:paraId="6238E5D7" w14:textId="77777777" w:rsidTr="000A3278">
        <w:trPr>
          <w:trHeight w:val="300"/>
          <w:jc w:val="center"/>
        </w:trPr>
        <w:tc>
          <w:tcPr>
            <w:tcW w:w="1134" w:type="dxa"/>
            <w:vMerge/>
            <w:tcBorders>
              <w:top w:val="nil"/>
              <w:left w:val="single" w:sz="8" w:space="0" w:color="auto"/>
              <w:bottom w:val="single" w:sz="4" w:space="0" w:color="FFFFFF"/>
              <w:right w:val="single" w:sz="8" w:space="0" w:color="auto"/>
            </w:tcBorders>
            <w:vAlign w:val="center"/>
            <w:hideMark/>
          </w:tcPr>
          <w:p w14:paraId="76547BA0" w14:textId="77777777" w:rsidR="00271045" w:rsidRPr="0074072A" w:rsidRDefault="00271045" w:rsidP="00D72B52">
            <w:pPr>
              <w:pStyle w:val="MText"/>
              <w:rPr>
                <w:b/>
                <w:bCs/>
                <w:i/>
                <w:iCs/>
                <w:lang w:val="en-US"/>
              </w:rPr>
            </w:pPr>
          </w:p>
        </w:tc>
        <w:tc>
          <w:tcPr>
            <w:tcW w:w="1376" w:type="dxa"/>
            <w:tcBorders>
              <w:top w:val="nil"/>
              <w:left w:val="nil"/>
              <w:bottom w:val="single" w:sz="4" w:space="0" w:color="FFFFFF"/>
              <w:right w:val="nil"/>
            </w:tcBorders>
            <w:shd w:val="clear" w:color="auto" w:fill="auto"/>
            <w:noWrap/>
            <w:vAlign w:val="bottom"/>
            <w:hideMark/>
          </w:tcPr>
          <w:p w14:paraId="22179D7E" w14:textId="77777777" w:rsidR="00271045" w:rsidRPr="0074072A" w:rsidRDefault="00271045" w:rsidP="00D72B52">
            <w:pPr>
              <w:pStyle w:val="MText"/>
              <w:rPr>
                <w:lang w:val="en-US"/>
              </w:rPr>
            </w:pPr>
            <w:r w:rsidRPr="0074072A">
              <w:rPr>
                <w:lang w:val="en-US"/>
              </w:rPr>
              <w:t>1.3</w:t>
            </w:r>
          </w:p>
        </w:tc>
        <w:tc>
          <w:tcPr>
            <w:tcW w:w="1170" w:type="dxa"/>
            <w:tcBorders>
              <w:top w:val="nil"/>
              <w:left w:val="single" w:sz="4" w:space="0" w:color="auto"/>
              <w:bottom w:val="single" w:sz="4" w:space="0" w:color="FFFFFF"/>
              <w:right w:val="single" w:sz="8" w:space="0" w:color="auto"/>
            </w:tcBorders>
            <w:shd w:val="clear" w:color="auto" w:fill="auto"/>
            <w:noWrap/>
            <w:vAlign w:val="bottom"/>
            <w:hideMark/>
          </w:tcPr>
          <w:p w14:paraId="7F01A1B1" w14:textId="77777777" w:rsidR="00271045" w:rsidRPr="0074072A" w:rsidRDefault="00271045" w:rsidP="00D72B52">
            <w:pPr>
              <w:pStyle w:val="MText"/>
              <w:rPr>
                <w:lang w:val="en-US"/>
              </w:rPr>
            </w:pPr>
            <w:r w:rsidRPr="0074072A">
              <w:rPr>
                <w:lang w:val="en-US"/>
              </w:rPr>
              <w:t>0.1</w:t>
            </w:r>
          </w:p>
        </w:tc>
        <w:tc>
          <w:tcPr>
            <w:tcW w:w="352" w:type="dxa"/>
            <w:tcBorders>
              <w:top w:val="nil"/>
              <w:left w:val="nil"/>
              <w:bottom w:val="single" w:sz="4" w:space="0" w:color="FFFFFF"/>
              <w:right w:val="nil"/>
            </w:tcBorders>
            <w:shd w:val="clear" w:color="auto" w:fill="auto"/>
            <w:noWrap/>
            <w:vAlign w:val="bottom"/>
            <w:hideMark/>
          </w:tcPr>
          <w:p w14:paraId="7CA508F8" w14:textId="77777777" w:rsidR="00271045" w:rsidRPr="0074072A" w:rsidRDefault="00271045" w:rsidP="00D72B52">
            <w:pPr>
              <w:pStyle w:val="MText"/>
              <w:rPr>
                <w:lang w:val="en-US"/>
              </w:rPr>
            </w:pPr>
            <w:r w:rsidRPr="0074072A">
              <w:rPr>
                <w:lang w:val="en-US"/>
              </w:rPr>
              <w:t> </w:t>
            </w:r>
          </w:p>
        </w:tc>
        <w:tc>
          <w:tcPr>
            <w:tcW w:w="1268" w:type="dxa"/>
            <w:vMerge/>
            <w:tcBorders>
              <w:top w:val="nil"/>
              <w:left w:val="single" w:sz="8" w:space="0" w:color="auto"/>
              <w:bottom w:val="single" w:sz="8" w:space="0" w:color="000000"/>
              <w:right w:val="single" w:sz="8" w:space="0" w:color="auto"/>
            </w:tcBorders>
            <w:vAlign w:val="center"/>
            <w:hideMark/>
          </w:tcPr>
          <w:p w14:paraId="62561418" w14:textId="77777777" w:rsidR="00271045" w:rsidRPr="0074072A" w:rsidRDefault="00271045" w:rsidP="00D72B52">
            <w:pPr>
              <w:pStyle w:val="MText"/>
              <w:rPr>
                <w:b/>
                <w:bCs/>
                <w:i/>
                <w:iCs/>
                <w:lang w:val="en-US"/>
              </w:rPr>
            </w:pPr>
          </w:p>
        </w:tc>
        <w:tc>
          <w:tcPr>
            <w:tcW w:w="2070" w:type="dxa"/>
            <w:tcBorders>
              <w:top w:val="nil"/>
              <w:left w:val="nil"/>
              <w:bottom w:val="single" w:sz="4" w:space="0" w:color="FFFFFF"/>
              <w:right w:val="nil"/>
            </w:tcBorders>
            <w:shd w:val="clear" w:color="auto" w:fill="auto"/>
            <w:noWrap/>
            <w:vAlign w:val="center"/>
            <w:hideMark/>
          </w:tcPr>
          <w:p w14:paraId="1B4DBC41" w14:textId="77777777" w:rsidR="00271045" w:rsidRPr="0074072A" w:rsidRDefault="00271045" w:rsidP="00D72B52">
            <w:pPr>
              <w:pStyle w:val="MText"/>
              <w:rPr>
                <w:lang w:val="en-US"/>
              </w:rPr>
            </w:pPr>
            <w:r w:rsidRPr="0074072A">
              <w:rPr>
                <w:lang w:val="en-US"/>
              </w:rPr>
              <w:t>2.3</w:t>
            </w:r>
          </w:p>
        </w:tc>
        <w:tc>
          <w:tcPr>
            <w:tcW w:w="905" w:type="dxa"/>
            <w:tcBorders>
              <w:top w:val="nil"/>
              <w:left w:val="single" w:sz="4" w:space="0" w:color="auto"/>
              <w:bottom w:val="single" w:sz="4" w:space="0" w:color="FFFFFF"/>
              <w:right w:val="single" w:sz="8" w:space="0" w:color="auto"/>
            </w:tcBorders>
            <w:shd w:val="clear" w:color="auto" w:fill="auto"/>
            <w:noWrap/>
            <w:vAlign w:val="bottom"/>
            <w:hideMark/>
          </w:tcPr>
          <w:p w14:paraId="103BD3CC" w14:textId="77777777" w:rsidR="00271045" w:rsidRPr="0074072A" w:rsidRDefault="00271045" w:rsidP="00D72B52">
            <w:pPr>
              <w:pStyle w:val="MText"/>
              <w:rPr>
                <w:lang w:val="en-US"/>
              </w:rPr>
            </w:pPr>
            <w:r w:rsidRPr="0074072A">
              <w:rPr>
                <w:lang w:val="en-US"/>
              </w:rPr>
              <w:t>0.03</w:t>
            </w:r>
          </w:p>
        </w:tc>
      </w:tr>
      <w:tr w:rsidR="00271045" w:rsidRPr="0074072A" w14:paraId="14F354F5" w14:textId="77777777" w:rsidTr="000A3278">
        <w:trPr>
          <w:trHeight w:val="300"/>
          <w:jc w:val="center"/>
        </w:trPr>
        <w:tc>
          <w:tcPr>
            <w:tcW w:w="1134" w:type="dxa"/>
            <w:vMerge/>
            <w:tcBorders>
              <w:top w:val="nil"/>
              <w:left w:val="single" w:sz="8" w:space="0" w:color="auto"/>
              <w:bottom w:val="single" w:sz="4" w:space="0" w:color="FFFFFF"/>
              <w:right w:val="single" w:sz="8" w:space="0" w:color="auto"/>
            </w:tcBorders>
            <w:vAlign w:val="center"/>
            <w:hideMark/>
          </w:tcPr>
          <w:p w14:paraId="3BD653CE" w14:textId="77777777" w:rsidR="00271045" w:rsidRPr="0074072A" w:rsidRDefault="00271045" w:rsidP="00D72B52">
            <w:pPr>
              <w:pStyle w:val="MText"/>
              <w:rPr>
                <w:b/>
                <w:bCs/>
                <w:i/>
                <w:iCs/>
                <w:lang w:val="en-US"/>
              </w:rPr>
            </w:pPr>
          </w:p>
        </w:tc>
        <w:tc>
          <w:tcPr>
            <w:tcW w:w="1376" w:type="dxa"/>
            <w:tcBorders>
              <w:top w:val="nil"/>
              <w:left w:val="nil"/>
              <w:bottom w:val="single" w:sz="4" w:space="0" w:color="FFFFFF"/>
              <w:right w:val="nil"/>
            </w:tcBorders>
            <w:shd w:val="clear" w:color="auto" w:fill="auto"/>
            <w:noWrap/>
            <w:vAlign w:val="bottom"/>
            <w:hideMark/>
          </w:tcPr>
          <w:p w14:paraId="2859D27D" w14:textId="77777777" w:rsidR="00271045" w:rsidRPr="0074072A" w:rsidRDefault="00271045" w:rsidP="00D72B52">
            <w:pPr>
              <w:pStyle w:val="MText"/>
              <w:rPr>
                <w:lang w:val="en-US"/>
              </w:rPr>
            </w:pPr>
            <w:r w:rsidRPr="0074072A">
              <w:rPr>
                <w:lang w:val="en-US"/>
              </w:rPr>
              <w:t>1.4</w:t>
            </w:r>
          </w:p>
        </w:tc>
        <w:tc>
          <w:tcPr>
            <w:tcW w:w="1170" w:type="dxa"/>
            <w:tcBorders>
              <w:top w:val="nil"/>
              <w:left w:val="single" w:sz="4" w:space="0" w:color="auto"/>
              <w:bottom w:val="single" w:sz="4" w:space="0" w:color="FFFFFF"/>
              <w:right w:val="single" w:sz="8" w:space="0" w:color="auto"/>
            </w:tcBorders>
            <w:shd w:val="clear" w:color="auto" w:fill="auto"/>
            <w:noWrap/>
            <w:vAlign w:val="bottom"/>
            <w:hideMark/>
          </w:tcPr>
          <w:p w14:paraId="18ECD849" w14:textId="77777777" w:rsidR="00271045" w:rsidRPr="0074072A" w:rsidRDefault="00271045" w:rsidP="00D72B52">
            <w:pPr>
              <w:pStyle w:val="MText"/>
              <w:rPr>
                <w:lang w:val="en-US"/>
              </w:rPr>
            </w:pPr>
            <w:r w:rsidRPr="0074072A">
              <w:rPr>
                <w:lang w:val="en-US"/>
              </w:rPr>
              <w:t>0.1</w:t>
            </w:r>
          </w:p>
        </w:tc>
        <w:tc>
          <w:tcPr>
            <w:tcW w:w="352" w:type="dxa"/>
            <w:tcBorders>
              <w:top w:val="nil"/>
              <w:left w:val="nil"/>
              <w:bottom w:val="single" w:sz="4" w:space="0" w:color="FFFFFF"/>
              <w:right w:val="nil"/>
            </w:tcBorders>
            <w:shd w:val="clear" w:color="auto" w:fill="auto"/>
            <w:noWrap/>
            <w:vAlign w:val="bottom"/>
            <w:hideMark/>
          </w:tcPr>
          <w:p w14:paraId="513217F3" w14:textId="77777777" w:rsidR="00271045" w:rsidRPr="0074072A" w:rsidRDefault="00271045" w:rsidP="00D72B52">
            <w:pPr>
              <w:pStyle w:val="MText"/>
              <w:rPr>
                <w:lang w:val="en-US"/>
              </w:rPr>
            </w:pPr>
            <w:r w:rsidRPr="0074072A">
              <w:rPr>
                <w:lang w:val="en-US"/>
              </w:rPr>
              <w:t> </w:t>
            </w:r>
          </w:p>
        </w:tc>
        <w:tc>
          <w:tcPr>
            <w:tcW w:w="1268" w:type="dxa"/>
            <w:vMerge/>
            <w:tcBorders>
              <w:top w:val="nil"/>
              <w:left w:val="single" w:sz="8" w:space="0" w:color="auto"/>
              <w:bottom w:val="single" w:sz="8" w:space="0" w:color="000000"/>
              <w:right w:val="single" w:sz="8" w:space="0" w:color="auto"/>
            </w:tcBorders>
            <w:vAlign w:val="center"/>
            <w:hideMark/>
          </w:tcPr>
          <w:p w14:paraId="09CD9E4C" w14:textId="77777777" w:rsidR="00271045" w:rsidRPr="0074072A" w:rsidRDefault="00271045" w:rsidP="00D72B52">
            <w:pPr>
              <w:pStyle w:val="MText"/>
              <w:rPr>
                <w:b/>
                <w:bCs/>
                <w:i/>
                <w:iCs/>
                <w:lang w:val="en-US"/>
              </w:rPr>
            </w:pPr>
          </w:p>
        </w:tc>
        <w:tc>
          <w:tcPr>
            <w:tcW w:w="2070" w:type="dxa"/>
            <w:tcBorders>
              <w:top w:val="nil"/>
              <w:left w:val="nil"/>
              <w:bottom w:val="single" w:sz="4" w:space="0" w:color="FFFFFF"/>
              <w:right w:val="nil"/>
            </w:tcBorders>
            <w:shd w:val="clear" w:color="auto" w:fill="auto"/>
            <w:noWrap/>
            <w:vAlign w:val="center"/>
            <w:hideMark/>
          </w:tcPr>
          <w:p w14:paraId="303E74FF" w14:textId="77777777" w:rsidR="00271045" w:rsidRPr="0074072A" w:rsidRDefault="00271045" w:rsidP="00D72B52">
            <w:pPr>
              <w:pStyle w:val="MText"/>
              <w:rPr>
                <w:lang w:val="en-US"/>
              </w:rPr>
            </w:pPr>
            <w:r w:rsidRPr="0074072A">
              <w:rPr>
                <w:lang w:val="en-US"/>
              </w:rPr>
              <w:t>2.4</w:t>
            </w:r>
          </w:p>
        </w:tc>
        <w:tc>
          <w:tcPr>
            <w:tcW w:w="905" w:type="dxa"/>
            <w:tcBorders>
              <w:top w:val="nil"/>
              <w:left w:val="single" w:sz="4" w:space="0" w:color="auto"/>
              <w:bottom w:val="single" w:sz="4" w:space="0" w:color="FFFFFF"/>
              <w:right w:val="single" w:sz="8" w:space="0" w:color="auto"/>
            </w:tcBorders>
            <w:shd w:val="clear" w:color="auto" w:fill="auto"/>
            <w:noWrap/>
            <w:vAlign w:val="bottom"/>
            <w:hideMark/>
          </w:tcPr>
          <w:p w14:paraId="671B14A1" w14:textId="77777777" w:rsidR="00271045" w:rsidRPr="0074072A" w:rsidRDefault="00271045" w:rsidP="00D72B52">
            <w:pPr>
              <w:pStyle w:val="MText"/>
              <w:rPr>
                <w:lang w:val="en-US"/>
              </w:rPr>
            </w:pPr>
            <w:r w:rsidRPr="0074072A">
              <w:rPr>
                <w:lang w:val="en-US"/>
              </w:rPr>
              <w:t>0.03</w:t>
            </w:r>
          </w:p>
        </w:tc>
      </w:tr>
      <w:tr w:rsidR="00271045" w:rsidRPr="0074072A" w14:paraId="6FB33E66" w14:textId="77777777" w:rsidTr="000A3278">
        <w:trPr>
          <w:trHeight w:val="223"/>
          <w:jc w:val="center"/>
        </w:trPr>
        <w:tc>
          <w:tcPr>
            <w:tcW w:w="1134" w:type="dxa"/>
            <w:vMerge/>
            <w:tcBorders>
              <w:top w:val="nil"/>
              <w:left w:val="single" w:sz="8" w:space="0" w:color="auto"/>
              <w:bottom w:val="single" w:sz="4" w:space="0" w:color="FFFFFF"/>
              <w:right w:val="single" w:sz="8" w:space="0" w:color="auto"/>
            </w:tcBorders>
            <w:vAlign w:val="center"/>
            <w:hideMark/>
          </w:tcPr>
          <w:p w14:paraId="560F0721" w14:textId="77777777" w:rsidR="00271045" w:rsidRPr="0074072A" w:rsidRDefault="00271045" w:rsidP="00D72B52">
            <w:pPr>
              <w:pStyle w:val="MText"/>
              <w:rPr>
                <w:b/>
                <w:bCs/>
                <w:i/>
                <w:iCs/>
                <w:lang w:val="en-US"/>
              </w:rPr>
            </w:pPr>
          </w:p>
        </w:tc>
        <w:tc>
          <w:tcPr>
            <w:tcW w:w="1376" w:type="dxa"/>
            <w:tcBorders>
              <w:top w:val="nil"/>
              <w:left w:val="nil"/>
              <w:bottom w:val="nil"/>
              <w:right w:val="nil"/>
            </w:tcBorders>
            <w:shd w:val="clear" w:color="auto" w:fill="auto"/>
            <w:noWrap/>
            <w:vAlign w:val="bottom"/>
            <w:hideMark/>
          </w:tcPr>
          <w:p w14:paraId="19916BCF" w14:textId="77777777" w:rsidR="00271045" w:rsidRPr="0074072A" w:rsidRDefault="00271045" w:rsidP="00D72B52">
            <w:pPr>
              <w:pStyle w:val="MText"/>
              <w:rPr>
                <w:lang w:val="en-US"/>
              </w:rPr>
            </w:pPr>
            <w:r w:rsidRPr="0074072A">
              <w:rPr>
                <w:lang w:val="en-US"/>
              </w:rPr>
              <w:t>1.5</w:t>
            </w:r>
          </w:p>
        </w:tc>
        <w:tc>
          <w:tcPr>
            <w:tcW w:w="1170" w:type="dxa"/>
            <w:tcBorders>
              <w:top w:val="nil"/>
              <w:left w:val="single" w:sz="4" w:space="0" w:color="auto"/>
              <w:bottom w:val="nil"/>
              <w:right w:val="single" w:sz="8" w:space="0" w:color="auto"/>
            </w:tcBorders>
            <w:shd w:val="clear" w:color="auto" w:fill="auto"/>
            <w:noWrap/>
            <w:vAlign w:val="bottom"/>
            <w:hideMark/>
          </w:tcPr>
          <w:p w14:paraId="7AE1B079" w14:textId="77777777" w:rsidR="00271045" w:rsidRPr="0074072A" w:rsidRDefault="00271045" w:rsidP="00D72B52">
            <w:pPr>
              <w:pStyle w:val="MText"/>
              <w:rPr>
                <w:i/>
                <w:iCs/>
                <w:lang w:val="en-US"/>
              </w:rPr>
            </w:pPr>
            <w:r w:rsidRPr="0074072A">
              <w:rPr>
                <w:i/>
                <w:iCs/>
                <w:vertAlign w:val="superscript"/>
                <w:lang w:val="en-US"/>
              </w:rPr>
              <w:t>1</w:t>
            </w:r>
          </w:p>
        </w:tc>
        <w:tc>
          <w:tcPr>
            <w:tcW w:w="352" w:type="dxa"/>
            <w:tcBorders>
              <w:top w:val="nil"/>
              <w:left w:val="nil"/>
              <w:bottom w:val="single" w:sz="4" w:space="0" w:color="FFFFFF"/>
              <w:right w:val="nil"/>
            </w:tcBorders>
            <w:shd w:val="clear" w:color="auto" w:fill="auto"/>
            <w:noWrap/>
            <w:vAlign w:val="bottom"/>
            <w:hideMark/>
          </w:tcPr>
          <w:p w14:paraId="3F3C0EB7" w14:textId="77777777" w:rsidR="00271045" w:rsidRPr="0074072A" w:rsidRDefault="00271045" w:rsidP="00D72B52">
            <w:pPr>
              <w:pStyle w:val="MText"/>
              <w:rPr>
                <w:lang w:val="en-US"/>
              </w:rPr>
            </w:pPr>
            <w:r w:rsidRPr="0074072A">
              <w:rPr>
                <w:lang w:val="en-US"/>
              </w:rPr>
              <w:t> </w:t>
            </w:r>
          </w:p>
        </w:tc>
        <w:tc>
          <w:tcPr>
            <w:tcW w:w="1268" w:type="dxa"/>
            <w:vMerge/>
            <w:tcBorders>
              <w:top w:val="nil"/>
              <w:left w:val="single" w:sz="8" w:space="0" w:color="auto"/>
              <w:bottom w:val="single" w:sz="8" w:space="0" w:color="000000"/>
              <w:right w:val="single" w:sz="8" w:space="0" w:color="auto"/>
            </w:tcBorders>
            <w:vAlign w:val="center"/>
            <w:hideMark/>
          </w:tcPr>
          <w:p w14:paraId="7E0D4696" w14:textId="77777777" w:rsidR="00271045" w:rsidRPr="0074072A" w:rsidRDefault="00271045" w:rsidP="00D72B52">
            <w:pPr>
              <w:pStyle w:val="MText"/>
              <w:rPr>
                <w:b/>
                <w:bCs/>
                <w:i/>
                <w:iCs/>
                <w:lang w:val="en-US"/>
              </w:rPr>
            </w:pPr>
          </w:p>
        </w:tc>
        <w:tc>
          <w:tcPr>
            <w:tcW w:w="2070" w:type="dxa"/>
            <w:tcBorders>
              <w:top w:val="nil"/>
              <w:left w:val="nil"/>
              <w:bottom w:val="single" w:sz="4" w:space="0" w:color="FFFFFF"/>
              <w:right w:val="nil"/>
            </w:tcBorders>
            <w:shd w:val="clear" w:color="auto" w:fill="auto"/>
            <w:noWrap/>
            <w:vAlign w:val="center"/>
            <w:hideMark/>
          </w:tcPr>
          <w:p w14:paraId="5E59ECF7" w14:textId="77777777" w:rsidR="00271045" w:rsidRPr="0074072A" w:rsidRDefault="00271045" w:rsidP="00D72B52">
            <w:pPr>
              <w:pStyle w:val="MText"/>
              <w:rPr>
                <w:lang w:val="en-US"/>
              </w:rPr>
            </w:pPr>
            <w:r w:rsidRPr="0074072A">
              <w:rPr>
                <w:lang w:val="en-US"/>
              </w:rPr>
              <w:t>2.5</w:t>
            </w:r>
          </w:p>
        </w:tc>
        <w:tc>
          <w:tcPr>
            <w:tcW w:w="905" w:type="dxa"/>
            <w:tcBorders>
              <w:top w:val="nil"/>
              <w:left w:val="single" w:sz="4" w:space="0" w:color="auto"/>
              <w:bottom w:val="single" w:sz="4" w:space="0" w:color="FFFFFF"/>
              <w:right w:val="single" w:sz="8" w:space="0" w:color="auto"/>
            </w:tcBorders>
            <w:shd w:val="clear" w:color="auto" w:fill="auto"/>
            <w:noWrap/>
            <w:vAlign w:val="bottom"/>
            <w:hideMark/>
          </w:tcPr>
          <w:p w14:paraId="3AE49EF7" w14:textId="77777777" w:rsidR="00271045" w:rsidRPr="0074072A" w:rsidRDefault="00271045" w:rsidP="00D72B52">
            <w:pPr>
              <w:pStyle w:val="MText"/>
              <w:rPr>
                <w:lang w:val="en-US"/>
              </w:rPr>
            </w:pPr>
            <w:r w:rsidRPr="0074072A">
              <w:rPr>
                <w:lang w:val="en-US"/>
              </w:rPr>
              <w:t>0.03</w:t>
            </w:r>
          </w:p>
        </w:tc>
      </w:tr>
      <w:tr w:rsidR="00271045" w:rsidRPr="0074072A" w14:paraId="080ABBA6" w14:textId="77777777" w:rsidTr="000A3278">
        <w:trPr>
          <w:trHeight w:val="250"/>
          <w:jc w:val="center"/>
        </w:trPr>
        <w:tc>
          <w:tcPr>
            <w:tcW w:w="1134" w:type="dxa"/>
            <w:tcBorders>
              <w:top w:val="nil"/>
              <w:left w:val="single" w:sz="8" w:space="0" w:color="auto"/>
              <w:bottom w:val="single" w:sz="8" w:space="0" w:color="auto"/>
              <w:right w:val="single" w:sz="8" w:space="0" w:color="auto"/>
            </w:tcBorders>
            <w:shd w:val="clear" w:color="auto" w:fill="auto"/>
            <w:noWrap/>
            <w:vAlign w:val="bottom"/>
            <w:hideMark/>
          </w:tcPr>
          <w:p w14:paraId="4A6DB2A2" w14:textId="77777777" w:rsidR="00271045" w:rsidRPr="0074072A" w:rsidRDefault="00271045" w:rsidP="00D72B52">
            <w:pPr>
              <w:pStyle w:val="MText"/>
              <w:rPr>
                <w:lang w:val="en-US"/>
              </w:rPr>
            </w:pPr>
            <w:r w:rsidRPr="0074072A">
              <w:rPr>
                <w:lang w:val="en-US"/>
              </w:rPr>
              <w:t> </w:t>
            </w:r>
          </w:p>
        </w:tc>
        <w:tc>
          <w:tcPr>
            <w:tcW w:w="1376" w:type="dxa"/>
            <w:tcBorders>
              <w:top w:val="single" w:sz="8" w:space="0" w:color="auto"/>
              <w:left w:val="single" w:sz="8" w:space="0" w:color="auto"/>
              <w:bottom w:val="single" w:sz="8" w:space="0" w:color="auto"/>
              <w:right w:val="nil"/>
            </w:tcBorders>
            <w:shd w:val="clear" w:color="auto" w:fill="auto"/>
            <w:noWrap/>
            <w:vAlign w:val="bottom"/>
            <w:hideMark/>
          </w:tcPr>
          <w:p w14:paraId="6D6ADA20" w14:textId="77777777" w:rsidR="00271045" w:rsidRPr="0074072A" w:rsidRDefault="00271045" w:rsidP="00D72B52">
            <w:pPr>
              <w:pStyle w:val="MText"/>
              <w:rPr>
                <w:b/>
                <w:bCs/>
                <w:lang w:val="en-US"/>
              </w:rPr>
            </w:pPr>
            <w:r w:rsidRPr="0074072A">
              <w:rPr>
                <w:b/>
                <w:bCs/>
                <w:lang w:val="en-US"/>
              </w:rPr>
              <w:t>Variable weight</w:t>
            </w:r>
          </w:p>
        </w:tc>
        <w:tc>
          <w:tcPr>
            <w:tcW w:w="1170" w:type="dxa"/>
            <w:tcBorders>
              <w:top w:val="single" w:sz="8" w:space="0" w:color="auto"/>
              <w:left w:val="single" w:sz="4" w:space="0" w:color="auto"/>
              <w:bottom w:val="single" w:sz="8" w:space="0" w:color="auto"/>
              <w:right w:val="single" w:sz="8" w:space="0" w:color="auto"/>
            </w:tcBorders>
            <w:shd w:val="clear" w:color="auto" w:fill="auto"/>
            <w:noWrap/>
            <w:vAlign w:val="bottom"/>
            <w:hideMark/>
          </w:tcPr>
          <w:p w14:paraId="373EDF55" w14:textId="77777777" w:rsidR="00271045" w:rsidRPr="0074072A" w:rsidRDefault="00271045" w:rsidP="00D72B52">
            <w:pPr>
              <w:pStyle w:val="MText"/>
              <w:rPr>
                <w:b/>
                <w:bCs/>
                <w:lang w:val="en-US"/>
              </w:rPr>
            </w:pPr>
            <w:r w:rsidRPr="0074072A">
              <w:rPr>
                <w:b/>
                <w:bCs/>
                <w:lang w:val="en-US"/>
              </w:rPr>
              <w:t>0.4</w:t>
            </w:r>
          </w:p>
        </w:tc>
        <w:tc>
          <w:tcPr>
            <w:tcW w:w="352" w:type="dxa"/>
            <w:tcBorders>
              <w:top w:val="nil"/>
              <w:left w:val="nil"/>
              <w:bottom w:val="single" w:sz="4" w:space="0" w:color="FFFFFF"/>
              <w:right w:val="nil"/>
            </w:tcBorders>
            <w:shd w:val="clear" w:color="auto" w:fill="auto"/>
            <w:noWrap/>
            <w:vAlign w:val="bottom"/>
            <w:hideMark/>
          </w:tcPr>
          <w:p w14:paraId="020A9454" w14:textId="77777777" w:rsidR="00271045" w:rsidRPr="0074072A" w:rsidRDefault="00271045" w:rsidP="00D72B52">
            <w:pPr>
              <w:pStyle w:val="MText"/>
              <w:rPr>
                <w:b/>
                <w:bCs/>
                <w:lang w:val="en-US"/>
              </w:rPr>
            </w:pPr>
            <w:r w:rsidRPr="0074072A">
              <w:rPr>
                <w:b/>
                <w:bCs/>
                <w:lang w:val="en-US"/>
              </w:rPr>
              <w:t> </w:t>
            </w:r>
          </w:p>
        </w:tc>
        <w:tc>
          <w:tcPr>
            <w:tcW w:w="1268" w:type="dxa"/>
            <w:vMerge/>
            <w:tcBorders>
              <w:top w:val="nil"/>
              <w:left w:val="single" w:sz="8" w:space="0" w:color="auto"/>
              <w:bottom w:val="single" w:sz="8" w:space="0" w:color="000000"/>
              <w:right w:val="single" w:sz="8" w:space="0" w:color="auto"/>
            </w:tcBorders>
            <w:vAlign w:val="center"/>
            <w:hideMark/>
          </w:tcPr>
          <w:p w14:paraId="6AE902D3" w14:textId="77777777" w:rsidR="00271045" w:rsidRPr="0074072A" w:rsidRDefault="00271045" w:rsidP="00D72B52">
            <w:pPr>
              <w:pStyle w:val="MText"/>
              <w:rPr>
                <w:b/>
                <w:bCs/>
                <w:i/>
                <w:iCs/>
                <w:lang w:val="en-US"/>
              </w:rPr>
            </w:pPr>
          </w:p>
        </w:tc>
        <w:tc>
          <w:tcPr>
            <w:tcW w:w="2070" w:type="dxa"/>
            <w:tcBorders>
              <w:top w:val="nil"/>
              <w:left w:val="nil"/>
              <w:bottom w:val="single" w:sz="4" w:space="0" w:color="FFFFFF"/>
              <w:right w:val="nil"/>
            </w:tcBorders>
            <w:shd w:val="clear" w:color="auto" w:fill="auto"/>
            <w:noWrap/>
            <w:vAlign w:val="bottom"/>
            <w:hideMark/>
          </w:tcPr>
          <w:p w14:paraId="081E4E39" w14:textId="77777777" w:rsidR="00271045" w:rsidRPr="0074072A" w:rsidRDefault="00271045" w:rsidP="00D72B52">
            <w:pPr>
              <w:pStyle w:val="MText"/>
              <w:rPr>
                <w:lang w:val="en-US"/>
              </w:rPr>
            </w:pPr>
            <w:r w:rsidRPr="0074072A">
              <w:rPr>
                <w:lang w:val="en-US"/>
              </w:rPr>
              <w:t>2.6</w:t>
            </w:r>
          </w:p>
        </w:tc>
        <w:tc>
          <w:tcPr>
            <w:tcW w:w="905" w:type="dxa"/>
            <w:tcBorders>
              <w:top w:val="nil"/>
              <w:left w:val="single" w:sz="4" w:space="0" w:color="auto"/>
              <w:bottom w:val="single" w:sz="4" w:space="0" w:color="FFFFFF"/>
              <w:right w:val="single" w:sz="8" w:space="0" w:color="auto"/>
            </w:tcBorders>
            <w:shd w:val="clear" w:color="auto" w:fill="auto"/>
            <w:noWrap/>
            <w:vAlign w:val="bottom"/>
            <w:hideMark/>
          </w:tcPr>
          <w:p w14:paraId="0DAB849A" w14:textId="77777777" w:rsidR="00271045" w:rsidRPr="0074072A" w:rsidRDefault="00271045" w:rsidP="00D72B52">
            <w:pPr>
              <w:pStyle w:val="MText"/>
              <w:rPr>
                <w:lang w:val="en-US"/>
              </w:rPr>
            </w:pPr>
            <w:r w:rsidRPr="0074072A">
              <w:rPr>
                <w:lang w:val="en-US"/>
              </w:rPr>
              <w:t>0.03</w:t>
            </w:r>
          </w:p>
        </w:tc>
      </w:tr>
      <w:tr w:rsidR="00271045" w:rsidRPr="0074072A" w14:paraId="0D871600" w14:textId="77777777" w:rsidTr="000A3278">
        <w:trPr>
          <w:trHeight w:val="300"/>
          <w:jc w:val="center"/>
        </w:trPr>
        <w:tc>
          <w:tcPr>
            <w:tcW w:w="3680" w:type="dxa"/>
            <w:gridSpan w:val="3"/>
            <w:vMerge w:val="restart"/>
            <w:tcBorders>
              <w:top w:val="nil"/>
              <w:left w:val="single" w:sz="4" w:space="0" w:color="FFFFFF"/>
              <w:bottom w:val="single" w:sz="4" w:space="0" w:color="FFFFFF"/>
              <w:right w:val="single" w:sz="4" w:space="0" w:color="FFFFFF"/>
            </w:tcBorders>
            <w:shd w:val="clear" w:color="auto" w:fill="auto"/>
            <w:vAlign w:val="bottom"/>
            <w:hideMark/>
          </w:tcPr>
          <w:p w14:paraId="1ECD8F85" w14:textId="77777777" w:rsidR="00271045" w:rsidRPr="0074072A" w:rsidRDefault="00271045" w:rsidP="00D72B52">
            <w:pPr>
              <w:pStyle w:val="MText"/>
              <w:rPr>
                <w:lang w:val="en-US"/>
              </w:rPr>
            </w:pPr>
            <w:r w:rsidRPr="0074072A">
              <w:rPr>
                <w:i/>
                <w:iCs/>
                <w:vertAlign w:val="superscript"/>
                <w:lang w:val="en-US"/>
              </w:rPr>
              <w:t>1</w:t>
            </w:r>
            <w:r w:rsidRPr="0074072A">
              <w:rPr>
                <w:vertAlign w:val="superscript"/>
                <w:lang w:val="en-US"/>
              </w:rPr>
              <w:t xml:space="preserve"> </w:t>
            </w:r>
            <w:r w:rsidRPr="0074072A">
              <w:rPr>
                <w:lang w:val="en-US"/>
              </w:rPr>
              <w:t xml:space="preserve">Sub-variable 1.5 is only weighted when a response of 'yes' is provided along with supporting details in the text form. </w:t>
            </w:r>
          </w:p>
        </w:tc>
        <w:tc>
          <w:tcPr>
            <w:tcW w:w="352" w:type="dxa"/>
            <w:tcBorders>
              <w:top w:val="nil"/>
              <w:left w:val="nil"/>
              <w:bottom w:val="single" w:sz="4" w:space="0" w:color="FFFFFF"/>
              <w:right w:val="nil"/>
            </w:tcBorders>
            <w:shd w:val="clear" w:color="auto" w:fill="auto"/>
            <w:noWrap/>
            <w:vAlign w:val="bottom"/>
            <w:hideMark/>
          </w:tcPr>
          <w:p w14:paraId="4F07AE58" w14:textId="77777777" w:rsidR="00271045" w:rsidRPr="0074072A" w:rsidRDefault="00271045" w:rsidP="00D72B52">
            <w:pPr>
              <w:pStyle w:val="MText"/>
              <w:rPr>
                <w:lang w:val="en-US"/>
              </w:rPr>
            </w:pPr>
            <w:r w:rsidRPr="0074072A">
              <w:rPr>
                <w:lang w:val="en-US"/>
              </w:rPr>
              <w:t> </w:t>
            </w:r>
          </w:p>
        </w:tc>
        <w:tc>
          <w:tcPr>
            <w:tcW w:w="1268" w:type="dxa"/>
            <w:vMerge/>
            <w:tcBorders>
              <w:top w:val="nil"/>
              <w:left w:val="single" w:sz="8" w:space="0" w:color="auto"/>
              <w:bottom w:val="single" w:sz="8" w:space="0" w:color="000000"/>
              <w:right w:val="single" w:sz="8" w:space="0" w:color="auto"/>
            </w:tcBorders>
            <w:vAlign w:val="center"/>
            <w:hideMark/>
          </w:tcPr>
          <w:p w14:paraId="74B83551" w14:textId="77777777" w:rsidR="00271045" w:rsidRPr="0074072A" w:rsidRDefault="00271045" w:rsidP="00D72B52">
            <w:pPr>
              <w:pStyle w:val="MText"/>
              <w:rPr>
                <w:b/>
                <w:bCs/>
                <w:i/>
                <w:iCs/>
                <w:lang w:val="en-US"/>
              </w:rPr>
            </w:pPr>
          </w:p>
        </w:tc>
        <w:tc>
          <w:tcPr>
            <w:tcW w:w="2070" w:type="dxa"/>
            <w:tcBorders>
              <w:top w:val="nil"/>
              <w:left w:val="nil"/>
              <w:bottom w:val="single" w:sz="4" w:space="0" w:color="FFFFFF"/>
              <w:right w:val="nil"/>
            </w:tcBorders>
            <w:shd w:val="clear" w:color="auto" w:fill="auto"/>
            <w:noWrap/>
            <w:vAlign w:val="bottom"/>
            <w:hideMark/>
          </w:tcPr>
          <w:p w14:paraId="59E24BFA" w14:textId="77777777" w:rsidR="00271045" w:rsidRPr="0074072A" w:rsidRDefault="00271045" w:rsidP="00D72B52">
            <w:pPr>
              <w:pStyle w:val="MText"/>
              <w:rPr>
                <w:lang w:val="en-US"/>
              </w:rPr>
            </w:pPr>
            <w:r w:rsidRPr="0074072A">
              <w:rPr>
                <w:lang w:val="en-US"/>
              </w:rPr>
              <w:t>2.7</w:t>
            </w:r>
          </w:p>
        </w:tc>
        <w:tc>
          <w:tcPr>
            <w:tcW w:w="905" w:type="dxa"/>
            <w:tcBorders>
              <w:top w:val="nil"/>
              <w:left w:val="single" w:sz="4" w:space="0" w:color="auto"/>
              <w:bottom w:val="single" w:sz="4" w:space="0" w:color="FFFFFF"/>
              <w:right w:val="single" w:sz="8" w:space="0" w:color="auto"/>
            </w:tcBorders>
            <w:shd w:val="clear" w:color="auto" w:fill="auto"/>
            <w:noWrap/>
            <w:vAlign w:val="bottom"/>
            <w:hideMark/>
          </w:tcPr>
          <w:p w14:paraId="598990DB" w14:textId="77777777" w:rsidR="00271045" w:rsidRPr="0074072A" w:rsidRDefault="00271045" w:rsidP="00D72B52">
            <w:pPr>
              <w:pStyle w:val="MText"/>
              <w:rPr>
                <w:lang w:val="en-US"/>
              </w:rPr>
            </w:pPr>
            <w:r w:rsidRPr="0074072A">
              <w:rPr>
                <w:lang w:val="en-US"/>
              </w:rPr>
              <w:t>0.03</w:t>
            </w:r>
          </w:p>
        </w:tc>
      </w:tr>
      <w:tr w:rsidR="00271045" w:rsidRPr="0074072A" w14:paraId="3C08EC0A" w14:textId="77777777" w:rsidTr="000A3278">
        <w:trPr>
          <w:trHeight w:val="300"/>
          <w:jc w:val="center"/>
        </w:trPr>
        <w:tc>
          <w:tcPr>
            <w:tcW w:w="3680" w:type="dxa"/>
            <w:gridSpan w:val="3"/>
            <w:vMerge/>
            <w:tcBorders>
              <w:top w:val="nil"/>
              <w:left w:val="single" w:sz="4" w:space="0" w:color="FFFFFF"/>
              <w:bottom w:val="single" w:sz="4" w:space="0" w:color="FFFFFF"/>
              <w:right w:val="single" w:sz="4" w:space="0" w:color="FFFFFF"/>
            </w:tcBorders>
            <w:vAlign w:val="center"/>
            <w:hideMark/>
          </w:tcPr>
          <w:p w14:paraId="1263BBD2" w14:textId="77777777" w:rsidR="00271045" w:rsidRPr="0074072A" w:rsidRDefault="00271045" w:rsidP="00D72B52">
            <w:pPr>
              <w:pStyle w:val="MText"/>
              <w:rPr>
                <w:lang w:val="en-US"/>
              </w:rPr>
            </w:pPr>
          </w:p>
        </w:tc>
        <w:tc>
          <w:tcPr>
            <w:tcW w:w="352" w:type="dxa"/>
            <w:tcBorders>
              <w:top w:val="nil"/>
              <w:left w:val="nil"/>
              <w:bottom w:val="single" w:sz="4" w:space="0" w:color="FFFFFF"/>
              <w:right w:val="nil"/>
            </w:tcBorders>
            <w:shd w:val="clear" w:color="auto" w:fill="auto"/>
            <w:noWrap/>
            <w:vAlign w:val="bottom"/>
            <w:hideMark/>
          </w:tcPr>
          <w:p w14:paraId="17291526" w14:textId="77777777" w:rsidR="00271045" w:rsidRPr="0074072A" w:rsidRDefault="00271045" w:rsidP="00D72B52">
            <w:pPr>
              <w:pStyle w:val="MText"/>
              <w:rPr>
                <w:lang w:val="en-US"/>
              </w:rPr>
            </w:pPr>
            <w:r w:rsidRPr="0074072A">
              <w:rPr>
                <w:lang w:val="en-US"/>
              </w:rPr>
              <w:t> </w:t>
            </w:r>
          </w:p>
        </w:tc>
        <w:tc>
          <w:tcPr>
            <w:tcW w:w="1268" w:type="dxa"/>
            <w:vMerge/>
            <w:tcBorders>
              <w:top w:val="nil"/>
              <w:left w:val="single" w:sz="8" w:space="0" w:color="auto"/>
              <w:bottom w:val="single" w:sz="8" w:space="0" w:color="000000"/>
              <w:right w:val="single" w:sz="8" w:space="0" w:color="auto"/>
            </w:tcBorders>
            <w:vAlign w:val="center"/>
            <w:hideMark/>
          </w:tcPr>
          <w:p w14:paraId="1E1D0C94" w14:textId="77777777" w:rsidR="00271045" w:rsidRPr="0074072A" w:rsidRDefault="00271045" w:rsidP="00D72B52">
            <w:pPr>
              <w:pStyle w:val="MText"/>
              <w:rPr>
                <w:b/>
                <w:bCs/>
                <w:i/>
                <w:iCs/>
                <w:lang w:val="en-US"/>
              </w:rPr>
            </w:pPr>
          </w:p>
        </w:tc>
        <w:tc>
          <w:tcPr>
            <w:tcW w:w="2070" w:type="dxa"/>
            <w:tcBorders>
              <w:top w:val="nil"/>
              <w:left w:val="nil"/>
              <w:bottom w:val="single" w:sz="4" w:space="0" w:color="FFFFFF"/>
              <w:right w:val="nil"/>
            </w:tcBorders>
            <w:shd w:val="clear" w:color="auto" w:fill="auto"/>
            <w:noWrap/>
            <w:vAlign w:val="center"/>
            <w:hideMark/>
          </w:tcPr>
          <w:p w14:paraId="5B783EF7" w14:textId="77777777" w:rsidR="00271045" w:rsidRPr="0074072A" w:rsidRDefault="00271045" w:rsidP="00D72B52">
            <w:pPr>
              <w:pStyle w:val="MText"/>
              <w:rPr>
                <w:lang w:val="en-US"/>
              </w:rPr>
            </w:pPr>
            <w:r w:rsidRPr="0074072A">
              <w:rPr>
                <w:lang w:val="en-US"/>
              </w:rPr>
              <w:t>2.8</w:t>
            </w:r>
          </w:p>
        </w:tc>
        <w:tc>
          <w:tcPr>
            <w:tcW w:w="905" w:type="dxa"/>
            <w:tcBorders>
              <w:top w:val="nil"/>
              <w:left w:val="single" w:sz="4" w:space="0" w:color="auto"/>
              <w:bottom w:val="single" w:sz="4" w:space="0" w:color="FFFFFF"/>
              <w:right w:val="single" w:sz="8" w:space="0" w:color="auto"/>
            </w:tcBorders>
            <w:shd w:val="clear" w:color="auto" w:fill="auto"/>
            <w:noWrap/>
            <w:vAlign w:val="bottom"/>
            <w:hideMark/>
          </w:tcPr>
          <w:p w14:paraId="2F146239" w14:textId="77777777" w:rsidR="00271045" w:rsidRPr="0074072A" w:rsidRDefault="00271045" w:rsidP="00D72B52">
            <w:pPr>
              <w:pStyle w:val="MText"/>
              <w:rPr>
                <w:lang w:val="en-US"/>
              </w:rPr>
            </w:pPr>
            <w:r w:rsidRPr="0074072A">
              <w:rPr>
                <w:lang w:val="en-US"/>
              </w:rPr>
              <w:t>0.03</w:t>
            </w:r>
          </w:p>
        </w:tc>
      </w:tr>
      <w:tr w:rsidR="00271045" w:rsidRPr="0074072A" w14:paraId="653C3DC4" w14:textId="77777777" w:rsidTr="000A3278">
        <w:trPr>
          <w:trHeight w:val="300"/>
          <w:jc w:val="center"/>
        </w:trPr>
        <w:tc>
          <w:tcPr>
            <w:tcW w:w="3680" w:type="dxa"/>
            <w:gridSpan w:val="3"/>
            <w:vMerge/>
            <w:tcBorders>
              <w:top w:val="nil"/>
              <w:left w:val="single" w:sz="4" w:space="0" w:color="FFFFFF"/>
              <w:bottom w:val="single" w:sz="4" w:space="0" w:color="FFFFFF"/>
              <w:right w:val="single" w:sz="4" w:space="0" w:color="FFFFFF"/>
            </w:tcBorders>
            <w:vAlign w:val="center"/>
            <w:hideMark/>
          </w:tcPr>
          <w:p w14:paraId="3D54127A" w14:textId="77777777" w:rsidR="00271045" w:rsidRPr="0074072A" w:rsidRDefault="00271045" w:rsidP="00D72B52">
            <w:pPr>
              <w:pStyle w:val="MText"/>
              <w:rPr>
                <w:lang w:val="en-US"/>
              </w:rPr>
            </w:pPr>
          </w:p>
        </w:tc>
        <w:tc>
          <w:tcPr>
            <w:tcW w:w="352" w:type="dxa"/>
            <w:tcBorders>
              <w:top w:val="nil"/>
              <w:left w:val="nil"/>
              <w:bottom w:val="single" w:sz="4" w:space="0" w:color="FFFFFF"/>
              <w:right w:val="nil"/>
            </w:tcBorders>
            <w:shd w:val="clear" w:color="auto" w:fill="auto"/>
            <w:noWrap/>
            <w:vAlign w:val="bottom"/>
            <w:hideMark/>
          </w:tcPr>
          <w:p w14:paraId="5D5599CD" w14:textId="77777777" w:rsidR="00271045" w:rsidRPr="0074072A" w:rsidRDefault="00271045" w:rsidP="00D72B52">
            <w:pPr>
              <w:pStyle w:val="MText"/>
              <w:rPr>
                <w:lang w:val="en-US"/>
              </w:rPr>
            </w:pPr>
            <w:r w:rsidRPr="0074072A">
              <w:rPr>
                <w:lang w:val="en-US"/>
              </w:rPr>
              <w:t> </w:t>
            </w:r>
          </w:p>
        </w:tc>
        <w:tc>
          <w:tcPr>
            <w:tcW w:w="1268" w:type="dxa"/>
            <w:vMerge/>
            <w:tcBorders>
              <w:top w:val="nil"/>
              <w:left w:val="single" w:sz="8" w:space="0" w:color="auto"/>
              <w:bottom w:val="single" w:sz="8" w:space="0" w:color="000000"/>
              <w:right w:val="single" w:sz="8" w:space="0" w:color="auto"/>
            </w:tcBorders>
            <w:vAlign w:val="center"/>
            <w:hideMark/>
          </w:tcPr>
          <w:p w14:paraId="37FA3241" w14:textId="77777777" w:rsidR="00271045" w:rsidRPr="0074072A" w:rsidRDefault="00271045" w:rsidP="00D72B52">
            <w:pPr>
              <w:pStyle w:val="MText"/>
              <w:rPr>
                <w:b/>
                <w:bCs/>
                <w:i/>
                <w:iCs/>
                <w:lang w:val="en-US"/>
              </w:rPr>
            </w:pPr>
          </w:p>
        </w:tc>
        <w:tc>
          <w:tcPr>
            <w:tcW w:w="2070" w:type="dxa"/>
            <w:tcBorders>
              <w:top w:val="nil"/>
              <w:left w:val="nil"/>
              <w:bottom w:val="single" w:sz="4" w:space="0" w:color="FFFFFF"/>
              <w:right w:val="nil"/>
            </w:tcBorders>
            <w:shd w:val="clear" w:color="auto" w:fill="auto"/>
            <w:noWrap/>
            <w:vAlign w:val="center"/>
            <w:hideMark/>
          </w:tcPr>
          <w:p w14:paraId="1466A6DB" w14:textId="77777777" w:rsidR="00271045" w:rsidRPr="0074072A" w:rsidRDefault="00271045" w:rsidP="00D72B52">
            <w:pPr>
              <w:pStyle w:val="MText"/>
              <w:rPr>
                <w:lang w:val="en-US"/>
              </w:rPr>
            </w:pPr>
            <w:r w:rsidRPr="0074072A">
              <w:rPr>
                <w:lang w:val="en-US"/>
              </w:rPr>
              <w:t>2.9</w:t>
            </w:r>
          </w:p>
        </w:tc>
        <w:tc>
          <w:tcPr>
            <w:tcW w:w="905" w:type="dxa"/>
            <w:tcBorders>
              <w:top w:val="nil"/>
              <w:left w:val="single" w:sz="4" w:space="0" w:color="auto"/>
              <w:bottom w:val="single" w:sz="4" w:space="0" w:color="FFFFFF"/>
              <w:right w:val="single" w:sz="8" w:space="0" w:color="auto"/>
            </w:tcBorders>
            <w:shd w:val="clear" w:color="auto" w:fill="auto"/>
            <w:noWrap/>
            <w:vAlign w:val="bottom"/>
            <w:hideMark/>
          </w:tcPr>
          <w:p w14:paraId="411BDEB9" w14:textId="77777777" w:rsidR="00271045" w:rsidRPr="0074072A" w:rsidRDefault="00271045" w:rsidP="00D72B52">
            <w:pPr>
              <w:pStyle w:val="MText"/>
              <w:rPr>
                <w:lang w:val="en-US"/>
              </w:rPr>
            </w:pPr>
            <w:r w:rsidRPr="0074072A">
              <w:rPr>
                <w:lang w:val="en-US"/>
              </w:rPr>
              <w:t>0.03</w:t>
            </w:r>
          </w:p>
        </w:tc>
      </w:tr>
      <w:tr w:rsidR="00271045" w:rsidRPr="0074072A" w14:paraId="3115524F" w14:textId="77777777" w:rsidTr="000A3278">
        <w:trPr>
          <w:trHeight w:val="315"/>
          <w:jc w:val="center"/>
        </w:trPr>
        <w:tc>
          <w:tcPr>
            <w:tcW w:w="1134" w:type="dxa"/>
            <w:tcBorders>
              <w:top w:val="nil"/>
              <w:left w:val="single" w:sz="4" w:space="0" w:color="FFFFFF"/>
              <w:bottom w:val="single" w:sz="4" w:space="0" w:color="FFFFFF"/>
              <w:right w:val="single" w:sz="4" w:space="0" w:color="FFFFFF"/>
            </w:tcBorders>
            <w:shd w:val="clear" w:color="auto" w:fill="auto"/>
            <w:noWrap/>
            <w:vAlign w:val="bottom"/>
            <w:hideMark/>
          </w:tcPr>
          <w:p w14:paraId="531A6AE2" w14:textId="77777777" w:rsidR="00271045" w:rsidRPr="0074072A" w:rsidRDefault="00271045" w:rsidP="00D72B52">
            <w:pPr>
              <w:pStyle w:val="MText"/>
              <w:rPr>
                <w:lang w:val="en-US"/>
              </w:rPr>
            </w:pPr>
            <w:r w:rsidRPr="0074072A">
              <w:rPr>
                <w:lang w:val="en-US"/>
              </w:rPr>
              <w:t> </w:t>
            </w:r>
          </w:p>
        </w:tc>
        <w:tc>
          <w:tcPr>
            <w:tcW w:w="1376" w:type="dxa"/>
            <w:tcBorders>
              <w:top w:val="nil"/>
              <w:left w:val="nil"/>
              <w:bottom w:val="single" w:sz="4" w:space="0" w:color="FFFFFF"/>
              <w:right w:val="single" w:sz="4" w:space="0" w:color="FFFFFF"/>
            </w:tcBorders>
            <w:shd w:val="clear" w:color="auto" w:fill="auto"/>
            <w:noWrap/>
            <w:vAlign w:val="bottom"/>
            <w:hideMark/>
          </w:tcPr>
          <w:p w14:paraId="37834269" w14:textId="77777777" w:rsidR="00271045" w:rsidRPr="0074072A" w:rsidRDefault="00271045" w:rsidP="00D72B52">
            <w:pPr>
              <w:pStyle w:val="MText"/>
              <w:rPr>
                <w:lang w:val="en-US"/>
              </w:rPr>
            </w:pPr>
            <w:r w:rsidRPr="0074072A">
              <w:rPr>
                <w:lang w:val="en-US"/>
              </w:rPr>
              <w:t> </w:t>
            </w:r>
          </w:p>
        </w:tc>
        <w:tc>
          <w:tcPr>
            <w:tcW w:w="1170" w:type="dxa"/>
            <w:tcBorders>
              <w:top w:val="nil"/>
              <w:left w:val="nil"/>
              <w:bottom w:val="single" w:sz="4" w:space="0" w:color="FFFFFF"/>
              <w:right w:val="single" w:sz="4" w:space="0" w:color="FFFFFF"/>
            </w:tcBorders>
            <w:shd w:val="clear" w:color="auto" w:fill="auto"/>
            <w:noWrap/>
            <w:vAlign w:val="bottom"/>
            <w:hideMark/>
          </w:tcPr>
          <w:p w14:paraId="4197759C" w14:textId="77777777" w:rsidR="00271045" w:rsidRPr="0074072A" w:rsidRDefault="00271045" w:rsidP="00D72B52">
            <w:pPr>
              <w:pStyle w:val="MText"/>
              <w:rPr>
                <w:lang w:val="en-US"/>
              </w:rPr>
            </w:pPr>
            <w:r w:rsidRPr="0074072A">
              <w:rPr>
                <w:lang w:val="en-US"/>
              </w:rPr>
              <w:t> </w:t>
            </w:r>
          </w:p>
        </w:tc>
        <w:tc>
          <w:tcPr>
            <w:tcW w:w="352" w:type="dxa"/>
            <w:tcBorders>
              <w:top w:val="nil"/>
              <w:left w:val="nil"/>
              <w:bottom w:val="single" w:sz="4" w:space="0" w:color="FFFFFF"/>
              <w:right w:val="nil"/>
            </w:tcBorders>
            <w:shd w:val="clear" w:color="auto" w:fill="auto"/>
            <w:noWrap/>
            <w:vAlign w:val="bottom"/>
            <w:hideMark/>
          </w:tcPr>
          <w:p w14:paraId="6A87B5BD" w14:textId="77777777" w:rsidR="00271045" w:rsidRPr="0074072A" w:rsidRDefault="00271045" w:rsidP="00D72B52">
            <w:pPr>
              <w:pStyle w:val="MText"/>
              <w:rPr>
                <w:lang w:val="en-US"/>
              </w:rPr>
            </w:pPr>
            <w:r w:rsidRPr="0074072A">
              <w:rPr>
                <w:lang w:val="en-US"/>
              </w:rPr>
              <w:t> </w:t>
            </w:r>
          </w:p>
        </w:tc>
        <w:tc>
          <w:tcPr>
            <w:tcW w:w="1268" w:type="dxa"/>
            <w:vMerge/>
            <w:tcBorders>
              <w:top w:val="nil"/>
              <w:left w:val="single" w:sz="8" w:space="0" w:color="auto"/>
              <w:bottom w:val="single" w:sz="8" w:space="0" w:color="000000"/>
              <w:right w:val="single" w:sz="8" w:space="0" w:color="auto"/>
            </w:tcBorders>
            <w:vAlign w:val="center"/>
            <w:hideMark/>
          </w:tcPr>
          <w:p w14:paraId="73540C38" w14:textId="77777777" w:rsidR="00271045" w:rsidRPr="0074072A" w:rsidRDefault="00271045" w:rsidP="00D72B52">
            <w:pPr>
              <w:pStyle w:val="MText"/>
              <w:rPr>
                <w:b/>
                <w:bCs/>
                <w:i/>
                <w:iCs/>
                <w:lang w:val="en-US"/>
              </w:rPr>
            </w:pPr>
          </w:p>
        </w:tc>
        <w:tc>
          <w:tcPr>
            <w:tcW w:w="2070" w:type="dxa"/>
            <w:tcBorders>
              <w:top w:val="nil"/>
              <w:left w:val="nil"/>
              <w:bottom w:val="nil"/>
              <w:right w:val="nil"/>
            </w:tcBorders>
            <w:shd w:val="clear" w:color="auto" w:fill="auto"/>
            <w:noWrap/>
            <w:vAlign w:val="center"/>
            <w:hideMark/>
          </w:tcPr>
          <w:p w14:paraId="7A65A425" w14:textId="77777777" w:rsidR="00271045" w:rsidRPr="0074072A" w:rsidRDefault="00271045" w:rsidP="00D72B52">
            <w:pPr>
              <w:pStyle w:val="MText"/>
              <w:rPr>
                <w:lang w:val="en-US"/>
              </w:rPr>
            </w:pPr>
            <w:r w:rsidRPr="0074072A">
              <w:rPr>
                <w:lang w:val="en-US"/>
              </w:rPr>
              <w:t>2.10</w:t>
            </w:r>
          </w:p>
        </w:tc>
        <w:tc>
          <w:tcPr>
            <w:tcW w:w="905" w:type="dxa"/>
            <w:tcBorders>
              <w:top w:val="nil"/>
              <w:left w:val="single" w:sz="4" w:space="0" w:color="auto"/>
              <w:bottom w:val="nil"/>
              <w:right w:val="single" w:sz="8" w:space="0" w:color="auto"/>
            </w:tcBorders>
            <w:shd w:val="clear" w:color="auto" w:fill="auto"/>
            <w:noWrap/>
            <w:vAlign w:val="bottom"/>
            <w:hideMark/>
          </w:tcPr>
          <w:p w14:paraId="28571D8C" w14:textId="77777777" w:rsidR="00271045" w:rsidRPr="0074072A" w:rsidRDefault="00271045" w:rsidP="00D72B52">
            <w:pPr>
              <w:pStyle w:val="MText"/>
              <w:rPr>
                <w:lang w:val="en-US"/>
              </w:rPr>
            </w:pPr>
            <w:r w:rsidRPr="0074072A">
              <w:rPr>
                <w:lang w:val="en-US"/>
              </w:rPr>
              <w:t>0.03</w:t>
            </w:r>
          </w:p>
        </w:tc>
      </w:tr>
      <w:tr w:rsidR="00271045" w:rsidRPr="0074072A" w14:paraId="1C9C48BB" w14:textId="77777777" w:rsidTr="000A3278">
        <w:trPr>
          <w:trHeight w:val="60"/>
          <w:jc w:val="center"/>
        </w:trPr>
        <w:tc>
          <w:tcPr>
            <w:tcW w:w="1134" w:type="dxa"/>
            <w:tcBorders>
              <w:top w:val="nil"/>
              <w:left w:val="single" w:sz="4" w:space="0" w:color="FFFFFF"/>
              <w:bottom w:val="single" w:sz="4" w:space="0" w:color="FFFFFF"/>
              <w:right w:val="single" w:sz="4" w:space="0" w:color="FFFFFF"/>
            </w:tcBorders>
            <w:shd w:val="clear" w:color="auto" w:fill="auto"/>
            <w:noWrap/>
            <w:vAlign w:val="bottom"/>
            <w:hideMark/>
          </w:tcPr>
          <w:p w14:paraId="1A03815C" w14:textId="77777777" w:rsidR="00271045" w:rsidRPr="0074072A" w:rsidRDefault="00271045" w:rsidP="00D72B52">
            <w:pPr>
              <w:pStyle w:val="MText"/>
              <w:rPr>
                <w:lang w:val="en-US"/>
              </w:rPr>
            </w:pPr>
            <w:r w:rsidRPr="0074072A">
              <w:rPr>
                <w:lang w:val="en-US"/>
              </w:rPr>
              <w:t> </w:t>
            </w:r>
          </w:p>
        </w:tc>
        <w:tc>
          <w:tcPr>
            <w:tcW w:w="1376" w:type="dxa"/>
            <w:tcBorders>
              <w:top w:val="nil"/>
              <w:left w:val="nil"/>
              <w:bottom w:val="single" w:sz="4" w:space="0" w:color="FFFFFF"/>
              <w:right w:val="single" w:sz="4" w:space="0" w:color="FFFFFF"/>
            </w:tcBorders>
            <w:shd w:val="clear" w:color="auto" w:fill="auto"/>
            <w:noWrap/>
            <w:vAlign w:val="bottom"/>
            <w:hideMark/>
          </w:tcPr>
          <w:p w14:paraId="1386660A" w14:textId="77777777" w:rsidR="00271045" w:rsidRPr="0074072A" w:rsidRDefault="00271045" w:rsidP="00D72B52">
            <w:pPr>
              <w:pStyle w:val="MText"/>
              <w:rPr>
                <w:lang w:val="en-US"/>
              </w:rPr>
            </w:pPr>
            <w:r w:rsidRPr="0074072A">
              <w:rPr>
                <w:lang w:val="en-US"/>
              </w:rPr>
              <w:t> </w:t>
            </w:r>
          </w:p>
        </w:tc>
        <w:tc>
          <w:tcPr>
            <w:tcW w:w="1170" w:type="dxa"/>
            <w:tcBorders>
              <w:top w:val="nil"/>
              <w:left w:val="nil"/>
              <w:bottom w:val="single" w:sz="4" w:space="0" w:color="FFFFFF"/>
              <w:right w:val="single" w:sz="4" w:space="0" w:color="FFFFFF"/>
            </w:tcBorders>
            <w:shd w:val="clear" w:color="auto" w:fill="auto"/>
            <w:noWrap/>
            <w:vAlign w:val="bottom"/>
            <w:hideMark/>
          </w:tcPr>
          <w:p w14:paraId="26054947" w14:textId="77777777" w:rsidR="00271045" w:rsidRPr="0074072A" w:rsidRDefault="00271045" w:rsidP="00D72B52">
            <w:pPr>
              <w:pStyle w:val="MText"/>
              <w:rPr>
                <w:lang w:val="en-US"/>
              </w:rPr>
            </w:pPr>
            <w:r w:rsidRPr="0074072A">
              <w:rPr>
                <w:lang w:val="en-US"/>
              </w:rPr>
              <w:t> </w:t>
            </w:r>
          </w:p>
        </w:tc>
        <w:tc>
          <w:tcPr>
            <w:tcW w:w="352" w:type="dxa"/>
            <w:tcBorders>
              <w:top w:val="nil"/>
              <w:left w:val="nil"/>
              <w:bottom w:val="single" w:sz="4" w:space="0" w:color="FFFFFF"/>
              <w:right w:val="nil"/>
            </w:tcBorders>
            <w:shd w:val="clear" w:color="auto" w:fill="auto"/>
            <w:noWrap/>
            <w:vAlign w:val="bottom"/>
            <w:hideMark/>
          </w:tcPr>
          <w:p w14:paraId="33D8F2C0" w14:textId="77777777" w:rsidR="00271045" w:rsidRPr="0074072A" w:rsidRDefault="00271045" w:rsidP="00D72B52">
            <w:pPr>
              <w:pStyle w:val="MText"/>
              <w:rPr>
                <w:lang w:val="en-US"/>
              </w:rPr>
            </w:pPr>
            <w:r w:rsidRPr="0074072A">
              <w:rPr>
                <w:lang w:val="en-US"/>
              </w:rPr>
              <w:t> </w:t>
            </w:r>
          </w:p>
        </w:tc>
        <w:tc>
          <w:tcPr>
            <w:tcW w:w="1268" w:type="dxa"/>
            <w:vMerge/>
            <w:tcBorders>
              <w:top w:val="nil"/>
              <w:left w:val="single" w:sz="8" w:space="0" w:color="auto"/>
              <w:bottom w:val="single" w:sz="8" w:space="0" w:color="000000"/>
              <w:right w:val="single" w:sz="8" w:space="0" w:color="auto"/>
            </w:tcBorders>
            <w:vAlign w:val="center"/>
            <w:hideMark/>
          </w:tcPr>
          <w:p w14:paraId="24E56DF1" w14:textId="77777777" w:rsidR="00271045" w:rsidRPr="0074072A" w:rsidRDefault="00271045" w:rsidP="00D72B52">
            <w:pPr>
              <w:pStyle w:val="MText"/>
              <w:rPr>
                <w:b/>
                <w:bCs/>
                <w:i/>
                <w:iCs/>
                <w:lang w:val="en-US"/>
              </w:rPr>
            </w:pPr>
          </w:p>
        </w:tc>
        <w:tc>
          <w:tcPr>
            <w:tcW w:w="2070" w:type="dxa"/>
            <w:tcBorders>
              <w:top w:val="single" w:sz="8" w:space="0" w:color="auto"/>
              <w:left w:val="single" w:sz="8" w:space="0" w:color="auto"/>
              <w:bottom w:val="single" w:sz="8" w:space="0" w:color="auto"/>
              <w:right w:val="nil"/>
            </w:tcBorders>
            <w:shd w:val="clear" w:color="auto" w:fill="auto"/>
            <w:noWrap/>
            <w:vAlign w:val="bottom"/>
            <w:hideMark/>
          </w:tcPr>
          <w:p w14:paraId="10B78740" w14:textId="77777777" w:rsidR="00271045" w:rsidRPr="0074072A" w:rsidRDefault="00271045" w:rsidP="00D72B52">
            <w:pPr>
              <w:pStyle w:val="MText"/>
              <w:rPr>
                <w:b/>
                <w:bCs/>
                <w:lang w:val="en-US"/>
              </w:rPr>
            </w:pPr>
            <w:r w:rsidRPr="0074072A">
              <w:rPr>
                <w:b/>
                <w:bCs/>
                <w:lang w:val="en-US"/>
              </w:rPr>
              <w:t>Indicator weight</w:t>
            </w:r>
          </w:p>
        </w:tc>
        <w:tc>
          <w:tcPr>
            <w:tcW w:w="905" w:type="dxa"/>
            <w:tcBorders>
              <w:top w:val="single" w:sz="8" w:space="0" w:color="auto"/>
              <w:left w:val="single" w:sz="4" w:space="0" w:color="auto"/>
              <w:bottom w:val="single" w:sz="8" w:space="0" w:color="auto"/>
              <w:right w:val="single" w:sz="8" w:space="0" w:color="auto"/>
            </w:tcBorders>
            <w:shd w:val="clear" w:color="auto" w:fill="auto"/>
            <w:noWrap/>
            <w:vAlign w:val="bottom"/>
            <w:hideMark/>
          </w:tcPr>
          <w:p w14:paraId="6BCC6DC6" w14:textId="77777777" w:rsidR="00271045" w:rsidRPr="0074072A" w:rsidRDefault="00271045" w:rsidP="00D72B52">
            <w:pPr>
              <w:pStyle w:val="MText"/>
              <w:rPr>
                <w:b/>
                <w:bCs/>
                <w:lang w:val="en-US"/>
              </w:rPr>
            </w:pPr>
            <w:r w:rsidRPr="0074072A">
              <w:rPr>
                <w:b/>
                <w:bCs/>
                <w:lang w:val="en-US"/>
              </w:rPr>
              <w:t>0.3</w:t>
            </w:r>
          </w:p>
        </w:tc>
      </w:tr>
      <w:tr w:rsidR="00D772A1" w:rsidRPr="0074072A" w14:paraId="2EBE2EDF" w14:textId="77777777" w:rsidTr="000A3278">
        <w:trPr>
          <w:trHeight w:val="300"/>
          <w:jc w:val="center"/>
        </w:trPr>
        <w:tc>
          <w:tcPr>
            <w:tcW w:w="1134" w:type="dxa"/>
            <w:tcBorders>
              <w:top w:val="nil"/>
              <w:left w:val="single" w:sz="4" w:space="0" w:color="FFFFFF"/>
              <w:bottom w:val="single" w:sz="4" w:space="0" w:color="FFFFFF"/>
              <w:right w:val="single" w:sz="4" w:space="0" w:color="FFFFFF"/>
            </w:tcBorders>
            <w:shd w:val="clear" w:color="auto" w:fill="auto"/>
            <w:noWrap/>
            <w:vAlign w:val="bottom"/>
            <w:hideMark/>
          </w:tcPr>
          <w:p w14:paraId="7D1C9AA8" w14:textId="77777777" w:rsidR="00D772A1" w:rsidRPr="0074072A" w:rsidRDefault="00D772A1" w:rsidP="00D72B52">
            <w:pPr>
              <w:pStyle w:val="MText"/>
              <w:rPr>
                <w:lang w:val="en-US"/>
              </w:rPr>
            </w:pPr>
            <w:r w:rsidRPr="0074072A">
              <w:rPr>
                <w:lang w:val="en-US"/>
              </w:rPr>
              <w:t> </w:t>
            </w:r>
          </w:p>
        </w:tc>
        <w:tc>
          <w:tcPr>
            <w:tcW w:w="1376" w:type="dxa"/>
            <w:tcBorders>
              <w:top w:val="nil"/>
              <w:left w:val="nil"/>
              <w:bottom w:val="single" w:sz="4" w:space="0" w:color="FFFFFF"/>
              <w:right w:val="single" w:sz="4" w:space="0" w:color="FFFFFF"/>
            </w:tcBorders>
            <w:shd w:val="clear" w:color="auto" w:fill="auto"/>
            <w:noWrap/>
            <w:vAlign w:val="bottom"/>
            <w:hideMark/>
          </w:tcPr>
          <w:p w14:paraId="4D662A53" w14:textId="77777777" w:rsidR="00D772A1" w:rsidRPr="0074072A" w:rsidRDefault="00D772A1" w:rsidP="00D72B52">
            <w:pPr>
              <w:pStyle w:val="MText"/>
              <w:rPr>
                <w:lang w:val="en-US"/>
              </w:rPr>
            </w:pPr>
            <w:r w:rsidRPr="0074072A">
              <w:rPr>
                <w:lang w:val="en-US"/>
              </w:rPr>
              <w:t> </w:t>
            </w:r>
          </w:p>
        </w:tc>
        <w:tc>
          <w:tcPr>
            <w:tcW w:w="1170" w:type="dxa"/>
            <w:tcBorders>
              <w:top w:val="nil"/>
              <w:left w:val="nil"/>
              <w:bottom w:val="single" w:sz="4" w:space="0" w:color="FFFFFF"/>
              <w:right w:val="single" w:sz="4" w:space="0" w:color="FFFFFF"/>
            </w:tcBorders>
            <w:shd w:val="clear" w:color="auto" w:fill="auto"/>
            <w:noWrap/>
            <w:vAlign w:val="bottom"/>
            <w:hideMark/>
          </w:tcPr>
          <w:p w14:paraId="63727F67" w14:textId="77777777" w:rsidR="00D772A1" w:rsidRPr="0074072A" w:rsidRDefault="00D772A1" w:rsidP="00D72B52">
            <w:pPr>
              <w:pStyle w:val="MText"/>
              <w:rPr>
                <w:lang w:val="en-US"/>
              </w:rPr>
            </w:pPr>
            <w:r w:rsidRPr="0074072A">
              <w:rPr>
                <w:lang w:val="en-US"/>
              </w:rPr>
              <w:t> </w:t>
            </w:r>
          </w:p>
        </w:tc>
        <w:tc>
          <w:tcPr>
            <w:tcW w:w="352" w:type="dxa"/>
            <w:tcBorders>
              <w:top w:val="nil"/>
              <w:left w:val="nil"/>
              <w:bottom w:val="single" w:sz="4" w:space="0" w:color="FFFFFF"/>
              <w:right w:val="single" w:sz="4" w:space="0" w:color="FFFFFF"/>
            </w:tcBorders>
            <w:shd w:val="clear" w:color="auto" w:fill="auto"/>
            <w:noWrap/>
            <w:vAlign w:val="bottom"/>
            <w:hideMark/>
          </w:tcPr>
          <w:p w14:paraId="3A8E76AC" w14:textId="77777777" w:rsidR="00D772A1" w:rsidRPr="0074072A" w:rsidRDefault="00D772A1" w:rsidP="00D72B52">
            <w:pPr>
              <w:pStyle w:val="MText"/>
              <w:rPr>
                <w:lang w:val="en-US"/>
              </w:rPr>
            </w:pPr>
            <w:r w:rsidRPr="0074072A">
              <w:rPr>
                <w:lang w:val="en-US"/>
              </w:rPr>
              <w:t> </w:t>
            </w:r>
          </w:p>
        </w:tc>
        <w:tc>
          <w:tcPr>
            <w:tcW w:w="1268" w:type="dxa"/>
            <w:tcBorders>
              <w:top w:val="single" w:sz="8" w:space="0" w:color="auto"/>
              <w:left w:val="single" w:sz="8" w:space="0" w:color="auto"/>
              <w:bottom w:val="single" w:sz="4" w:space="0" w:color="FFFFFF"/>
              <w:right w:val="single" w:sz="8" w:space="0" w:color="auto"/>
            </w:tcBorders>
            <w:shd w:val="clear" w:color="auto" w:fill="auto"/>
            <w:noWrap/>
            <w:vAlign w:val="bottom"/>
            <w:hideMark/>
          </w:tcPr>
          <w:p w14:paraId="066B7FAD" w14:textId="77777777" w:rsidR="00D772A1" w:rsidRPr="0074072A" w:rsidRDefault="00D772A1" w:rsidP="00D72B52">
            <w:pPr>
              <w:pStyle w:val="MText"/>
              <w:rPr>
                <w:i/>
                <w:iCs/>
                <w:lang w:val="en-US"/>
              </w:rPr>
            </w:pPr>
            <w:r w:rsidRPr="0074072A">
              <w:rPr>
                <w:i/>
                <w:iCs/>
                <w:lang w:val="en-US"/>
              </w:rPr>
              <w:t> </w:t>
            </w:r>
          </w:p>
        </w:tc>
        <w:tc>
          <w:tcPr>
            <w:tcW w:w="2070" w:type="dxa"/>
            <w:tcBorders>
              <w:top w:val="single" w:sz="4" w:space="0" w:color="auto"/>
              <w:left w:val="nil"/>
              <w:bottom w:val="single" w:sz="8" w:space="0" w:color="auto"/>
              <w:right w:val="nil"/>
            </w:tcBorders>
            <w:shd w:val="clear" w:color="auto" w:fill="auto"/>
            <w:noWrap/>
            <w:vAlign w:val="bottom"/>
          </w:tcPr>
          <w:p w14:paraId="650DC57F" w14:textId="735EF0A1" w:rsidR="00D772A1" w:rsidRPr="0074072A" w:rsidRDefault="00D772A1" w:rsidP="00D72B52">
            <w:pPr>
              <w:pStyle w:val="MText"/>
              <w:rPr>
                <w:lang w:val="en-US"/>
              </w:rPr>
            </w:pPr>
            <w:r w:rsidRPr="0074072A">
              <w:rPr>
                <w:lang w:val="en-US"/>
              </w:rPr>
              <w:t>3.1</w:t>
            </w:r>
          </w:p>
        </w:tc>
        <w:tc>
          <w:tcPr>
            <w:tcW w:w="905" w:type="dxa"/>
            <w:tcBorders>
              <w:top w:val="single" w:sz="4" w:space="0" w:color="auto"/>
              <w:left w:val="single" w:sz="4" w:space="0" w:color="auto"/>
              <w:bottom w:val="single" w:sz="8" w:space="0" w:color="auto"/>
              <w:right w:val="single" w:sz="8" w:space="0" w:color="auto"/>
            </w:tcBorders>
            <w:shd w:val="clear" w:color="auto" w:fill="auto"/>
            <w:noWrap/>
            <w:vAlign w:val="bottom"/>
          </w:tcPr>
          <w:p w14:paraId="5C5E7513" w14:textId="1C424AA0" w:rsidR="00D772A1" w:rsidRPr="0074072A" w:rsidRDefault="00D772A1" w:rsidP="00D72B52">
            <w:pPr>
              <w:pStyle w:val="MText"/>
              <w:rPr>
                <w:i/>
                <w:iCs/>
                <w:lang w:val="en-US"/>
              </w:rPr>
            </w:pPr>
            <w:r w:rsidRPr="0074072A">
              <w:rPr>
                <w:lang w:val="en-US"/>
              </w:rPr>
              <w:t>0.3</w:t>
            </w:r>
          </w:p>
        </w:tc>
      </w:tr>
      <w:tr w:rsidR="00D772A1" w:rsidRPr="0074072A" w14:paraId="1EC9460F" w14:textId="77777777" w:rsidTr="0056502F">
        <w:trPr>
          <w:trHeight w:val="315"/>
          <w:jc w:val="center"/>
        </w:trPr>
        <w:tc>
          <w:tcPr>
            <w:tcW w:w="1134" w:type="dxa"/>
            <w:tcBorders>
              <w:top w:val="nil"/>
              <w:left w:val="single" w:sz="4" w:space="0" w:color="FFFFFF"/>
              <w:bottom w:val="single" w:sz="4" w:space="0" w:color="FFFFFF"/>
              <w:right w:val="single" w:sz="4" w:space="0" w:color="FFFFFF"/>
            </w:tcBorders>
            <w:shd w:val="clear" w:color="auto" w:fill="auto"/>
            <w:noWrap/>
            <w:vAlign w:val="bottom"/>
            <w:hideMark/>
          </w:tcPr>
          <w:p w14:paraId="5118FA1A" w14:textId="77777777" w:rsidR="00D772A1" w:rsidRPr="0074072A" w:rsidRDefault="00D772A1" w:rsidP="00D72B52">
            <w:pPr>
              <w:pStyle w:val="MText"/>
              <w:rPr>
                <w:lang w:val="en-US"/>
              </w:rPr>
            </w:pPr>
            <w:r w:rsidRPr="0074072A">
              <w:rPr>
                <w:lang w:val="en-US"/>
              </w:rPr>
              <w:t> </w:t>
            </w:r>
          </w:p>
        </w:tc>
        <w:tc>
          <w:tcPr>
            <w:tcW w:w="1376" w:type="dxa"/>
            <w:tcBorders>
              <w:top w:val="nil"/>
              <w:left w:val="nil"/>
              <w:bottom w:val="single" w:sz="4" w:space="0" w:color="FFFFFF"/>
              <w:right w:val="single" w:sz="4" w:space="0" w:color="FFFFFF"/>
            </w:tcBorders>
            <w:shd w:val="clear" w:color="auto" w:fill="auto"/>
            <w:noWrap/>
            <w:vAlign w:val="bottom"/>
            <w:hideMark/>
          </w:tcPr>
          <w:p w14:paraId="463F9029" w14:textId="77777777" w:rsidR="00D772A1" w:rsidRPr="0074072A" w:rsidRDefault="00D772A1" w:rsidP="00D72B52">
            <w:pPr>
              <w:pStyle w:val="MText"/>
              <w:rPr>
                <w:lang w:val="en-US"/>
              </w:rPr>
            </w:pPr>
            <w:r w:rsidRPr="0074072A">
              <w:rPr>
                <w:lang w:val="en-US"/>
              </w:rPr>
              <w:t> </w:t>
            </w:r>
          </w:p>
        </w:tc>
        <w:tc>
          <w:tcPr>
            <w:tcW w:w="1170" w:type="dxa"/>
            <w:tcBorders>
              <w:top w:val="nil"/>
              <w:left w:val="nil"/>
              <w:bottom w:val="single" w:sz="4" w:space="0" w:color="FFFFFF"/>
              <w:right w:val="single" w:sz="4" w:space="0" w:color="FFFFFF"/>
            </w:tcBorders>
            <w:shd w:val="clear" w:color="auto" w:fill="auto"/>
            <w:noWrap/>
            <w:vAlign w:val="bottom"/>
            <w:hideMark/>
          </w:tcPr>
          <w:p w14:paraId="0F8A5122" w14:textId="77777777" w:rsidR="00D772A1" w:rsidRPr="0074072A" w:rsidRDefault="00D772A1" w:rsidP="00D72B52">
            <w:pPr>
              <w:pStyle w:val="MText"/>
              <w:rPr>
                <w:lang w:val="en-US"/>
              </w:rPr>
            </w:pPr>
            <w:r w:rsidRPr="0074072A">
              <w:rPr>
                <w:lang w:val="en-US"/>
              </w:rPr>
              <w:t> </w:t>
            </w:r>
          </w:p>
        </w:tc>
        <w:tc>
          <w:tcPr>
            <w:tcW w:w="352" w:type="dxa"/>
            <w:tcBorders>
              <w:top w:val="nil"/>
              <w:left w:val="nil"/>
              <w:bottom w:val="single" w:sz="4" w:space="0" w:color="FFFFFF"/>
              <w:right w:val="single" w:sz="4" w:space="0" w:color="FFFFFF"/>
            </w:tcBorders>
            <w:shd w:val="clear" w:color="auto" w:fill="auto"/>
            <w:noWrap/>
            <w:vAlign w:val="bottom"/>
            <w:hideMark/>
          </w:tcPr>
          <w:p w14:paraId="48574FD5" w14:textId="77777777" w:rsidR="00D772A1" w:rsidRPr="0074072A" w:rsidRDefault="00D772A1" w:rsidP="00D72B52">
            <w:pPr>
              <w:pStyle w:val="MText"/>
              <w:rPr>
                <w:lang w:val="en-US"/>
              </w:rPr>
            </w:pPr>
            <w:r w:rsidRPr="0074072A">
              <w:rPr>
                <w:lang w:val="en-US"/>
              </w:rPr>
              <w:t> </w:t>
            </w:r>
          </w:p>
        </w:tc>
        <w:tc>
          <w:tcPr>
            <w:tcW w:w="1268" w:type="dxa"/>
            <w:tcBorders>
              <w:top w:val="nil"/>
              <w:left w:val="single" w:sz="8" w:space="0" w:color="auto"/>
              <w:bottom w:val="single" w:sz="8" w:space="0" w:color="000000"/>
              <w:right w:val="single" w:sz="8" w:space="0" w:color="auto"/>
            </w:tcBorders>
            <w:shd w:val="clear" w:color="auto" w:fill="auto"/>
            <w:noWrap/>
            <w:vAlign w:val="center"/>
            <w:hideMark/>
          </w:tcPr>
          <w:p w14:paraId="589E66FC" w14:textId="77777777" w:rsidR="00D772A1" w:rsidRPr="0074072A" w:rsidRDefault="00D772A1" w:rsidP="00D72B52">
            <w:pPr>
              <w:pStyle w:val="MText"/>
              <w:rPr>
                <w:b/>
                <w:bCs/>
                <w:i/>
                <w:iCs/>
                <w:lang w:val="en-US"/>
              </w:rPr>
            </w:pPr>
            <w:r w:rsidRPr="0074072A">
              <w:rPr>
                <w:b/>
                <w:bCs/>
                <w:i/>
                <w:iCs/>
                <w:lang w:val="en-US"/>
              </w:rPr>
              <w:t>Variable 3</w:t>
            </w:r>
          </w:p>
        </w:tc>
        <w:tc>
          <w:tcPr>
            <w:tcW w:w="2070" w:type="dxa"/>
            <w:tcBorders>
              <w:top w:val="single" w:sz="8" w:space="0" w:color="auto"/>
              <w:left w:val="single" w:sz="8" w:space="0" w:color="auto"/>
              <w:bottom w:val="single" w:sz="8" w:space="0" w:color="auto"/>
              <w:right w:val="nil"/>
            </w:tcBorders>
            <w:shd w:val="clear" w:color="auto" w:fill="auto"/>
            <w:noWrap/>
            <w:vAlign w:val="bottom"/>
            <w:hideMark/>
          </w:tcPr>
          <w:p w14:paraId="4FE1ABC3" w14:textId="36359299" w:rsidR="00D772A1" w:rsidRPr="0074072A" w:rsidRDefault="00D772A1" w:rsidP="00D72B52">
            <w:pPr>
              <w:pStyle w:val="MText"/>
              <w:rPr>
                <w:lang w:val="en-US"/>
              </w:rPr>
            </w:pPr>
            <w:r w:rsidRPr="0074072A">
              <w:rPr>
                <w:b/>
                <w:bCs/>
                <w:lang w:val="en-US"/>
              </w:rPr>
              <w:t>Indicator weight</w:t>
            </w:r>
          </w:p>
        </w:tc>
        <w:tc>
          <w:tcPr>
            <w:tcW w:w="905" w:type="dxa"/>
            <w:tcBorders>
              <w:top w:val="single" w:sz="8" w:space="0" w:color="auto"/>
              <w:left w:val="single" w:sz="4" w:space="0" w:color="auto"/>
              <w:bottom w:val="single" w:sz="8" w:space="0" w:color="auto"/>
              <w:right w:val="single" w:sz="8" w:space="0" w:color="auto"/>
            </w:tcBorders>
            <w:shd w:val="clear" w:color="auto" w:fill="auto"/>
            <w:noWrap/>
            <w:vAlign w:val="bottom"/>
            <w:hideMark/>
          </w:tcPr>
          <w:p w14:paraId="1F8725FE" w14:textId="4045D372" w:rsidR="00D772A1" w:rsidRPr="0074072A" w:rsidRDefault="00D772A1" w:rsidP="00D72B52">
            <w:pPr>
              <w:pStyle w:val="MText"/>
              <w:rPr>
                <w:lang w:val="en-US"/>
              </w:rPr>
            </w:pPr>
            <w:r w:rsidRPr="0074072A">
              <w:rPr>
                <w:b/>
                <w:bCs/>
                <w:lang w:val="en-US"/>
              </w:rPr>
              <w:t>0.3</w:t>
            </w:r>
          </w:p>
        </w:tc>
      </w:tr>
    </w:tbl>
    <w:p w14:paraId="1D449840" w14:textId="77777777" w:rsidR="00271045" w:rsidRDefault="00271045" w:rsidP="00271045">
      <w:pPr>
        <w:pStyle w:val="BodyText"/>
        <w:ind w:left="0"/>
      </w:pPr>
    </w:p>
    <w:p w14:paraId="6B917E01" w14:textId="77777777" w:rsidR="00271045" w:rsidRDefault="00271045" w:rsidP="00271045">
      <w:pPr>
        <w:pStyle w:val="BodyText"/>
        <w:ind w:left="0"/>
      </w:pPr>
    </w:p>
    <w:p w14:paraId="479BD364" w14:textId="77777777" w:rsidR="00271045" w:rsidRDefault="00271045" w:rsidP="00271045">
      <w:pPr>
        <w:pStyle w:val="MText"/>
      </w:pPr>
      <w:r w:rsidRPr="00F53B8D">
        <w:t xml:space="preserve">The higher weighting assigned to Variable 1 reflects the slightly greater importance of that indicator for assessing the degree of application of a legal/regulatory/policy/institutional framework which recognizes and protects access rights for small-scale fishers.  </w:t>
      </w:r>
    </w:p>
    <w:p w14:paraId="400973E0" w14:textId="77777777" w:rsidR="00271045" w:rsidRPr="00F53B8D" w:rsidRDefault="00271045" w:rsidP="00271045">
      <w:pPr>
        <w:pStyle w:val="MText"/>
      </w:pPr>
    </w:p>
    <w:p w14:paraId="45AF3C54" w14:textId="77777777" w:rsidR="00271045" w:rsidRPr="00F53B8D" w:rsidRDefault="00271045" w:rsidP="00271045">
      <w:pPr>
        <w:pStyle w:val="MText"/>
      </w:pPr>
      <w:r w:rsidRPr="00F53B8D">
        <w:t>Each sub-variable is scored on the basis of a ‘yes’ or ‘no’ response and any ‘blank’ or ‘unknown’ responses are scored as a ‘no’, or zero. A response of yes results in a score that corresponds with the full weighting value for that variable category. For example, a ‘yes’ response for variables 1.3, 2.1 and 3.1 are scored as 0.1, 0.03 and 0.3 respectively.</w:t>
      </w:r>
    </w:p>
    <w:p w14:paraId="6EAA4831" w14:textId="77777777" w:rsidR="00271045" w:rsidRDefault="00271045" w:rsidP="00271045">
      <w:pPr>
        <w:pStyle w:val="MText"/>
      </w:pPr>
    </w:p>
    <w:p w14:paraId="15A06C4D" w14:textId="77777777" w:rsidR="00271045" w:rsidRPr="00F53B8D" w:rsidRDefault="00271045" w:rsidP="00271045">
      <w:pPr>
        <w:pStyle w:val="MText"/>
      </w:pPr>
      <w:r w:rsidRPr="00F53B8D">
        <w:t>One exception is made in the case of sub-variable 1.5. This question allows a response of ‘other’ with an associated text field. A positive response in this field is only scored as a ‘yes’ in the case where the text field is also completed AND at least one of the other prior sub-</w:t>
      </w:r>
      <w:proofErr w:type="gramStart"/>
      <w:r w:rsidRPr="00F53B8D">
        <w:t>variable</w:t>
      </w:r>
      <w:proofErr w:type="gramEnd"/>
      <w:r w:rsidRPr="00F53B8D">
        <w:t xml:space="preserve"> were scored as ‘no’. This allows the indicator weighting to remain consistent in all cases.</w:t>
      </w:r>
    </w:p>
    <w:p w14:paraId="46677A0C" w14:textId="77777777" w:rsidR="00271045" w:rsidRDefault="00271045" w:rsidP="00271045">
      <w:pPr>
        <w:shd w:val="clear" w:color="auto" w:fill="FFFFFF"/>
        <w:spacing w:after="0"/>
        <w:rPr>
          <w:rFonts w:eastAsia="Times New Roman" w:cs="Times New Roman"/>
          <w:sz w:val="21"/>
          <w:szCs w:val="21"/>
          <w:lang w:eastAsia="en-GB"/>
        </w:rPr>
      </w:pPr>
    </w:p>
    <w:p w14:paraId="4FC242CD" w14:textId="0AC2016B" w:rsidR="00576CFA" w:rsidRPr="00A96255" w:rsidRDefault="00271045" w:rsidP="00271045">
      <w:pPr>
        <w:pStyle w:val="MText"/>
      </w:pPr>
      <w:r w:rsidRPr="00F76147">
        <w:t>Once the specific score has been determined for each country, countries will be classified into a number of bands, ranging from a low to a high degree of implementation, and thus effectively translate a synthetic score into a tangible and intuitive metric for countries.</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4.d. Validation</w:t>
      </w:r>
    </w:p>
    <w:p w14:paraId="4C735727" w14:textId="7448198F" w:rsidR="3D42D345" w:rsidRPr="000A3278" w:rsidRDefault="3D42D345" w:rsidP="000A3278">
      <w:pPr>
        <w:pStyle w:val="MText"/>
      </w:pPr>
      <w:r w:rsidRPr="0828A6AE">
        <w:rPr>
          <w:rFonts w:ascii="Calibri" w:eastAsia="Calibri" w:hAnsi="Calibri" w:cs="Calibri"/>
        </w:rPr>
        <w:t xml:space="preserve">Upon completing the questionnaire, States are provided with a condensed report showing their responses to relevant questions within the questionnaire for the indicator and the resulting SDG indicator </w:t>
      </w:r>
      <w:r w:rsidRPr="000A3278">
        <w:t>score for their validation.</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4.e. Adjustments</w:t>
      </w:r>
    </w:p>
    <w:p w14:paraId="6BA327F8" w14:textId="77777777" w:rsidR="00D772A1" w:rsidRDefault="00D772A1" w:rsidP="00D772A1">
      <w:pPr>
        <w:pStyle w:val="MText"/>
      </w:pPr>
      <w:r>
        <w:t>Not applicable</w:t>
      </w:r>
    </w:p>
    <w:p w14:paraId="6D414735" w14:textId="77777777" w:rsidR="00D772A1" w:rsidRPr="00A96255" w:rsidRDefault="00D772A1" w:rsidP="00D772A1">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at country le</w:t>
      </w:r>
      <w:r w:rsidR="00E1050F" w:rsidRPr="00A96255">
        <w:t>vel and (ii) at regional level</w:t>
      </w:r>
    </w:p>
    <w:p w14:paraId="76FDCE38" w14:textId="77777777" w:rsidR="00271045" w:rsidRDefault="00271045" w:rsidP="00271045">
      <w:pPr>
        <w:pStyle w:val="MText"/>
      </w:pPr>
      <w:r>
        <w:t>•</w:t>
      </w:r>
      <w:r>
        <w:tab/>
        <w:t>At country level</w:t>
      </w:r>
    </w:p>
    <w:p w14:paraId="01DD31B5" w14:textId="77777777" w:rsidR="00271045" w:rsidRDefault="00271045" w:rsidP="00271045">
      <w:pPr>
        <w:pStyle w:val="MText"/>
      </w:pPr>
      <w:r>
        <w:t xml:space="preserve">The most appropriate methodology for producing estimates for the indicator when the country data are not available would be the use of expert consultation and judgement rather than the use of mathematical formula for data imputation. The use of expert judgement is a critical factor as the indicator asses the state of management/ policy implementation at a national level, not values that could be readily inputted. </w:t>
      </w:r>
    </w:p>
    <w:p w14:paraId="1DC8ADDE" w14:textId="77777777" w:rsidR="00271045" w:rsidRDefault="00271045" w:rsidP="00271045">
      <w:pPr>
        <w:pStyle w:val="MText"/>
      </w:pPr>
      <w:r>
        <w:t>•</w:t>
      </w:r>
      <w:r>
        <w:tab/>
        <w:t>At regional and global levels</w:t>
      </w:r>
    </w:p>
    <w:p w14:paraId="04748E1F" w14:textId="36C2F192" w:rsidR="00D51E7C" w:rsidRDefault="00271045" w:rsidP="00271045">
      <w:pPr>
        <w:pStyle w:val="MText"/>
      </w:pPr>
      <w:r>
        <w:t>Not applicable</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4.g. Regional aggregations</w:t>
      </w:r>
    </w:p>
    <w:p w14:paraId="2CE21757" w14:textId="77777777" w:rsidR="00271045" w:rsidRDefault="00271045" w:rsidP="00271045">
      <w:pPr>
        <w:pStyle w:val="MText"/>
      </w:pPr>
      <w:r>
        <w:t xml:space="preserve">The categorization into the respective bands will also apply in the case of regional and global aggregates for this indicator. Once the mean score for an SDG region has been calculated, the region will be classified into a </w:t>
      </w:r>
      <w:proofErr w:type="gramStart"/>
      <w:r>
        <w:t>particular band</w:t>
      </w:r>
      <w:proofErr w:type="gramEnd"/>
      <w:r>
        <w:t xml:space="preserve"> reflecting the degree of implementation of relevant instruments.</w:t>
      </w:r>
    </w:p>
    <w:p w14:paraId="23327535" w14:textId="78A624F7" w:rsidR="00576CFA" w:rsidRPr="00A96255" w:rsidRDefault="00271045" w:rsidP="00271045">
      <w:pPr>
        <w:pStyle w:val="MText"/>
      </w:pPr>
      <w:r>
        <w:t>Data is combined for the respective nations within a region, as a count of the number of countries by Band, and this can be further aggregated to the global level without the need for any weighting of national or regional scores.</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61C749EB" w14:textId="69929B7C" w:rsidR="00576CFA" w:rsidRPr="00A96255" w:rsidRDefault="00271045" w:rsidP="00576CFA">
      <w:pPr>
        <w:pStyle w:val="MText"/>
      </w:pPr>
      <w:r w:rsidRPr="00271045">
        <w:t>Data is collected through an electronic questionnaire submitted by FAO to the country focal points for the CCRF questionnaire, usually in the national fisheries administration. Data are validated upon intake of the questionnaires. No adjustments are required for the data for definitions nor for classification or demographic harmonization.</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14CB2CA7" w14:textId="17F1EC31" w:rsidR="00576CFA" w:rsidRDefault="6A3057F4" w:rsidP="000A3278">
      <w:pPr>
        <w:pStyle w:val="MText"/>
      </w:pPr>
      <w:r w:rsidRPr="0828A6AE">
        <w:rPr>
          <w:rFonts w:ascii="Calibri" w:eastAsia="Calibri" w:hAnsi="Calibri" w:cs="Calibri"/>
        </w:rPr>
        <w:t xml:space="preserve"> FAO is responsible for the quality of the internal statistical processes used to compile the published datasets. The FAO Statistics Quality Assurance Framework (SQAF), available at: </w:t>
      </w:r>
      <w:hyperlink r:id="rId11" w:history="1">
        <w:r w:rsidRPr="0828A6AE">
          <w:rPr>
            <w:rStyle w:val="Hyperlink"/>
            <w:rFonts w:ascii="Calibri" w:eastAsia="Calibri" w:hAnsi="Calibri" w:cs="Calibri"/>
          </w:rPr>
          <w:t>http://www.fao.org/docrep/019/i3664e/i3664e.pdf</w:t>
        </w:r>
      </w:hyperlink>
      <w:r w:rsidRPr="0828A6AE">
        <w:rPr>
          <w:rFonts w:ascii="Calibri" w:eastAsia="Calibri" w:hAnsi="Calibri" w:cs="Calibri"/>
        </w:rPr>
        <w:t xml:space="preserve">, provides the necessary principles, guidelines and tools to carry out quality assessments. FAO is performing an internal bi-annual survey (FAO Quality Assessment and Planning Survey) designed to gather information on all of FAO’s statistical activities, notably to assess the extent to which quality standards are being implemented with a view to increasing compliance with the quality dimensions of SQAF, documenting best practices and prepare quality improvement plans, where necessary. Domain-specific quality assurance activities are carried out </w:t>
      </w:r>
      <w:r w:rsidRPr="000A3278">
        <w:t>systematically (e.g. quality reviews, self-assessments, compliance monitoring).</w:t>
      </w:r>
    </w:p>
    <w:p w14:paraId="2A5AD400" w14:textId="77777777" w:rsidR="00D772A1" w:rsidRPr="000A3278" w:rsidRDefault="00D772A1" w:rsidP="000A3278">
      <w:pPr>
        <w:pStyle w:val="MText"/>
      </w:pPr>
    </w:p>
    <w:p w14:paraId="17B979CA" w14:textId="449C0153" w:rsidR="00E1050F" w:rsidRPr="00A96255" w:rsidRDefault="00E1050F" w:rsidP="00F719A8">
      <w:pPr>
        <w:pStyle w:val="MHeader2"/>
      </w:pPr>
      <w:r w:rsidRPr="00A96255">
        <w:t>4.j Quality assurance</w:t>
      </w:r>
    </w:p>
    <w:p w14:paraId="0B2F2909" w14:textId="77777777" w:rsidR="00271045" w:rsidRDefault="00271045" w:rsidP="00271045">
      <w:pPr>
        <w:pStyle w:val="MText"/>
      </w:pPr>
      <w:r>
        <w:t>•</w:t>
      </w:r>
      <w:r>
        <w:tab/>
        <w:t xml:space="preserve">Data are checked for their correctness; completeness; consistency along the process of data entry, and/or through a specific statistical analysis as the yearly data set is closed. </w:t>
      </w:r>
    </w:p>
    <w:p w14:paraId="2B46071A" w14:textId="77777777" w:rsidR="00271045" w:rsidRDefault="00271045" w:rsidP="00271045">
      <w:pPr>
        <w:pStyle w:val="MText"/>
      </w:pPr>
    </w:p>
    <w:p w14:paraId="7E6B04E3" w14:textId="388B3934" w:rsidR="00576CFA" w:rsidRPr="00A96255" w:rsidRDefault="00271045" w:rsidP="00271045">
      <w:pPr>
        <w:pStyle w:val="MText"/>
      </w:pPr>
      <w:r>
        <w:t>•</w:t>
      </w:r>
      <w:r>
        <w:tab/>
        <w:t>The indicator relies on data generated through the CCRF questionnaire which is filled in by countries on a biannual basis. To facilitate reporting of the CCRF-based SDG indicators, a tailor-made data processing tool has been developed within the framework of the existing CCRF questionnaire online platform. Upon submission of the questionnaire by the user, an indicator report will automatically be generated for final validation by the country.</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20571FE4" w14:textId="36FED5E3" w:rsidR="00576CFA" w:rsidRDefault="104C4B38" w:rsidP="00FB04F9">
      <w:pPr>
        <w:spacing w:line="242" w:lineRule="exact"/>
        <w:rPr>
          <w:rFonts w:ascii="Calibri" w:eastAsia="Calibri" w:hAnsi="Calibri" w:cs="Calibri"/>
        </w:rPr>
      </w:pPr>
      <w:r w:rsidRPr="0828A6AE">
        <w:rPr>
          <w:rFonts w:ascii="Calibri" w:eastAsia="Calibri" w:hAnsi="Calibri" w:cs="Calibri"/>
          <w:color w:val="4A4A4A"/>
          <w:sz w:val="21"/>
          <w:szCs w:val="21"/>
        </w:rPr>
        <w:t xml:space="preserve"> From 2022 data series onwards, questions of a factual nature used to indicate applicability of the indicator or to calculate the score of the indicator, such as whether a country is landlocked or whether it is a Party to a relevant international instrument will be pre-compiled. Official sources will be used to conduct this activity such as the depository of the relevant international binding instrument.</w:t>
      </w:r>
    </w:p>
    <w:p w14:paraId="253DFAEF" w14:textId="54BDA32F" w:rsidR="104C4B38" w:rsidRPr="000A3278" w:rsidRDefault="104C4B38" w:rsidP="000A3278">
      <w:pPr>
        <w:pStyle w:val="MText"/>
      </w:pPr>
      <w:r w:rsidRPr="0828A6AE">
        <w:rPr>
          <w:rFonts w:ascii="Calibri" w:eastAsia="Calibri" w:hAnsi="Calibri" w:cs="Calibri"/>
        </w:rPr>
        <w:t xml:space="preserve">This activity will be conducted for the following questions, please refer to Appendix 1 for full text of </w:t>
      </w:r>
      <w:r w:rsidRPr="000A3278">
        <w:t>referenced question: A.1, 1.1, 2.1, 4.1 and 5.1</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5. Data availability and disaggregation</w:t>
      </w:r>
    </w:p>
    <w:p w14:paraId="464A8CCF" w14:textId="27C17D3B" w:rsidR="00576CFA" w:rsidRPr="00271045" w:rsidRDefault="00D51E7C" w:rsidP="00576CFA">
      <w:pPr>
        <w:pStyle w:val="MText"/>
      </w:pPr>
      <w:r w:rsidRPr="00271045">
        <w:t>Data availability:</w:t>
      </w:r>
    </w:p>
    <w:p w14:paraId="48691348" w14:textId="77777777" w:rsidR="00271045" w:rsidRPr="00C211D4" w:rsidRDefault="00271045" w:rsidP="00271045">
      <w:pPr>
        <w:pStyle w:val="MText"/>
      </w:pPr>
      <w:r w:rsidRPr="00C211D4">
        <w:t xml:space="preserve">In 2016, 92 countries and the European Union replied to the questionnaire section on the three indicators to measure target performance for 14.b.1 </w:t>
      </w:r>
    </w:p>
    <w:p w14:paraId="02157C3D" w14:textId="77777777" w:rsidR="00271045" w:rsidRPr="00C211D4" w:rsidRDefault="00271045" w:rsidP="00271045">
      <w:pPr>
        <w:pStyle w:val="MText"/>
        <w:rPr>
          <w:rFonts w:cs="Arial"/>
        </w:rPr>
      </w:pPr>
    </w:p>
    <w:p w14:paraId="0D4BE3CA" w14:textId="77777777" w:rsidR="00271045" w:rsidRPr="00C211D4" w:rsidRDefault="00271045" w:rsidP="00271045">
      <w:pPr>
        <w:pStyle w:val="MText"/>
        <w:rPr>
          <w:rFonts w:cs="Arial"/>
        </w:rPr>
      </w:pPr>
      <w:r w:rsidRPr="00C211D4">
        <w:rPr>
          <w:rFonts w:cs="Arial"/>
        </w:rPr>
        <w:t>Breakdown of the number of countries covered by region is as follows:</w:t>
      </w: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5"/>
        <w:gridCol w:w="1987"/>
        <w:gridCol w:w="1463"/>
      </w:tblGrid>
      <w:tr w:rsidR="00271045" w:rsidRPr="00F76147" w14:paraId="4FA9F5B1" w14:textId="77777777" w:rsidTr="0828A6AE">
        <w:trPr>
          <w:trHeight w:hRule="exact" w:val="284"/>
          <w:tblHeader/>
        </w:trPr>
        <w:tc>
          <w:tcPr>
            <w:tcW w:w="0" w:type="auto"/>
            <w:shd w:val="clear" w:color="auto" w:fill="auto"/>
            <w:noWrap/>
          </w:tcPr>
          <w:p w14:paraId="336E75A2" w14:textId="77777777" w:rsidR="00271045" w:rsidRPr="00B861C8" w:rsidRDefault="00271045" w:rsidP="00D72B52">
            <w:pPr>
              <w:rPr>
                <w:rFonts w:eastAsia="Times New Roman" w:cs="Times New Roman"/>
                <w:color w:val="4A4A4A"/>
                <w:sz w:val="21"/>
                <w:szCs w:val="21"/>
                <w:lang w:eastAsia="en-GB"/>
              </w:rPr>
            </w:pPr>
          </w:p>
        </w:tc>
        <w:tc>
          <w:tcPr>
            <w:tcW w:w="0" w:type="auto"/>
            <w:shd w:val="clear" w:color="auto" w:fill="auto"/>
            <w:noWrap/>
          </w:tcPr>
          <w:p w14:paraId="2FA389A1" w14:textId="77777777" w:rsidR="00271045" w:rsidRPr="00B861C8" w:rsidRDefault="00271045" w:rsidP="00D72B52">
            <w:pPr>
              <w:rPr>
                <w:rFonts w:eastAsia="Times New Roman" w:cs="Times New Roman"/>
                <w:color w:val="4A4A4A"/>
                <w:sz w:val="21"/>
                <w:szCs w:val="21"/>
                <w:lang w:eastAsia="en-GB"/>
              </w:rPr>
            </w:pPr>
            <w:r w:rsidRPr="00B861C8">
              <w:rPr>
                <w:rFonts w:eastAsia="Times New Roman" w:cs="Times New Roman"/>
                <w:color w:val="4A4A4A"/>
                <w:sz w:val="21"/>
                <w:szCs w:val="21"/>
                <w:lang w:eastAsia="en-GB"/>
              </w:rPr>
              <w:t>Number of countries</w:t>
            </w:r>
          </w:p>
        </w:tc>
        <w:tc>
          <w:tcPr>
            <w:tcW w:w="0" w:type="auto"/>
            <w:shd w:val="clear" w:color="auto" w:fill="auto"/>
            <w:noWrap/>
            <w:hideMark/>
          </w:tcPr>
          <w:p w14:paraId="2FE3C283" w14:textId="77777777" w:rsidR="00271045" w:rsidRPr="00B861C8" w:rsidRDefault="00271045" w:rsidP="00D72B52">
            <w:pPr>
              <w:rPr>
                <w:rFonts w:eastAsia="Times New Roman" w:cs="Times New Roman"/>
                <w:color w:val="4A4A4A"/>
                <w:sz w:val="21"/>
                <w:szCs w:val="21"/>
                <w:lang w:eastAsia="en-GB"/>
              </w:rPr>
            </w:pPr>
            <w:r w:rsidRPr="00B861C8">
              <w:rPr>
                <w:rFonts w:eastAsia="Times New Roman" w:cs="Times New Roman"/>
                <w:color w:val="4A4A4A"/>
                <w:sz w:val="21"/>
                <w:szCs w:val="21"/>
                <w:lang w:eastAsia="en-GB"/>
              </w:rPr>
              <w:t>Nature of data</w:t>
            </w:r>
          </w:p>
        </w:tc>
      </w:tr>
      <w:tr w:rsidR="00271045" w:rsidRPr="00F76147" w14:paraId="20A4AC5A" w14:textId="77777777" w:rsidTr="0828A6AE">
        <w:trPr>
          <w:trHeight w:hRule="exact" w:val="284"/>
        </w:trPr>
        <w:tc>
          <w:tcPr>
            <w:tcW w:w="0" w:type="auto"/>
            <w:shd w:val="clear" w:color="auto" w:fill="auto"/>
            <w:noWrap/>
          </w:tcPr>
          <w:p w14:paraId="46435E2E" w14:textId="77777777" w:rsidR="00271045" w:rsidRPr="00B861C8" w:rsidRDefault="00271045" w:rsidP="00D72B52">
            <w:pPr>
              <w:rPr>
                <w:rFonts w:eastAsia="Times New Roman" w:cs="Times New Roman"/>
                <w:color w:val="4A4A4A"/>
                <w:sz w:val="21"/>
                <w:szCs w:val="21"/>
                <w:lang w:eastAsia="en-GB"/>
              </w:rPr>
            </w:pPr>
            <w:r w:rsidRPr="00B861C8">
              <w:rPr>
                <w:rFonts w:eastAsia="Times New Roman" w:cs="Times New Roman"/>
                <w:color w:val="4A4A4A"/>
                <w:sz w:val="21"/>
                <w:szCs w:val="21"/>
                <w:lang w:eastAsia="en-GB"/>
              </w:rPr>
              <w:t>World</w:t>
            </w:r>
          </w:p>
        </w:tc>
        <w:tc>
          <w:tcPr>
            <w:tcW w:w="0" w:type="auto"/>
            <w:shd w:val="clear" w:color="auto" w:fill="auto"/>
            <w:noWrap/>
          </w:tcPr>
          <w:p w14:paraId="2180E8D3" w14:textId="777AD9B9" w:rsidR="00271045" w:rsidRPr="00B861C8" w:rsidRDefault="00271045">
            <w:pPr>
              <w:rPr>
                <w:rFonts w:eastAsia="Times New Roman" w:cs="Times New Roman"/>
                <w:color w:val="4A4A4A"/>
                <w:sz w:val="21"/>
                <w:szCs w:val="21"/>
                <w:lang w:eastAsia="en-GB"/>
              </w:rPr>
            </w:pPr>
            <w:r w:rsidRPr="0828A6AE">
              <w:rPr>
                <w:rFonts w:eastAsia="Times New Roman" w:cs="Times New Roman"/>
                <w:color w:val="4A4A4A"/>
                <w:sz w:val="21"/>
                <w:szCs w:val="21"/>
                <w:lang w:eastAsia="en-GB"/>
              </w:rPr>
              <w:t>120</w:t>
            </w:r>
          </w:p>
        </w:tc>
        <w:tc>
          <w:tcPr>
            <w:tcW w:w="0" w:type="auto"/>
            <w:shd w:val="clear" w:color="auto" w:fill="auto"/>
            <w:noWrap/>
          </w:tcPr>
          <w:p w14:paraId="69709F85" w14:textId="77777777" w:rsidR="00271045" w:rsidRPr="00B861C8" w:rsidRDefault="00271045" w:rsidP="00D72B52">
            <w:pPr>
              <w:rPr>
                <w:rFonts w:eastAsia="Times New Roman" w:cs="Times New Roman"/>
                <w:color w:val="4A4A4A"/>
                <w:sz w:val="21"/>
                <w:szCs w:val="21"/>
                <w:lang w:eastAsia="en-GB"/>
              </w:rPr>
            </w:pPr>
            <w:r w:rsidRPr="00B861C8">
              <w:rPr>
                <w:rFonts w:eastAsia="Times New Roman" w:cs="Times New Roman"/>
                <w:color w:val="4A4A4A"/>
                <w:sz w:val="21"/>
                <w:szCs w:val="21"/>
                <w:lang w:eastAsia="en-GB"/>
              </w:rPr>
              <w:t>G</w:t>
            </w:r>
          </w:p>
        </w:tc>
      </w:tr>
      <w:tr w:rsidR="00271045" w:rsidRPr="00F76147" w14:paraId="2BFBB2D2" w14:textId="77777777" w:rsidTr="0828A6AE">
        <w:trPr>
          <w:trHeight w:hRule="exact" w:val="284"/>
        </w:trPr>
        <w:tc>
          <w:tcPr>
            <w:tcW w:w="0" w:type="auto"/>
            <w:shd w:val="clear" w:color="auto" w:fill="auto"/>
            <w:noWrap/>
            <w:hideMark/>
          </w:tcPr>
          <w:p w14:paraId="6874B5E9" w14:textId="77777777" w:rsidR="00271045" w:rsidRPr="00B861C8" w:rsidRDefault="00271045" w:rsidP="00D72B52">
            <w:pPr>
              <w:ind w:firstLineChars="100" w:firstLine="210"/>
              <w:rPr>
                <w:rFonts w:eastAsia="Times New Roman" w:cs="Times New Roman"/>
                <w:color w:val="4A4A4A"/>
                <w:sz w:val="21"/>
                <w:szCs w:val="21"/>
                <w:lang w:eastAsia="en-GB"/>
              </w:rPr>
            </w:pPr>
            <w:r w:rsidRPr="00B861C8">
              <w:rPr>
                <w:rFonts w:eastAsia="Times New Roman" w:cs="Times New Roman"/>
                <w:color w:val="4A4A4A"/>
                <w:sz w:val="21"/>
                <w:szCs w:val="21"/>
                <w:lang w:eastAsia="en-GB"/>
              </w:rPr>
              <w:t>Africa</w:t>
            </w:r>
          </w:p>
        </w:tc>
        <w:tc>
          <w:tcPr>
            <w:tcW w:w="0" w:type="auto"/>
            <w:shd w:val="clear" w:color="auto" w:fill="auto"/>
            <w:noWrap/>
          </w:tcPr>
          <w:p w14:paraId="607394D8" w14:textId="77777777" w:rsidR="00271045" w:rsidRPr="00B861C8" w:rsidRDefault="00271045" w:rsidP="00D72B52">
            <w:pPr>
              <w:rPr>
                <w:rFonts w:eastAsia="Times New Roman" w:cs="Times New Roman"/>
                <w:color w:val="4A4A4A"/>
                <w:sz w:val="21"/>
                <w:szCs w:val="21"/>
                <w:lang w:eastAsia="en-GB"/>
              </w:rPr>
            </w:pPr>
            <w:r w:rsidRPr="00B861C8">
              <w:rPr>
                <w:rFonts w:eastAsia="Times New Roman" w:cs="Times New Roman"/>
                <w:color w:val="4A4A4A"/>
                <w:sz w:val="21"/>
                <w:szCs w:val="21"/>
                <w:lang w:eastAsia="en-GB"/>
              </w:rPr>
              <w:t>26</w:t>
            </w:r>
          </w:p>
        </w:tc>
        <w:tc>
          <w:tcPr>
            <w:tcW w:w="0" w:type="auto"/>
            <w:shd w:val="clear" w:color="auto" w:fill="auto"/>
            <w:noWrap/>
          </w:tcPr>
          <w:p w14:paraId="4D21FD35" w14:textId="77777777" w:rsidR="00271045" w:rsidRPr="00B861C8" w:rsidRDefault="00271045" w:rsidP="00D72B52">
            <w:pPr>
              <w:rPr>
                <w:rFonts w:eastAsia="Times New Roman" w:cs="Times New Roman"/>
                <w:color w:val="4A4A4A"/>
                <w:sz w:val="21"/>
                <w:szCs w:val="21"/>
                <w:lang w:eastAsia="en-GB"/>
              </w:rPr>
            </w:pPr>
            <w:r w:rsidRPr="00B861C8">
              <w:rPr>
                <w:rFonts w:eastAsia="Times New Roman" w:cs="Times New Roman"/>
                <w:color w:val="4A4A4A"/>
                <w:sz w:val="21"/>
                <w:szCs w:val="21"/>
                <w:lang w:eastAsia="en-GB"/>
              </w:rPr>
              <w:t>G</w:t>
            </w:r>
          </w:p>
        </w:tc>
      </w:tr>
      <w:tr w:rsidR="00271045" w:rsidRPr="00F76147" w14:paraId="2C99B105" w14:textId="77777777" w:rsidTr="0828A6AE">
        <w:trPr>
          <w:trHeight w:hRule="exact" w:val="284"/>
        </w:trPr>
        <w:tc>
          <w:tcPr>
            <w:tcW w:w="0" w:type="auto"/>
            <w:shd w:val="clear" w:color="auto" w:fill="auto"/>
            <w:noWrap/>
            <w:hideMark/>
          </w:tcPr>
          <w:p w14:paraId="7207F096" w14:textId="77777777" w:rsidR="00271045" w:rsidRPr="00B861C8" w:rsidRDefault="00271045" w:rsidP="00D72B52">
            <w:pPr>
              <w:ind w:firstLineChars="200" w:firstLine="420"/>
              <w:outlineLvl w:val="0"/>
              <w:rPr>
                <w:rFonts w:eastAsia="Times New Roman" w:cs="Times New Roman"/>
                <w:color w:val="4A4A4A"/>
                <w:sz w:val="21"/>
                <w:szCs w:val="21"/>
                <w:lang w:eastAsia="en-GB"/>
              </w:rPr>
            </w:pPr>
            <w:r w:rsidRPr="00B861C8">
              <w:rPr>
                <w:rFonts w:eastAsia="Times New Roman" w:cs="Times New Roman"/>
                <w:color w:val="4A4A4A"/>
                <w:sz w:val="21"/>
                <w:szCs w:val="21"/>
                <w:lang w:eastAsia="en-GB"/>
              </w:rPr>
              <w:t>Northern Africa</w:t>
            </w:r>
          </w:p>
        </w:tc>
        <w:tc>
          <w:tcPr>
            <w:tcW w:w="0" w:type="auto"/>
            <w:shd w:val="clear" w:color="auto" w:fill="auto"/>
            <w:noWrap/>
          </w:tcPr>
          <w:p w14:paraId="35A5A394" w14:textId="77777777" w:rsidR="00271045" w:rsidRPr="00B861C8" w:rsidRDefault="00271045" w:rsidP="00D72B52">
            <w:pPr>
              <w:outlineLvl w:val="0"/>
              <w:rPr>
                <w:rFonts w:eastAsia="Times New Roman" w:cs="Times New Roman"/>
                <w:color w:val="4A4A4A"/>
                <w:sz w:val="21"/>
                <w:szCs w:val="21"/>
                <w:lang w:eastAsia="en-GB"/>
              </w:rPr>
            </w:pPr>
            <w:r w:rsidRPr="00B861C8">
              <w:rPr>
                <w:rFonts w:eastAsia="Times New Roman" w:cs="Times New Roman"/>
                <w:color w:val="4A4A4A"/>
                <w:sz w:val="21"/>
                <w:szCs w:val="21"/>
                <w:lang w:eastAsia="en-GB"/>
              </w:rPr>
              <w:t>1</w:t>
            </w:r>
          </w:p>
        </w:tc>
        <w:tc>
          <w:tcPr>
            <w:tcW w:w="0" w:type="auto"/>
            <w:shd w:val="clear" w:color="auto" w:fill="auto"/>
            <w:noWrap/>
          </w:tcPr>
          <w:p w14:paraId="2E812CA0" w14:textId="77777777" w:rsidR="00271045" w:rsidRPr="00B861C8" w:rsidRDefault="00271045" w:rsidP="00D72B52">
            <w:pPr>
              <w:outlineLvl w:val="0"/>
              <w:rPr>
                <w:rFonts w:eastAsia="Times New Roman" w:cs="Times New Roman"/>
                <w:color w:val="4A4A4A"/>
                <w:sz w:val="21"/>
                <w:szCs w:val="21"/>
                <w:lang w:eastAsia="en-GB"/>
              </w:rPr>
            </w:pPr>
            <w:r w:rsidRPr="00B861C8">
              <w:rPr>
                <w:rFonts w:eastAsia="Times New Roman" w:cs="Times New Roman"/>
                <w:color w:val="4A4A4A"/>
                <w:sz w:val="21"/>
                <w:szCs w:val="21"/>
                <w:lang w:eastAsia="en-GB"/>
              </w:rPr>
              <w:t>G</w:t>
            </w:r>
          </w:p>
        </w:tc>
      </w:tr>
      <w:tr w:rsidR="00271045" w:rsidRPr="00F76147" w14:paraId="5D780507" w14:textId="77777777" w:rsidTr="0828A6AE">
        <w:trPr>
          <w:trHeight w:hRule="exact" w:val="284"/>
        </w:trPr>
        <w:tc>
          <w:tcPr>
            <w:tcW w:w="0" w:type="auto"/>
            <w:shd w:val="clear" w:color="auto" w:fill="auto"/>
            <w:noWrap/>
            <w:hideMark/>
          </w:tcPr>
          <w:p w14:paraId="1F28DDD1" w14:textId="77777777" w:rsidR="00271045" w:rsidRPr="00B861C8" w:rsidRDefault="00271045" w:rsidP="00D72B52">
            <w:pPr>
              <w:ind w:firstLineChars="200" w:firstLine="420"/>
              <w:outlineLvl w:val="0"/>
              <w:rPr>
                <w:rFonts w:eastAsia="Times New Roman" w:cs="Times New Roman"/>
                <w:color w:val="4A4A4A"/>
                <w:sz w:val="21"/>
                <w:szCs w:val="21"/>
                <w:lang w:eastAsia="en-GB"/>
              </w:rPr>
            </w:pPr>
            <w:r w:rsidRPr="00B861C8">
              <w:rPr>
                <w:rFonts w:eastAsia="Times New Roman" w:cs="Times New Roman"/>
                <w:color w:val="4A4A4A"/>
                <w:sz w:val="21"/>
                <w:szCs w:val="21"/>
                <w:lang w:eastAsia="en-GB"/>
              </w:rPr>
              <w:t>Sub-Saharan Africa</w:t>
            </w:r>
          </w:p>
        </w:tc>
        <w:tc>
          <w:tcPr>
            <w:tcW w:w="0" w:type="auto"/>
            <w:shd w:val="clear" w:color="auto" w:fill="auto"/>
            <w:noWrap/>
          </w:tcPr>
          <w:p w14:paraId="7DD25BF6" w14:textId="77777777" w:rsidR="00271045" w:rsidRPr="00B861C8" w:rsidRDefault="00271045" w:rsidP="00D72B52">
            <w:pPr>
              <w:outlineLvl w:val="0"/>
              <w:rPr>
                <w:rFonts w:eastAsia="Times New Roman" w:cs="Times New Roman"/>
                <w:color w:val="4A4A4A"/>
                <w:sz w:val="21"/>
                <w:szCs w:val="21"/>
                <w:lang w:eastAsia="en-GB"/>
              </w:rPr>
            </w:pPr>
            <w:r w:rsidRPr="00B861C8">
              <w:rPr>
                <w:rFonts w:eastAsia="Times New Roman" w:cs="Times New Roman"/>
                <w:color w:val="4A4A4A"/>
                <w:sz w:val="21"/>
                <w:szCs w:val="21"/>
                <w:lang w:eastAsia="en-GB"/>
              </w:rPr>
              <w:t>25</w:t>
            </w:r>
          </w:p>
        </w:tc>
        <w:tc>
          <w:tcPr>
            <w:tcW w:w="0" w:type="auto"/>
            <w:shd w:val="clear" w:color="auto" w:fill="auto"/>
            <w:noWrap/>
          </w:tcPr>
          <w:p w14:paraId="0A1EDFAF" w14:textId="77777777" w:rsidR="00271045" w:rsidRPr="00B861C8" w:rsidRDefault="00271045" w:rsidP="00D72B52">
            <w:pPr>
              <w:outlineLvl w:val="0"/>
              <w:rPr>
                <w:rFonts w:eastAsia="Times New Roman" w:cs="Times New Roman"/>
                <w:color w:val="4A4A4A"/>
                <w:sz w:val="21"/>
                <w:szCs w:val="21"/>
                <w:lang w:eastAsia="en-GB"/>
              </w:rPr>
            </w:pPr>
            <w:r w:rsidRPr="00B861C8">
              <w:rPr>
                <w:rFonts w:eastAsia="Times New Roman" w:cs="Times New Roman"/>
                <w:color w:val="4A4A4A"/>
                <w:sz w:val="21"/>
                <w:szCs w:val="21"/>
                <w:lang w:eastAsia="en-GB"/>
              </w:rPr>
              <w:t>G</w:t>
            </w:r>
          </w:p>
        </w:tc>
      </w:tr>
      <w:tr w:rsidR="00271045" w:rsidRPr="00F76147" w14:paraId="30E013A2" w14:textId="77777777" w:rsidTr="0828A6AE">
        <w:trPr>
          <w:trHeight w:hRule="exact" w:val="284"/>
        </w:trPr>
        <w:tc>
          <w:tcPr>
            <w:tcW w:w="0" w:type="auto"/>
            <w:shd w:val="clear" w:color="auto" w:fill="auto"/>
            <w:noWrap/>
            <w:hideMark/>
          </w:tcPr>
          <w:p w14:paraId="6065D02E" w14:textId="77777777" w:rsidR="00271045" w:rsidRPr="00B861C8" w:rsidRDefault="00271045" w:rsidP="00D72B52">
            <w:pPr>
              <w:ind w:firstLineChars="300" w:firstLine="630"/>
              <w:outlineLvl w:val="1"/>
              <w:rPr>
                <w:rFonts w:eastAsia="Times New Roman" w:cs="Times New Roman"/>
                <w:color w:val="4A4A4A"/>
                <w:sz w:val="21"/>
                <w:szCs w:val="21"/>
                <w:lang w:eastAsia="en-GB"/>
              </w:rPr>
            </w:pPr>
            <w:r w:rsidRPr="00B861C8">
              <w:rPr>
                <w:rFonts w:eastAsia="Times New Roman" w:cs="Times New Roman"/>
                <w:color w:val="4A4A4A"/>
                <w:sz w:val="21"/>
                <w:szCs w:val="21"/>
                <w:lang w:eastAsia="en-GB"/>
              </w:rPr>
              <w:t>Eastern Africa</w:t>
            </w:r>
          </w:p>
        </w:tc>
        <w:tc>
          <w:tcPr>
            <w:tcW w:w="0" w:type="auto"/>
            <w:shd w:val="clear" w:color="auto" w:fill="auto"/>
            <w:noWrap/>
          </w:tcPr>
          <w:p w14:paraId="3CF07178" w14:textId="77777777" w:rsidR="00271045" w:rsidRPr="00B861C8" w:rsidRDefault="00271045" w:rsidP="00D72B52">
            <w:pPr>
              <w:outlineLvl w:val="1"/>
              <w:rPr>
                <w:rFonts w:eastAsia="Times New Roman" w:cs="Times New Roman"/>
                <w:color w:val="4A4A4A"/>
                <w:sz w:val="21"/>
                <w:szCs w:val="21"/>
                <w:lang w:eastAsia="en-GB"/>
              </w:rPr>
            </w:pPr>
            <w:r w:rsidRPr="00B861C8">
              <w:rPr>
                <w:rFonts w:eastAsia="Times New Roman" w:cs="Times New Roman"/>
                <w:color w:val="4A4A4A"/>
                <w:sz w:val="21"/>
                <w:szCs w:val="21"/>
                <w:lang w:eastAsia="en-GB"/>
              </w:rPr>
              <w:t>9</w:t>
            </w:r>
          </w:p>
        </w:tc>
        <w:tc>
          <w:tcPr>
            <w:tcW w:w="0" w:type="auto"/>
            <w:shd w:val="clear" w:color="auto" w:fill="auto"/>
            <w:noWrap/>
          </w:tcPr>
          <w:p w14:paraId="6F3DCCA0" w14:textId="77777777" w:rsidR="00271045" w:rsidRPr="00B861C8" w:rsidRDefault="00271045" w:rsidP="00D72B52">
            <w:pPr>
              <w:outlineLvl w:val="1"/>
              <w:rPr>
                <w:rFonts w:eastAsia="Times New Roman" w:cs="Times New Roman"/>
                <w:color w:val="4A4A4A"/>
                <w:sz w:val="21"/>
                <w:szCs w:val="21"/>
                <w:lang w:eastAsia="en-GB"/>
              </w:rPr>
            </w:pPr>
            <w:r w:rsidRPr="00B861C8">
              <w:rPr>
                <w:rFonts w:eastAsia="Times New Roman" w:cs="Times New Roman"/>
                <w:color w:val="4A4A4A"/>
                <w:sz w:val="21"/>
                <w:szCs w:val="21"/>
                <w:lang w:eastAsia="en-GB"/>
              </w:rPr>
              <w:t>G</w:t>
            </w:r>
          </w:p>
        </w:tc>
      </w:tr>
      <w:tr w:rsidR="00271045" w:rsidRPr="00F76147" w14:paraId="19705C46" w14:textId="77777777" w:rsidTr="0828A6AE">
        <w:trPr>
          <w:trHeight w:hRule="exact" w:val="284"/>
        </w:trPr>
        <w:tc>
          <w:tcPr>
            <w:tcW w:w="0" w:type="auto"/>
            <w:shd w:val="clear" w:color="auto" w:fill="auto"/>
            <w:noWrap/>
            <w:hideMark/>
          </w:tcPr>
          <w:p w14:paraId="1F5DEAEC" w14:textId="77777777" w:rsidR="00271045" w:rsidRPr="00B861C8" w:rsidRDefault="00271045" w:rsidP="00D72B52">
            <w:pPr>
              <w:ind w:firstLineChars="300" w:firstLine="630"/>
              <w:outlineLvl w:val="1"/>
              <w:rPr>
                <w:rFonts w:eastAsia="Times New Roman" w:cs="Times New Roman"/>
                <w:color w:val="4A4A4A"/>
                <w:sz w:val="21"/>
                <w:szCs w:val="21"/>
                <w:lang w:eastAsia="en-GB"/>
              </w:rPr>
            </w:pPr>
            <w:r w:rsidRPr="00B861C8">
              <w:rPr>
                <w:rFonts w:eastAsia="Times New Roman" w:cs="Times New Roman"/>
                <w:color w:val="4A4A4A"/>
                <w:sz w:val="21"/>
                <w:szCs w:val="21"/>
                <w:lang w:eastAsia="en-GB"/>
              </w:rPr>
              <w:t>Middle Africa</w:t>
            </w:r>
          </w:p>
        </w:tc>
        <w:tc>
          <w:tcPr>
            <w:tcW w:w="0" w:type="auto"/>
            <w:shd w:val="clear" w:color="auto" w:fill="auto"/>
            <w:noWrap/>
          </w:tcPr>
          <w:p w14:paraId="710A14A2" w14:textId="77777777" w:rsidR="00271045" w:rsidRPr="00B861C8" w:rsidRDefault="00271045" w:rsidP="00D72B52">
            <w:pPr>
              <w:outlineLvl w:val="1"/>
              <w:rPr>
                <w:rFonts w:eastAsia="Times New Roman" w:cs="Times New Roman"/>
                <w:color w:val="4A4A4A"/>
                <w:sz w:val="21"/>
                <w:szCs w:val="21"/>
                <w:lang w:eastAsia="en-GB"/>
              </w:rPr>
            </w:pPr>
            <w:r w:rsidRPr="00B861C8">
              <w:rPr>
                <w:rFonts w:eastAsia="Times New Roman" w:cs="Times New Roman"/>
                <w:color w:val="4A4A4A"/>
                <w:sz w:val="21"/>
                <w:szCs w:val="21"/>
                <w:lang w:eastAsia="en-GB"/>
              </w:rPr>
              <w:t>6</w:t>
            </w:r>
          </w:p>
        </w:tc>
        <w:tc>
          <w:tcPr>
            <w:tcW w:w="0" w:type="auto"/>
            <w:shd w:val="clear" w:color="auto" w:fill="auto"/>
            <w:noWrap/>
          </w:tcPr>
          <w:p w14:paraId="2AC66DD5" w14:textId="77777777" w:rsidR="00271045" w:rsidRPr="00B861C8" w:rsidRDefault="00271045" w:rsidP="00D72B52">
            <w:pPr>
              <w:outlineLvl w:val="1"/>
              <w:rPr>
                <w:rFonts w:eastAsia="Times New Roman" w:cs="Times New Roman"/>
                <w:color w:val="4A4A4A"/>
                <w:sz w:val="21"/>
                <w:szCs w:val="21"/>
                <w:lang w:eastAsia="en-GB"/>
              </w:rPr>
            </w:pPr>
            <w:r w:rsidRPr="00B861C8">
              <w:rPr>
                <w:rFonts w:eastAsia="Times New Roman" w:cs="Times New Roman"/>
                <w:color w:val="4A4A4A"/>
                <w:sz w:val="21"/>
                <w:szCs w:val="21"/>
                <w:lang w:eastAsia="en-GB"/>
              </w:rPr>
              <w:t>G</w:t>
            </w:r>
          </w:p>
        </w:tc>
      </w:tr>
      <w:tr w:rsidR="00271045" w:rsidRPr="00F76147" w14:paraId="11A3E2FA" w14:textId="77777777" w:rsidTr="0828A6AE">
        <w:trPr>
          <w:trHeight w:hRule="exact" w:val="284"/>
        </w:trPr>
        <w:tc>
          <w:tcPr>
            <w:tcW w:w="0" w:type="auto"/>
            <w:shd w:val="clear" w:color="auto" w:fill="auto"/>
            <w:noWrap/>
            <w:hideMark/>
          </w:tcPr>
          <w:p w14:paraId="06909F62" w14:textId="77777777" w:rsidR="00271045" w:rsidRPr="00B861C8" w:rsidRDefault="00271045" w:rsidP="00D72B52">
            <w:pPr>
              <w:ind w:firstLineChars="300" w:firstLine="630"/>
              <w:outlineLvl w:val="1"/>
              <w:rPr>
                <w:rFonts w:eastAsia="Times New Roman" w:cs="Times New Roman"/>
                <w:color w:val="4A4A4A"/>
                <w:sz w:val="21"/>
                <w:szCs w:val="21"/>
                <w:lang w:eastAsia="en-GB"/>
              </w:rPr>
            </w:pPr>
            <w:r w:rsidRPr="00B861C8">
              <w:rPr>
                <w:rFonts w:eastAsia="Times New Roman" w:cs="Times New Roman"/>
                <w:color w:val="4A4A4A"/>
                <w:sz w:val="21"/>
                <w:szCs w:val="21"/>
                <w:lang w:eastAsia="en-GB"/>
              </w:rPr>
              <w:t>Southern Africa</w:t>
            </w:r>
          </w:p>
        </w:tc>
        <w:tc>
          <w:tcPr>
            <w:tcW w:w="0" w:type="auto"/>
            <w:shd w:val="clear" w:color="auto" w:fill="auto"/>
            <w:noWrap/>
          </w:tcPr>
          <w:p w14:paraId="753F1DAF" w14:textId="77777777" w:rsidR="00271045" w:rsidRPr="00B861C8" w:rsidRDefault="00271045" w:rsidP="00D72B52">
            <w:pPr>
              <w:outlineLvl w:val="1"/>
              <w:rPr>
                <w:rFonts w:eastAsia="Times New Roman" w:cs="Times New Roman"/>
                <w:color w:val="4A4A4A"/>
                <w:sz w:val="21"/>
                <w:szCs w:val="21"/>
                <w:lang w:eastAsia="en-GB"/>
              </w:rPr>
            </w:pPr>
            <w:r w:rsidRPr="00B861C8">
              <w:rPr>
                <w:rFonts w:eastAsia="Times New Roman" w:cs="Times New Roman"/>
                <w:color w:val="4A4A4A"/>
                <w:sz w:val="21"/>
                <w:szCs w:val="21"/>
                <w:lang w:eastAsia="en-GB"/>
              </w:rPr>
              <w:t>4</w:t>
            </w:r>
          </w:p>
        </w:tc>
        <w:tc>
          <w:tcPr>
            <w:tcW w:w="0" w:type="auto"/>
            <w:shd w:val="clear" w:color="auto" w:fill="auto"/>
            <w:noWrap/>
          </w:tcPr>
          <w:p w14:paraId="1162AD6D" w14:textId="77777777" w:rsidR="00271045" w:rsidRPr="00B861C8" w:rsidRDefault="00271045" w:rsidP="00D72B52">
            <w:pPr>
              <w:outlineLvl w:val="1"/>
              <w:rPr>
                <w:rFonts w:eastAsia="Times New Roman" w:cs="Times New Roman"/>
                <w:color w:val="4A4A4A"/>
                <w:sz w:val="21"/>
                <w:szCs w:val="21"/>
                <w:lang w:eastAsia="en-GB"/>
              </w:rPr>
            </w:pPr>
            <w:r w:rsidRPr="00B861C8">
              <w:rPr>
                <w:rFonts w:eastAsia="Times New Roman" w:cs="Times New Roman"/>
                <w:color w:val="4A4A4A"/>
                <w:sz w:val="21"/>
                <w:szCs w:val="21"/>
                <w:lang w:eastAsia="en-GB"/>
              </w:rPr>
              <w:t>G</w:t>
            </w:r>
          </w:p>
        </w:tc>
      </w:tr>
      <w:tr w:rsidR="00271045" w:rsidRPr="00F76147" w14:paraId="5A7F9DA3" w14:textId="77777777" w:rsidTr="0828A6AE">
        <w:trPr>
          <w:trHeight w:hRule="exact" w:val="284"/>
        </w:trPr>
        <w:tc>
          <w:tcPr>
            <w:tcW w:w="0" w:type="auto"/>
            <w:shd w:val="clear" w:color="auto" w:fill="auto"/>
            <w:noWrap/>
            <w:hideMark/>
          </w:tcPr>
          <w:p w14:paraId="57474305" w14:textId="77777777" w:rsidR="00271045" w:rsidRPr="00B861C8" w:rsidRDefault="00271045" w:rsidP="00D72B52">
            <w:pPr>
              <w:ind w:firstLineChars="300" w:firstLine="630"/>
              <w:outlineLvl w:val="1"/>
              <w:rPr>
                <w:rFonts w:eastAsia="Times New Roman" w:cs="Times New Roman"/>
                <w:color w:val="4A4A4A"/>
                <w:sz w:val="21"/>
                <w:szCs w:val="21"/>
                <w:lang w:eastAsia="en-GB"/>
              </w:rPr>
            </w:pPr>
            <w:r w:rsidRPr="00B861C8">
              <w:rPr>
                <w:rFonts w:eastAsia="Times New Roman" w:cs="Times New Roman"/>
                <w:color w:val="4A4A4A"/>
                <w:sz w:val="21"/>
                <w:szCs w:val="21"/>
                <w:lang w:eastAsia="en-GB"/>
              </w:rPr>
              <w:t>Western Africa</w:t>
            </w:r>
          </w:p>
        </w:tc>
        <w:tc>
          <w:tcPr>
            <w:tcW w:w="0" w:type="auto"/>
            <w:shd w:val="clear" w:color="auto" w:fill="auto"/>
            <w:noWrap/>
          </w:tcPr>
          <w:p w14:paraId="63E30B7A" w14:textId="77777777" w:rsidR="00271045" w:rsidRPr="00B861C8" w:rsidRDefault="00271045" w:rsidP="00D72B52">
            <w:pPr>
              <w:outlineLvl w:val="1"/>
              <w:rPr>
                <w:rFonts w:eastAsia="Times New Roman" w:cs="Times New Roman"/>
                <w:color w:val="4A4A4A"/>
                <w:sz w:val="21"/>
                <w:szCs w:val="21"/>
                <w:lang w:eastAsia="en-GB"/>
              </w:rPr>
            </w:pPr>
            <w:r w:rsidRPr="00B861C8">
              <w:rPr>
                <w:rFonts w:eastAsia="Times New Roman" w:cs="Times New Roman"/>
                <w:color w:val="4A4A4A"/>
                <w:sz w:val="21"/>
                <w:szCs w:val="21"/>
                <w:lang w:eastAsia="en-GB"/>
              </w:rPr>
              <w:t>6</w:t>
            </w:r>
          </w:p>
        </w:tc>
        <w:tc>
          <w:tcPr>
            <w:tcW w:w="0" w:type="auto"/>
            <w:shd w:val="clear" w:color="auto" w:fill="auto"/>
            <w:noWrap/>
          </w:tcPr>
          <w:p w14:paraId="183C4068" w14:textId="77777777" w:rsidR="00271045" w:rsidRPr="00B861C8" w:rsidRDefault="00271045" w:rsidP="00D72B52">
            <w:pPr>
              <w:outlineLvl w:val="1"/>
              <w:rPr>
                <w:rFonts w:eastAsia="Times New Roman" w:cs="Times New Roman"/>
                <w:color w:val="4A4A4A"/>
                <w:sz w:val="21"/>
                <w:szCs w:val="21"/>
                <w:lang w:eastAsia="en-GB"/>
              </w:rPr>
            </w:pPr>
            <w:r w:rsidRPr="00B861C8">
              <w:rPr>
                <w:rFonts w:eastAsia="Times New Roman" w:cs="Times New Roman"/>
                <w:color w:val="4A4A4A"/>
                <w:sz w:val="21"/>
                <w:szCs w:val="21"/>
                <w:lang w:eastAsia="en-GB"/>
              </w:rPr>
              <w:t>G</w:t>
            </w:r>
          </w:p>
        </w:tc>
      </w:tr>
      <w:tr w:rsidR="00271045" w:rsidRPr="00F76147" w14:paraId="56D49FD1" w14:textId="77777777" w:rsidTr="0828A6AE">
        <w:trPr>
          <w:trHeight w:hRule="exact" w:val="284"/>
        </w:trPr>
        <w:tc>
          <w:tcPr>
            <w:tcW w:w="0" w:type="auto"/>
            <w:shd w:val="clear" w:color="auto" w:fill="auto"/>
            <w:noWrap/>
            <w:hideMark/>
          </w:tcPr>
          <w:p w14:paraId="6CCF5778" w14:textId="77777777" w:rsidR="00271045" w:rsidRPr="00B861C8" w:rsidRDefault="00271045" w:rsidP="00D72B52">
            <w:pPr>
              <w:ind w:firstLineChars="100" w:firstLine="210"/>
              <w:rPr>
                <w:rFonts w:eastAsia="Times New Roman" w:cs="Times New Roman"/>
                <w:color w:val="4A4A4A"/>
                <w:sz w:val="21"/>
                <w:szCs w:val="21"/>
                <w:lang w:eastAsia="en-GB"/>
              </w:rPr>
            </w:pPr>
            <w:r w:rsidRPr="00B861C8">
              <w:rPr>
                <w:rFonts w:eastAsia="Times New Roman" w:cs="Times New Roman"/>
                <w:color w:val="4A4A4A"/>
                <w:sz w:val="21"/>
                <w:szCs w:val="21"/>
                <w:lang w:eastAsia="en-GB"/>
              </w:rPr>
              <w:t>Americas</w:t>
            </w:r>
          </w:p>
        </w:tc>
        <w:tc>
          <w:tcPr>
            <w:tcW w:w="0" w:type="auto"/>
            <w:shd w:val="clear" w:color="auto" w:fill="auto"/>
            <w:noWrap/>
          </w:tcPr>
          <w:p w14:paraId="695B8DF4" w14:textId="77777777" w:rsidR="00271045" w:rsidRPr="00B861C8" w:rsidRDefault="00271045" w:rsidP="00D72B52">
            <w:pPr>
              <w:rPr>
                <w:rFonts w:eastAsia="Times New Roman" w:cs="Times New Roman"/>
                <w:color w:val="4A4A4A"/>
                <w:sz w:val="21"/>
                <w:szCs w:val="21"/>
                <w:lang w:eastAsia="en-GB"/>
              </w:rPr>
            </w:pPr>
            <w:r w:rsidRPr="00B861C8">
              <w:rPr>
                <w:rFonts w:eastAsia="Times New Roman" w:cs="Times New Roman"/>
                <w:color w:val="4A4A4A"/>
                <w:sz w:val="21"/>
                <w:szCs w:val="21"/>
                <w:lang w:eastAsia="en-GB"/>
              </w:rPr>
              <w:t>27</w:t>
            </w:r>
          </w:p>
        </w:tc>
        <w:tc>
          <w:tcPr>
            <w:tcW w:w="0" w:type="auto"/>
            <w:shd w:val="clear" w:color="auto" w:fill="auto"/>
            <w:noWrap/>
          </w:tcPr>
          <w:p w14:paraId="7861B11D" w14:textId="77777777" w:rsidR="00271045" w:rsidRPr="00B861C8" w:rsidRDefault="00271045" w:rsidP="00D72B52">
            <w:pPr>
              <w:rPr>
                <w:rFonts w:eastAsia="Times New Roman" w:cs="Times New Roman"/>
                <w:color w:val="4A4A4A"/>
                <w:sz w:val="21"/>
                <w:szCs w:val="21"/>
                <w:lang w:eastAsia="en-GB"/>
              </w:rPr>
            </w:pPr>
            <w:r w:rsidRPr="00B861C8">
              <w:rPr>
                <w:rFonts w:eastAsia="Times New Roman" w:cs="Times New Roman"/>
                <w:color w:val="4A4A4A"/>
                <w:sz w:val="21"/>
                <w:szCs w:val="21"/>
                <w:lang w:eastAsia="en-GB"/>
              </w:rPr>
              <w:t>G</w:t>
            </w:r>
          </w:p>
        </w:tc>
      </w:tr>
      <w:tr w:rsidR="00271045" w:rsidRPr="00F76147" w14:paraId="551C32D9" w14:textId="77777777" w:rsidTr="0828A6AE">
        <w:trPr>
          <w:trHeight w:hRule="exact" w:val="284"/>
        </w:trPr>
        <w:tc>
          <w:tcPr>
            <w:tcW w:w="0" w:type="auto"/>
            <w:shd w:val="clear" w:color="auto" w:fill="auto"/>
            <w:noWrap/>
            <w:hideMark/>
          </w:tcPr>
          <w:p w14:paraId="3603FF8D" w14:textId="77777777" w:rsidR="00271045" w:rsidRPr="00B861C8" w:rsidRDefault="00271045" w:rsidP="00D72B52">
            <w:pPr>
              <w:ind w:firstLineChars="200" w:firstLine="420"/>
              <w:outlineLvl w:val="0"/>
              <w:rPr>
                <w:rFonts w:eastAsia="Times New Roman" w:cs="Times New Roman"/>
                <w:color w:val="4A4A4A"/>
                <w:sz w:val="21"/>
                <w:szCs w:val="21"/>
                <w:lang w:eastAsia="en-GB"/>
              </w:rPr>
            </w:pPr>
            <w:r w:rsidRPr="00B861C8">
              <w:rPr>
                <w:rFonts w:eastAsia="Times New Roman" w:cs="Times New Roman"/>
                <w:color w:val="4A4A4A"/>
                <w:sz w:val="21"/>
                <w:szCs w:val="21"/>
                <w:lang w:eastAsia="en-GB"/>
              </w:rPr>
              <w:t>Latin America and the Caribbean</w:t>
            </w:r>
          </w:p>
        </w:tc>
        <w:tc>
          <w:tcPr>
            <w:tcW w:w="0" w:type="auto"/>
            <w:shd w:val="clear" w:color="auto" w:fill="auto"/>
            <w:noWrap/>
          </w:tcPr>
          <w:p w14:paraId="526F89E8" w14:textId="77777777" w:rsidR="00271045" w:rsidRPr="00B861C8" w:rsidRDefault="00271045" w:rsidP="00D72B52">
            <w:pPr>
              <w:outlineLvl w:val="0"/>
              <w:rPr>
                <w:rFonts w:eastAsia="Times New Roman" w:cs="Times New Roman"/>
                <w:color w:val="4A4A4A"/>
                <w:sz w:val="21"/>
                <w:szCs w:val="21"/>
                <w:lang w:eastAsia="en-GB"/>
              </w:rPr>
            </w:pPr>
            <w:r w:rsidRPr="00B861C8">
              <w:rPr>
                <w:rFonts w:eastAsia="Times New Roman" w:cs="Times New Roman"/>
                <w:color w:val="4A4A4A"/>
                <w:sz w:val="21"/>
                <w:szCs w:val="21"/>
                <w:lang w:eastAsia="en-GB"/>
              </w:rPr>
              <w:t>25</w:t>
            </w:r>
          </w:p>
        </w:tc>
        <w:tc>
          <w:tcPr>
            <w:tcW w:w="0" w:type="auto"/>
            <w:shd w:val="clear" w:color="auto" w:fill="auto"/>
            <w:noWrap/>
          </w:tcPr>
          <w:p w14:paraId="1C0A6047" w14:textId="77777777" w:rsidR="00271045" w:rsidRPr="00B861C8" w:rsidRDefault="00271045" w:rsidP="00D72B52">
            <w:pPr>
              <w:outlineLvl w:val="0"/>
              <w:rPr>
                <w:rFonts w:eastAsia="Times New Roman" w:cs="Times New Roman"/>
                <w:color w:val="4A4A4A"/>
                <w:sz w:val="21"/>
                <w:szCs w:val="21"/>
                <w:lang w:eastAsia="en-GB"/>
              </w:rPr>
            </w:pPr>
            <w:r w:rsidRPr="00B861C8">
              <w:rPr>
                <w:rFonts w:eastAsia="Times New Roman" w:cs="Times New Roman"/>
                <w:color w:val="4A4A4A"/>
                <w:sz w:val="21"/>
                <w:szCs w:val="21"/>
                <w:lang w:eastAsia="en-GB"/>
              </w:rPr>
              <w:t>G</w:t>
            </w:r>
          </w:p>
        </w:tc>
      </w:tr>
      <w:tr w:rsidR="00271045" w:rsidRPr="00F76147" w14:paraId="72A88E42" w14:textId="77777777" w:rsidTr="0828A6AE">
        <w:trPr>
          <w:trHeight w:hRule="exact" w:val="284"/>
        </w:trPr>
        <w:tc>
          <w:tcPr>
            <w:tcW w:w="0" w:type="auto"/>
            <w:shd w:val="clear" w:color="auto" w:fill="auto"/>
            <w:noWrap/>
            <w:hideMark/>
          </w:tcPr>
          <w:p w14:paraId="35D78B5F" w14:textId="77777777" w:rsidR="00271045" w:rsidRPr="00B861C8" w:rsidRDefault="00271045" w:rsidP="00D72B52">
            <w:pPr>
              <w:ind w:firstLineChars="300" w:firstLine="630"/>
              <w:outlineLvl w:val="1"/>
              <w:rPr>
                <w:rFonts w:eastAsia="Times New Roman" w:cs="Times New Roman"/>
                <w:color w:val="4A4A4A"/>
                <w:sz w:val="21"/>
                <w:szCs w:val="21"/>
                <w:lang w:eastAsia="en-GB"/>
              </w:rPr>
            </w:pPr>
            <w:r w:rsidRPr="00B861C8">
              <w:rPr>
                <w:rFonts w:eastAsia="Times New Roman" w:cs="Times New Roman"/>
                <w:color w:val="4A4A4A"/>
                <w:sz w:val="21"/>
                <w:szCs w:val="21"/>
                <w:lang w:eastAsia="en-GB"/>
              </w:rPr>
              <w:t>Caribbean</w:t>
            </w:r>
          </w:p>
        </w:tc>
        <w:tc>
          <w:tcPr>
            <w:tcW w:w="0" w:type="auto"/>
            <w:shd w:val="clear" w:color="auto" w:fill="auto"/>
            <w:noWrap/>
          </w:tcPr>
          <w:p w14:paraId="290A7B81" w14:textId="77777777" w:rsidR="00271045" w:rsidRPr="00B861C8" w:rsidRDefault="00271045" w:rsidP="00D72B52">
            <w:pPr>
              <w:outlineLvl w:val="1"/>
              <w:rPr>
                <w:rFonts w:eastAsia="Times New Roman" w:cs="Times New Roman"/>
                <w:color w:val="4A4A4A"/>
                <w:sz w:val="21"/>
                <w:szCs w:val="21"/>
                <w:lang w:eastAsia="en-GB"/>
              </w:rPr>
            </w:pPr>
            <w:r w:rsidRPr="00B861C8">
              <w:rPr>
                <w:rFonts w:eastAsia="Times New Roman" w:cs="Times New Roman"/>
                <w:color w:val="4A4A4A"/>
                <w:sz w:val="21"/>
                <w:szCs w:val="21"/>
                <w:lang w:eastAsia="en-GB"/>
              </w:rPr>
              <w:t>9</w:t>
            </w:r>
          </w:p>
        </w:tc>
        <w:tc>
          <w:tcPr>
            <w:tcW w:w="0" w:type="auto"/>
            <w:shd w:val="clear" w:color="auto" w:fill="auto"/>
            <w:noWrap/>
          </w:tcPr>
          <w:p w14:paraId="1230BBFD" w14:textId="77777777" w:rsidR="00271045" w:rsidRPr="00B861C8" w:rsidRDefault="00271045" w:rsidP="00D72B52">
            <w:pPr>
              <w:outlineLvl w:val="1"/>
              <w:rPr>
                <w:rFonts w:eastAsia="Times New Roman" w:cs="Times New Roman"/>
                <w:color w:val="4A4A4A"/>
                <w:sz w:val="21"/>
                <w:szCs w:val="21"/>
                <w:lang w:eastAsia="en-GB"/>
              </w:rPr>
            </w:pPr>
            <w:r w:rsidRPr="00B861C8">
              <w:rPr>
                <w:rFonts w:eastAsia="Times New Roman" w:cs="Times New Roman"/>
                <w:color w:val="4A4A4A"/>
                <w:sz w:val="21"/>
                <w:szCs w:val="21"/>
                <w:lang w:eastAsia="en-GB"/>
              </w:rPr>
              <w:t>G</w:t>
            </w:r>
          </w:p>
        </w:tc>
      </w:tr>
      <w:tr w:rsidR="00271045" w:rsidRPr="00F76147" w14:paraId="264632A4" w14:textId="77777777" w:rsidTr="0828A6AE">
        <w:trPr>
          <w:trHeight w:hRule="exact" w:val="284"/>
        </w:trPr>
        <w:tc>
          <w:tcPr>
            <w:tcW w:w="0" w:type="auto"/>
            <w:shd w:val="clear" w:color="auto" w:fill="auto"/>
            <w:noWrap/>
            <w:hideMark/>
          </w:tcPr>
          <w:p w14:paraId="47666067" w14:textId="77777777" w:rsidR="00271045" w:rsidRPr="00B861C8" w:rsidRDefault="00271045" w:rsidP="00D72B52">
            <w:pPr>
              <w:ind w:firstLineChars="300" w:firstLine="630"/>
              <w:outlineLvl w:val="1"/>
              <w:rPr>
                <w:rFonts w:eastAsia="Times New Roman" w:cs="Times New Roman"/>
                <w:color w:val="4A4A4A"/>
                <w:sz w:val="21"/>
                <w:szCs w:val="21"/>
                <w:lang w:eastAsia="en-GB"/>
              </w:rPr>
            </w:pPr>
            <w:r w:rsidRPr="00B861C8">
              <w:rPr>
                <w:rFonts w:eastAsia="Times New Roman" w:cs="Times New Roman"/>
                <w:color w:val="4A4A4A"/>
                <w:sz w:val="21"/>
                <w:szCs w:val="21"/>
                <w:lang w:eastAsia="en-GB"/>
              </w:rPr>
              <w:t>Latin America</w:t>
            </w:r>
          </w:p>
        </w:tc>
        <w:tc>
          <w:tcPr>
            <w:tcW w:w="0" w:type="auto"/>
            <w:shd w:val="clear" w:color="auto" w:fill="auto"/>
            <w:noWrap/>
          </w:tcPr>
          <w:p w14:paraId="3D8D34F2" w14:textId="77777777" w:rsidR="00271045" w:rsidRPr="00B861C8" w:rsidRDefault="00271045" w:rsidP="00D72B52">
            <w:pPr>
              <w:outlineLvl w:val="1"/>
              <w:rPr>
                <w:rFonts w:eastAsia="Times New Roman" w:cs="Times New Roman"/>
                <w:color w:val="4A4A4A"/>
                <w:sz w:val="21"/>
                <w:szCs w:val="21"/>
                <w:lang w:eastAsia="en-GB"/>
              </w:rPr>
            </w:pPr>
            <w:r w:rsidRPr="00B861C8">
              <w:rPr>
                <w:rFonts w:eastAsia="Times New Roman" w:cs="Times New Roman"/>
                <w:color w:val="4A4A4A"/>
                <w:sz w:val="21"/>
                <w:szCs w:val="21"/>
                <w:lang w:eastAsia="en-GB"/>
              </w:rPr>
              <w:t>14</w:t>
            </w:r>
          </w:p>
        </w:tc>
        <w:tc>
          <w:tcPr>
            <w:tcW w:w="0" w:type="auto"/>
            <w:shd w:val="clear" w:color="auto" w:fill="auto"/>
            <w:noWrap/>
          </w:tcPr>
          <w:p w14:paraId="6D350679" w14:textId="77777777" w:rsidR="00271045" w:rsidRPr="00B861C8" w:rsidRDefault="00271045" w:rsidP="00D72B52">
            <w:pPr>
              <w:outlineLvl w:val="1"/>
              <w:rPr>
                <w:rFonts w:eastAsia="Times New Roman" w:cs="Times New Roman"/>
                <w:color w:val="4A4A4A"/>
                <w:sz w:val="21"/>
                <w:szCs w:val="21"/>
                <w:lang w:eastAsia="en-GB"/>
              </w:rPr>
            </w:pPr>
            <w:r w:rsidRPr="00B861C8">
              <w:rPr>
                <w:rFonts w:eastAsia="Times New Roman" w:cs="Times New Roman"/>
                <w:color w:val="4A4A4A"/>
                <w:sz w:val="21"/>
                <w:szCs w:val="21"/>
                <w:lang w:eastAsia="en-GB"/>
              </w:rPr>
              <w:t>G</w:t>
            </w:r>
          </w:p>
        </w:tc>
      </w:tr>
      <w:tr w:rsidR="00271045" w:rsidRPr="00F76147" w14:paraId="6B5D17FD" w14:textId="77777777" w:rsidTr="0828A6AE">
        <w:trPr>
          <w:trHeight w:hRule="exact" w:val="284"/>
        </w:trPr>
        <w:tc>
          <w:tcPr>
            <w:tcW w:w="0" w:type="auto"/>
            <w:shd w:val="clear" w:color="auto" w:fill="auto"/>
            <w:noWrap/>
            <w:hideMark/>
          </w:tcPr>
          <w:p w14:paraId="6E117998" w14:textId="77777777" w:rsidR="00271045" w:rsidRPr="00B861C8" w:rsidRDefault="00271045" w:rsidP="00D72B52">
            <w:pPr>
              <w:ind w:firstLineChars="200" w:firstLine="420"/>
              <w:outlineLvl w:val="0"/>
              <w:rPr>
                <w:rFonts w:eastAsia="Times New Roman" w:cs="Times New Roman"/>
                <w:color w:val="4A4A4A"/>
                <w:sz w:val="21"/>
                <w:szCs w:val="21"/>
                <w:lang w:eastAsia="en-GB"/>
              </w:rPr>
            </w:pPr>
            <w:r w:rsidRPr="00B861C8">
              <w:rPr>
                <w:rFonts w:eastAsia="Times New Roman" w:cs="Times New Roman"/>
                <w:color w:val="4A4A4A"/>
                <w:sz w:val="21"/>
                <w:szCs w:val="21"/>
                <w:lang w:eastAsia="en-GB"/>
              </w:rPr>
              <w:t>Northern America</w:t>
            </w:r>
          </w:p>
        </w:tc>
        <w:tc>
          <w:tcPr>
            <w:tcW w:w="0" w:type="auto"/>
            <w:shd w:val="clear" w:color="auto" w:fill="auto"/>
            <w:noWrap/>
          </w:tcPr>
          <w:p w14:paraId="2F72A904" w14:textId="77777777" w:rsidR="00271045" w:rsidRPr="00B861C8" w:rsidRDefault="00271045" w:rsidP="00D72B52">
            <w:pPr>
              <w:outlineLvl w:val="0"/>
              <w:rPr>
                <w:rFonts w:eastAsia="Times New Roman" w:cs="Times New Roman"/>
                <w:color w:val="4A4A4A"/>
                <w:sz w:val="21"/>
                <w:szCs w:val="21"/>
                <w:lang w:eastAsia="en-GB"/>
              </w:rPr>
            </w:pPr>
            <w:r w:rsidRPr="00B861C8">
              <w:rPr>
                <w:rFonts w:eastAsia="Times New Roman" w:cs="Times New Roman"/>
                <w:color w:val="4A4A4A"/>
                <w:sz w:val="21"/>
                <w:szCs w:val="21"/>
                <w:lang w:eastAsia="en-GB"/>
              </w:rPr>
              <w:t>2</w:t>
            </w:r>
          </w:p>
        </w:tc>
        <w:tc>
          <w:tcPr>
            <w:tcW w:w="0" w:type="auto"/>
            <w:shd w:val="clear" w:color="auto" w:fill="auto"/>
            <w:noWrap/>
          </w:tcPr>
          <w:p w14:paraId="5CCACE66" w14:textId="77777777" w:rsidR="00271045" w:rsidRPr="00B861C8" w:rsidRDefault="00271045" w:rsidP="00D72B52">
            <w:pPr>
              <w:outlineLvl w:val="0"/>
              <w:rPr>
                <w:rFonts w:eastAsia="Times New Roman" w:cs="Times New Roman"/>
                <w:color w:val="4A4A4A"/>
                <w:sz w:val="21"/>
                <w:szCs w:val="21"/>
                <w:lang w:eastAsia="en-GB"/>
              </w:rPr>
            </w:pPr>
            <w:r w:rsidRPr="00B861C8">
              <w:rPr>
                <w:rFonts w:eastAsia="Times New Roman" w:cs="Times New Roman"/>
                <w:color w:val="4A4A4A"/>
                <w:sz w:val="21"/>
                <w:szCs w:val="21"/>
                <w:lang w:eastAsia="en-GB"/>
              </w:rPr>
              <w:t>G</w:t>
            </w:r>
          </w:p>
        </w:tc>
      </w:tr>
      <w:tr w:rsidR="00271045" w:rsidRPr="00F76147" w14:paraId="6386108C" w14:textId="77777777" w:rsidTr="0828A6AE">
        <w:trPr>
          <w:trHeight w:hRule="exact" w:val="284"/>
        </w:trPr>
        <w:tc>
          <w:tcPr>
            <w:tcW w:w="0" w:type="auto"/>
            <w:shd w:val="clear" w:color="auto" w:fill="auto"/>
            <w:noWrap/>
            <w:hideMark/>
          </w:tcPr>
          <w:p w14:paraId="6D6E2531" w14:textId="77777777" w:rsidR="00271045" w:rsidRPr="00B861C8" w:rsidRDefault="00271045" w:rsidP="00D72B52">
            <w:pPr>
              <w:ind w:firstLineChars="100" w:firstLine="210"/>
              <w:rPr>
                <w:rFonts w:eastAsia="Times New Roman" w:cs="Times New Roman"/>
                <w:color w:val="4A4A4A"/>
                <w:sz w:val="21"/>
                <w:szCs w:val="21"/>
                <w:lang w:eastAsia="en-GB"/>
              </w:rPr>
            </w:pPr>
            <w:r w:rsidRPr="00B861C8">
              <w:rPr>
                <w:rFonts w:eastAsia="Times New Roman" w:cs="Times New Roman"/>
                <w:color w:val="4A4A4A"/>
                <w:sz w:val="21"/>
                <w:szCs w:val="21"/>
                <w:lang w:eastAsia="en-GB"/>
              </w:rPr>
              <w:t>Asia</w:t>
            </w:r>
          </w:p>
        </w:tc>
        <w:tc>
          <w:tcPr>
            <w:tcW w:w="0" w:type="auto"/>
            <w:shd w:val="clear" w:color="auto" w:fill="auto"/>
            <w:noWrap/>
          </w:tcPr>
          <w:p w14:paraId="3595B260" w14:textId="77777777" w:rsidR="00271045" w:rsidRPr="00B861C8" w:rsidRDefault="00271045" w:rsidP="00D72B52">
            <w:pPr>
              <w:rPr>
                <w:rFonts w:eastAsia="Times New Roman" w:cs="Times New Roman"/>
                <w:color w:val="4A4A4A"/>
                <w:sz w:val="21"/>
                <w:szCs w:val="21"/>
                <w:lang w:eastAsia="en-GB"/>
              </w:rPr>
            </w:pPr>
            <w:r w:rsidRPr="00B861C8">
              <w:rPr>
                <w:rFonts w:eastAsia="Times New Roman" w:cs="Times New Roman"/>
                <w:color w:val="4A4A4A"/>
                <w:sz w:val="21"/>
                <w:szCs w:val="21"/>
                <w:lang w:eastAsia="en-GB"/>
              </w:rPr>
              <w:t>25</w:t>
            </w:r>
          </w:p>
        </w:tc>
        <w:tc>
          <w:tcPr>
            <w:tcW w:w="0" w:type="auto"/>
            <w:shd w:val="clear" w:color="auto" w:fill="auto"/>
            <w:noWrap/>
          </w:tcPr>
          <w:p w14:paraId="4AE8E42B" w14:textId="77777777" w:rsidR="00271045" w:rsidRPr="00B861C8" w:rsidRDefault="00271045" w:rsidP="00D72B52">
            <w:pPr>
              <w:rPr>
                <w:rFonts w:eastAsia="Times New Roman" w:cs="Times New Roman"/>
                <w:color w:val="4A4A4A"/>
                <w:sz w:val="21"/>
                <w:szCs w:val="21"/>
                <w:lang w:eastAsia="en-GB"/>
              </w:rPr>
            </w:pPr>
            <w:r w:rsidRPr="00B861C8">
              <w:rPr>
                <w:rFonts w:eastAsia="Times New Roman" w:cs="Times New Roman"/>
                <w:color w:val="4A4A4A"/>
                <w:sz w:val="21"/>
                <w:szCs w:val="21"/>
                <w:lang w:eastAsia="en-GB"/>
              </w:rPr>
              <w:t>G</w:t>
            </w:r>
          </w:p>
        </w:tc>
      </w:tr>
      <w:tr w:rsidR="00271045" w:rsidRPr="00F76147" w14:paraId="6A350D9A" w14:textId="77777777" w:rsidTr="0828A6AE">
        <w:trPr>
          <w:trHeight w:hRule="exact" w:val="284"/>
        </w:trPr>
        <w:tc>
          <w:tcPr>
            <w:tcW w:w="0" w:type="auto"/>
            <w:shd w:val="clear" w:color="auto" w:fill="auto"/>
            <w:noWrap/>
            <w:hideMark/>
          </w:tcPr>
          <w:p w14:paraId="2935BD47" w14:textId="77777777" w:rsidR="00271045" w:rsidRPr="00B861C8" w:rsidRDefault="00271045" w:rsidP="00D72B52">
            <w:pPr>
              <w:ind w:firstLineChars="200" w:firstLine="420"/>
              <w:outlineLvl w:val="1"/>
              <w:rPr>
                <w:rFonts w:eastAsia="Times New Roman" w:cs="Times New Roman"/>
                <w:color w:val="4A4A4A"/>
                <w:sz w:val="21"/>
                <w:szCs w:val="21"/>
                <w:lang w:eastAsia="en-GB"/>
              </w:rPr>
            </w:pPr>
            <w:r w:rsidRPr="00B861C8">
              <w:rPr>
                <w:rFonts w:eastAsia="Times New Roman" w:cs="Times New Roman"/>
                <w:color w:val="4A4A4A"/>
                <w:sz w:val="21"/>
                <w:szCs w:val="21"/>
                <w:lang w:eastAsia="en-GB"/>
              </w:rPr>
              <w:t>Central Asia</w:t>
            </w:r>
          </w:p>
        </w:tc>
        <w:tc>
          <w:tcPr>
            <w:tcW w:w="0" w:type="auto"/>
            <w:shd w:val="clear" w:color="auto" w:fill="auto"/>
            <w:noWrap/>
          </w:tcPr>
          <w:p w14:paraId="0DAB0E49" w14:textId="77777777" w:rsidR="00271045" w:rsidRPr="00B861C8" w:rsidRDefault="00271045" w:rsidP="00D72B52">
            <w:pPr>
              <w:outlineLvl w:val="1"/>
              <w:rPr>
                <w:rFonts w:eastAsia="Times New Roman" w:cs="Times New Roman"/>
                <w:color w:val="4A4A4A"/>
                <w:sz w:val="21"/>
                <w:szCs w:val="21"/>
                <w:lang w:eastAsia="en-GB"/>
              </w:rPr>
            </w:pPr>
            <w:r w:rsidRPr="00B861C8">
              <w:rPr>
                <w:rFonts w:eastAsia="Times New Roman" w:cs="Times New Roman"/>
                <w:color w:val="4A4A4A"/>
                <w:sz w:val="21"/>
                <w:szCs w:val="21"/>
                <w:lang w:eastAsia="en-GB"/>
              </w:rPr>
              <w:t>2</w:t>
            </w:r>
          </w:p>
        </w:tc>
        <w:tc>
          <w:tcPr>
            <w:tcW w:w="0" w:type="auto"/>
            <w:shd w:val="clear" w:color="auto" w:fill="auto"/>
            <w:noWrap/>
          </w:tcPr>
          <w:p w14:paraId="764FB08D" w14:textId="77777777" w:rsidR="00271045" w:rsidRPr="00B861C8" w:rsidRDefault="00271045" w:rsidP="00D72B52">
            <w:pPr>
              <w:outlineLvl w:val="1"/>
              <w:rPr>
                <w:rFonts w:eastAsia="Times New Roman" w:cs="Times New Roman"/>
                <w:color w:val="4A4A4A"/>
                <w:sz w:val="21"/>
                <w:szCs w:val="21"/>
                <w:lang w:eastAsia="en-GB"/>
              </w:rPr>
            </w:pPr>
            <w:r w:rsidRPr="00B861C8">
              <w:rPr>
                <w:rFonts w:eastAsia="Times New Roman" w:cs="Times New Roman"/>
                <w:color w:val="4A4A4A"/>
                <w:sz w:val="21"/>
                <w:szCs w:val="21"/>
                <w:lang w:eastAsia="en-GB"/>
              </w:rPr>
              <w:t>G</w:t>
            </w:r>
          </w:p>
        </w:tc>
      </w:tr>
      <w:tr w:rsidR="00271045" w:rsidRPr="00F76147" w14:paraId="79BF7BDD" w14:textId="77777777" w:rsidTr="0828A6AE">
        <w:trPr>
          <w:trHeight w:hRule="exact" w:val="284"/>
        </w:trPr>
        <w:tc>
          <w:tcPr>
            <w:tcW w:w="0" w:type="auto"/>
            <w:shd w:val="clear" w:color="auto" w:fill="auto"/>
            <w:noWrap/>
            <w:hideMark/>
          </w:tcPr>
          <w:p w14:paraId="1057BADE" w14:textId="77777777" w:rsidR="00271045" w:rsidRPr="00B861C8" w:rsidRDefault="00271045" w:rsidP="00D72B52">
            <w:pPr>
              <w:ind w:firstLineChars="200" w:firstLine="420"/>
              <w:outlineLvl w:val="0"/>
              <w:rPr>
                <w:rFonts w:eastAsia="Times New Roman" w:cs="Times New Roman"/>
                <w:color w:val="4A4A4A"/>
                <w:sz w:val="21"/>
                <w:szCs w:val="21"/>
                <w:lang w:eastAsia="en-GB"/>
              </w:rPr>
            </w:pPr>
            <w:r w:rsidRPr="00B861C8">
              <w:rPr>
                <w:rFonts w:eastAsia="Times New Roman" w:cs="Times New Roman"/>
                <w:color w:val="4A4A4A"/>
                <w:sz w:val="21"/>
                <w:szCs w:val="21"/>
                <w:lang w:eastAsia="en-GB"/>
              </w:rPr>
              <w:t>Eastern Asia</w:t>
            </w:r>
          </w:p>
        </w:tc>
        <w:tc>
          <w:tcPr>
            <w:tcW w:w="0" w:type="auto"/>
            <w:shd w:val="clear" w:color="auto" w:fill="auto"/>
            <w:noWrap/>
          </w:tcPr>
          <w:p w14:paraId="10A89C09" w14:textId="77777777" w:rsidR="00271045" w:rsidRPr="00B861C8" w:rsidRDefault="00271045" w:rsidP="00D72B52">
            <w:pPr>
              <w:outlineLvl w:val="0"/>
              <w:rPr>
                <w:rFonts w:eastAsia="Times New Roman" w:cs="Times New Roman"/>
                <w:color w:val="4A4A4A"/>
                <w:sz w:val="21"/>
                <w:szCs w:val="21"/>
                <w:lang w:eastAsia="en-GB"/>
              </w:rPr>
            </w:pPr>
            <w:r w:rsidRPr="00B861C8">
              <w:rPr>
                <w:rFonts w:eastAsia="Times New Roman" w:cs="Times New Roman"/>
                <w:color w:val="4A4A4A"/>
                <w:sz w:val="21"/>
                <w:szCs w:val="21"/>
                <w:lang w:eastAsia="en-GB"/>
              </w:rPr>
              <w:t>2</w:t>
            </w:r>
          </w:p>
        </w:tc>
        <w:tc>
          <w:tcPr>
            <w:tcW w:w="0" w:type="auto"/>
            <w:shd w:val="clear" w:color="auto" w:fill="auto"/>
            <w:noWrap/>
          </w:tcPr>
          <w:p w14:paraId="2F76C064" w14:textId="77777777" w:rsidR="00271045" w:rsidRPr="00B861C8" w:rsidRDefault="00271045" w:rsidP="00D72B52">
            <w:pPr>
              <w:outlineLvl w:val="0"/>
              <w:rPr>
                <w:rFonts w:eastAsia="Times New Roman" w:cs="Times New Roman"/>
                <w:color w:val="4A4A4A"/>
                <w:sz w:val="21"/>
                <w:szCs w:val="21"/>
                <w:lang w:eastAsia="en-GB"/>
              </w:rPr>
            </w:pPr>
            <w:r w:rsidRPr="00B861C8">
              <w:rPr>
                <w:rFonts w:eastAsia="Times New Roman" w:cs="Times New Roman"/>
                <w:color w:val="4A4A4A"/>
                <w:sz w:val="21"/>
                <w:szCs w:val="21"/>
                <w:lang w:eastAsia="en-GB"/>
              </w:rPr>
              <w:t>G</w:t>
            </w:r>
          </w:p>
        </w:tc>
      </w:tr>
      <w:tr w:rsidR="00271045" w:rsidRPr="00F76147" w14:paraId="55C8542D" w14:textId="77777777" w:rsidTr="0828A6AE">
        <w:trPr>
          <w:trHeight w:hRule="exact" w:val="284"/>
        </w:trPr>
        <w:tc>
          <w:tcPr>
            <w:tcW w:w="0" w:type="auto"/>
            <w:shd w:val="clear" w:color="auto" w:fill="auto"/>
            <w:noWrap/>
            <w:hideMark/>
          </w:tcPr>
          <w:p w14:paraId="41FFCEB0" w14:textId="77777777" w:rsidR="00271045" w:rsidRPr="00B861C8" w:rsidRDefault="00271045" w:rsidP="00D72B52">
            <w:pPr>
              <w:ind w:firstLineChars="200" w:firstLine="420"/>
              <w:outlineLvl w:val="0"/>
              <w:rPr>
                <w:rFonts w:eastAsia="Times New Roman" w:cs="Times New Roman"/>
                <w:color w:val="4A4A4A"/>
                <w:sz w:val="21"/>
                <w:szCs w:val="21"/>
                <w:lang w:eastAsia="en-GB"/>
              </w:rPr>
            </w:pPr>
            <w:r w:rsidRPr="00B861C8">
              <w:rPr>
                <w:rFonts w:eastAsia="Times New Roman" w:cs="Times New Roman"/>
                <w:color w:val="4A4A4A"/>
                <w:sz w:val="21"/>
                <w:szCs w:val="21"/>
                <w:lang w:eastAsia="en-GB"/>
              </w:rPr>
              <w:t>Southern Asia</w:t>
            </w:r>
          </w:p>
        </w:tc>
        <w:tc>
          <w:tcPr>
            <w:tcW w:w="0" w:type="auto"/>
            <w:shd w:val="clear" w:color="auto" w:fill="auto"/>
            <w:noWrap/>
          </w:tcPr>
          <w:p w14:paraId="0DA90417" w14:textId="77777777" w:rsidR="00271045" w:rsidRPr="00B861C8" w:rsidRDefault="00271045" w:rsidP="00D72B52">
            <w:pPr>
              <w:outlineLvl w:val="0"/>
              <w:rPr>
                <w:rFonts w:eastAsia="Times New Roman" w:cs="Times New Roman"/>
                <w:color w:val="4A4A4A"/>
                <w:sz w:val="21"/>
                <w:szCs w:val="21"/>
                <w:lang w:eastAsia="en-GB"/>
              </w:rPr>
            </w:pPr>
            <w:r w:rsidRPr="00B861C8">
              <w:rPr>
                <w:rFonts w:eastAsia="Times New Roman" w:cs="Times New Roman"/>
                <w:color w:val="4A4A4A"/>
                <w:sz w:val="21"/>
                <w:szCs w:val="21"/>
                <w:lang w:eastAsia="en-GB"/>
              </w:rPr>
              <w:t>6</w:t>
            </w:r>
          </w:p>
        </w:tc>
        <w:tc>
          <w:tcPr>
            <w:tcW w:w="0" w:type="auto"/>
            <w:shd w:val="clear" w:color="auto" w:fill="auto"/>
            <w:noWrap/>
          </w:tcPr>
          <w:p w14:paraId="280EAB24" w14:textId="77777777" w:rsidR="00271045" w:rsidRPr="00B861C8" w:rsidRDefault="00271045" w:rsidP="00D72B52">
            <w:pPr>
              <w:outlineLvl w:val="0"/>
              <w:rPr>
                <w:rFonts w:eastAsia="Times New Roman" w:cs="Times New Roman"/>
                <w:color w:val="4A4A4A"/>
                <w:sz w:val="21"/>
                <w:szCs w:val="21"/>
                <w:lang w:eastAsia="en-GB"/>
              </w:rPr>
            </w:pPr>
            <w:r w:rsidRPr="00B861C8">
              <w:rPr>
                <w:rFonts w:eastAsia="Times New Roman" w:cs="Times New Roman"/>
                <w:color w:val="4A4A4A"/>
                <w:sz w:val="21"/>
                <w:szCs w:val="21"/>
                <w:lang w:eastAsia="en-GB"/>
              </w:rPr>
              <w:t>G</w:t>
            </w:r>
          </w:p>
        </w:tc>
      </w:tr>
      <w:tr w:rsidR="00271045" w:rsidRPr="00F76147" w14:paraId="23E5360D" w14:textId="77777777" w:rsidTr="0828A6AE">
        <w:trPr>
          <w:trHeight w:hRule="exact" w:val="284"/>
        </w:trPr>
        <w:tc>
          <w:tcPr>
            <w:tcW w:w="0" w:type="auto"/>
            <w:shd w:val="clear" w:color="auto" w:fill="auto"/>
            <w:noWrap/>
            <w:hideMark/>
          </w:tcPr>
          <w:p w14:paraId="015222DC" w14:textId="77777777" w:rsidR="00271045" w:rsidRPr="00B861C8" w:rsidRDefault="00271045" w:rsidP="00D72B52">
            <w:pPr>
              <w:ind w:firstLineChars="200" w:firstLine="420"/>
              <w:outlineLvl w:val="0"/>
              <w:rPr>
                <w:rFonts w:eastAsia="Times New Roman" w:cs="Times New Roman"/>
                <w:color w:val="4A4A4A"/>
                <w:sz w:val="21"/>
                <w:szCs w:val="21"/>
                <w:lang w:eastAsia="en-GB"/>
              </w:rPr>
            </w:pPr>
            <w:r w:rsidRPr="00B861C8">
              <w:rPr>
                <w:rFonts w:eastAsia="Times New Roman" w:cs="Times New Roman"/>
                <w:color w:val="4A4A4A"/>
                <w:sz w:val="21"/>
                <w:szCs w:val="21"/>
                <w:lang w:eastAsia="en-GB"/>
              </w:rPr>
              <w:t>South-Eastern Asia</w:t>
            </w:r>
          </w:p>
        </w:tc>
        <w:tc>
          <w:tcPr>
            <w:tcW w:w="0" w:type="auto"/>
            <w:shd w:val="clear" w:color="auto" w:fill="auto"/>
            <w:noWrap/>
          </w:tcPr>
          <w:p w14:paraId="47100399" w14:textId="77777777" w:rsidR="00271045" w:rsidRPr="00B861C8" w:rsidRDefault="00271045" w:rsidP="00D72B52">
            <w:pPr>
              <w:outlineLvl w:val="0"/>
              <w:rPr>
                <w:rFonts w:eastAsia="Times New Roman" w:cs="Times New Roman"/>
                <w:color w:val="4A4A4A"/>
                <w:sz w:val="21"/>
                <w:szCs w:val="21"/>
                <w:lang w:eastAsia="en-GB"/>
              </w:rPr>
            </w:pPr>
            <w:r w:rsidRPr="00B861C8">
              <w:rPr>
                <w:rFonts w:eastAsia="Times New Roman" w:cs="Times New Roman"/>
                <w:color w:val="4A4A4A"/>
                <w:sz w:val="21"/>
                <w:szCs w:val="21"/>
                <w:lang w:eastAsia="en-GB"/>
              </w:rPr>
              <w:t>8</w:t>
            </w:r>
          </w:p>
        </w:tc>
        <w:tc>
          <w:tcPr>
            <w:tcW w:w="0" w:type="auto"/>
            <w:shd w:val="clear" w:color="auto" w:fill="auto"/>
            <w:noWrap/>
          </w:tcPr>
          <w:p w14:paraId="4C66EED5" w14:textId="77777777" w:rsidR="00271045" w:rsidRPr="00B861C8" w:rsidRDefault="00271045" w:rsidP="00D72B52">
            <w:pPr>
              <w:outlineLvl w:val="0"/>
              <w:rPr>
                <w:rFonts w:eastAsia="Times New Roman" w:cs="Times New Roman"/>
                <w:color w:val="4A4A4A"/>
                <w:sz w:val="21"/>
                <w:szCs w:val="21"/>
                <w:lang w:eastAsia="en-GB"/>
              </w:rPr>
            </w:pPr>
            <w:r w:rsidRPr="00B861C8">
              <w:rPr>
                <w:rFonts w:eastAsia="Times New Roman" w:cs="Times New Roman"/>
                <w:color w:val="4A4A4A"/>
                <w:sz w:val="21"/>
                <w:szCs w:val="21"/>
                <w:lang w:eastAsia="en-GB"/>
              </w:rPr>
              <w:t>G</w:t>
            </w:r>
          </w:p>
        </w:tc>
      </w:tr>
      <w:tr w:rsidR="00271045" w:rsidRPr="00F76147" w14:paraId="22F322F5" w14:textId="77777777" w:rsidTr="0828A6AE">
        <w:trPr>
          <w:trHeight w:hRule="exact" w:val="284"/>
        </w:trPr>
        <w:tc>
          <w:tcPr>
            <w:tcW w:w="0" w:type="auto"/>
            <w:shd w:val="clear" w:color="auto" w:fill="auto"/>
            <w:noWrap/>
            <w:hideMark/>
          </w:tcPr>
          <w:p w14:paraId="2B574DF1" w14:textId="77777777" w:rsidR="00271045" w:rsidRPr="00B861C8" w:rsidRDefault="00271045" w:rsidP="00D72B52">
            <w:pPr>
              <w:ind w:firstLineChars="200" w:firstLine="420"/>
              <w:outlineLvl w:val="0"/>
              <w:rPr>
                <w:rFonts w:eastAsia="Times New Roman" w:cs="Times New Roman"/>
                <w:color w:val="4A4A4A"/>
                <w:sz w:val="21"/>
                <w:szCs w:val="21"/>
                <w:lang w:eastAsia="en-GB"/>
              </w:rPr>
            </w:pPr>
            <w:r w:rsidRPr="00B861C8">
              <w:rPr>
                <w:rFonts w:eastAsia="Times New Roman" w:cs="Times New Roman"/>
                <w:color w:val="4A4A4A"/>
                <w:sz w:val="21"/>
                <w:szCs w:val="21"/>
                <w:lang w:eastAsia="en-GB"/>
              </w:rPr>
              <w:t>Western Asia</w:t>
            </w:r>
          </w:p>
        </w:tc>
        <w:tc>
          <w:tcPr>
            <w:tcW w:w="0" w:type="auto"/>
            <w:shd w:val="clear" w:color="auto" w:fill="auto"/>
            <w:noWrap/>
          </w:tcPr>
          <w:p w14:paraId="4F55D963" w14:textId="77777777" w:rsidR="00271045" w:rsidRPr="00B861C8" w:rsidRDefault="00271045" w:rsidP="00D72B52">
            <w:pPr>
              <w:outlineLvl w:val="0"/>
              <w:rPr>
                <w:rFonts w:eastAsia="Times New Roman" w:cs="Times New Roman"/>
                <w:color w:val="4A4A4A"/>
                <w:sz w:val="21"/>
                <w:szCs w:val="21"/>
                <w:lang w:eastAsia="en-GB"/>
              </w:rPr>
            </w:pPr>
            <w:r w:rsidRPr="00B861C8">
              <w:rPr>
                <w:rFonts w:eastAsia="Times New Roman" w:cs="Times New Roman"/>
                <w:color w:val="4A4A4A"/>
                <w:sz w:val="21"/>
                <w:szCs w:val="21"/>
                <w:lang w:eastAsia="en-GB"/>
              </w:rPr>
              <w:t>8</w:t>
            </w:r>
          </w:p>
        </w:tc>
        <w:tc>
          <w:tcPr>
            <w:tcW w:w="0" w:type="auto"/>
            <w:shd w:val="clear" w:color="auto" w:fill="auto"/>
            <w:noWrap/>
          </w:tcPr>
          <w:p w14:paraId="2B8185B4" w14:textId="77777777" w:rsidR="00271045" w:rsidRPr="00B861C8" w:rsidRDefault="00271045" w:rsidP="00D72B52">
            <w:pPr>
              <w:outlineLvl w:val="0"/>
              <w:rPr>
                <w:rFonts w:eastAsia="Times New Roman" w:cs="Times New Roman"/>
                <w:color w:val="4A4A4A"/>
                <w:sz w:val="21"/>
                <w:szCs w:val="21"/>
                <w:lang w:eastAsia="en-GB"/>
              </w:rPr>
            </w:pPr>
            <w:r w:rsidRPr="00B861C8">
              <w:rPr>
                <w:rFonts w:eastAsia="Times New Roman" w:cs="Times New Roman"/>
                <w:color w:val="4A4A4A"/>
                <w:sz w:val="21"/>
                <w:szCs w:val="21"/>
                <w:lang w:eastAsia="en-GB"/>
              </w:rPr>
              <w:t>G</w:t>
            </w:r>
          </w:p>
        </w:tc>
      </w:tr>
      <w:tr w:rsidR="00271045" w:rsidRPr="00F76147" w14:paraId="389A5298" w14:textId="77777777" w:rsidTr="0828A6AE">
        <w:trPr>
          <w:trHeight w:hRule="exact" w:val="284"/>
        </w:trPr>
        <w:tc>
          <w:tcPr>
            <w:tcW w:w="0" w:type="auto"/>
            <w:shd w:val="clear" w:color="auto" w:fill="auto"/>
            <w:noWrap/>
            <w:hideMark/>
          </w:tcPr>
          <w:p w14:paraId="6490DF4D" w14:textId="77777777" w:rsidR="00271045" w:rsidRPr="00B861C8" w:rsidRDefault="00271045" w:rsidP="00D72B52">
            <w:pPr>
              <w:ind w:firstLineChars="100" w:firstLine="210"/>
              <w:rPr>
                <w:rFonts w:eastAsia="Times New Roman" w:cs="Times New Roman"/>
                <w:color w:val="4A4A4A"/>
                <w:sz w:val="21"/>
                <w:szCs w:val="21"/>
                <w:lang w:eastAsia="en-GB"/>
              </w:rPr>
            </w:pPr>
            <w:r w:rsidRPr="00B861C8">
              <w:rPr>
                <w:rFonts w:eastAsia="Times New Roman" w:cs="Times New Roman"/>
                <w:color w:val="4A4A4A"/>
                <w:sz w:val="21"/>
                <w:szCs w:val="21"/>
                <w:lang w:eastAsia="en-GB"/>
              </w:rPr>
              <w:t>Europe</w:t>
            </w:r>
          </w:p>
        </w:tc>
        <w:tc>
          <w:tcPr>
            <w:tcW w:w="0" w:type="auto"/>
            <w:shd w:val="clear" w:color="auto" w:fill="auto"/>
            <w:noWrap/>
          </w:tcPr>
          <w:p w14:paraId="24D3860F" w14:textId="77777777" w:rsidR="00271045" w:rsidRPr="00B861C8" w:rsidRDefault="00271045" w:rsidP="00D72B52">
            <w:pPr>
              <w:rPr>
                <w:rFonts w:eastAsia="Times New Roman" w:cs="Times New Roman"/>
                <w:color w:val="4A4A4A"/>
                <w:sz w:val="21"/>
                <w:szCs w:val="21"/>
                <w:lang w:eastAsia="en-GB"/>
              </w:rPr>
            </w:pPr>
            <w:r w:rsidRPr="00B861C8">
              <w:rPr>
                <w:rFonts w:eastAsia="Times New Roman" w:cs="Times New Roman"/>
                <w:color w:val="4A4A4A"/>
                <w:sz w:val="21"/>
                <w:szCs w:val="21"/>
                <w:lang w:eastAsia="en-GB"/>
              </w:rPr>
              <w:t>35</w:t>
            </w:r>
          </w:p>
        </w:tc>
        <w:tc>
          <w:tcPr>
            <w:tcW w:w="0" w:type="auto"/>
            <w:shd w:val="clear" w:color="auto" w:fill="auto"/>
            <w:noWrap/>
          </w:tcPr>
          <w:p w14:paraId="61CAB54E" w14:textId="77777777" w:rsidR="00271045" w:rsidRPr="00B861C8" w:rsidRDefault="00271045" w:rsidP="00D72B52">
            <w:pPr>
              <w:rPr>
                <w:rFonts w:eastAsia="Times New Roman" w:cs="Times New Roman"/>
                <w:color w:val="4A4A4A"/>
                <w:sz w:val="21"/>
                <w:szCs w:val="21"/>
                <w:lang w:eastAsia="en-GB"/>
              </w:rPr>
            </w:pPr>
            <w:r w:rsidRPr="00B861C8">
              <w:rPr>
                <w:rFonts w:eastAsia="Times New Roman" w:cs="Times New Roman"/>
                <w:color w:val="4A4A4A"/>
                <w:sz w:val="21"/>
                <w:szCs w:val="21"/>
                <w:lang w:eastAsia="en-GB"/>
              </w:rPr>
              <w:t>G</w:t>
            </w:r>
          </w:p>
        </w:tc>
      </w:tr>
      <w:tr w:rsidR="00271045" w:rsidRPr="00F76147" w14:paraId="2EDE12F8" w14:textId="77777777" w:rsidTr="0828A6AE">
        <w:trPr>
          <w:trHeight w:hRule="exact" w:val="284"/>
        </w:trPr>
        <w:tc>
          <w:tcPr>
            <w:tcW w:w="0" w:type="auto"/>
            <w:shd w:val="clear" w:color="auto" w:fill="auto"/>
            <w:noWrap/>
            <w:hideMark/>
          </w:tcPr>
          <w:p w14:paraId="135F6238" w14:textId="77777777" w:rsidR="00271045" w:rsidRPr="00B861C8" w:rsidRDefault="00271045" w:rsidP="00D72B52">
            <w:pPr>
              <w:ind w:firstLineChars="200" w:firstLine="420"/>
              <w:outlineLvl w:val="0"/>
              <w:rPr>
                <w:rFonts w:eastAsia="Times New Roman" w:cs="Times New Roman"/>
                <w:color w:val="4A4A4A"/>
                <w:sz w:val="21"/>
                <w:szCs w:val="21"/>
                <w:lang w:eastAsia="en-GB"/>
              </w:rPr>
            </w:pPr>
            <w:r w:rsidRPr="00B861C8">
              <w:rPr>
                <w:rFonts w:eastAsia="Times New Roman" w:cs="Times New Roman"/>
                <w:color w:val="4A4A4A"/>
                <w:sz w:val="21"/>
                <w:szCs w:val="21"/>
                <w:lang w:eastAsia="en-GB"/>
              </w:rPr>
              <w:t>Eastern Europe</w:t>
            </w:r>
          </w:p>
        </w:tc>
        <w:tc>
          <w:tcPr>
            <w:tcW w:w="0" w:type="auto"/>
            <w:shd w:val="clear" w:color="auto" w:fill="auto"/>
            <w:noWrap/>
          </w:tcPr>
          <w:p w14:paraId="4D47BF62" w14:textId="77777777" w:rsidR="00271045" w:rsidRPr="00B861C8" w:rsidRDefault="00271045" w:rsidP="00D72B52">
            <w:pPr>
              <w:outlineLvl w:val="0"/>
              <w:rPr>
                <w:rFonts w:eastAsia="Times New Roman" w:cs="Times New Roman"/>
                <w:color w:val="4A4A4A"/>
                <w:sz w:val="21"/>
                <w:szCs w:val="21"/>
                <w:lang w:eastAsia="en-GB"/>
              </w:rPr>
            </w:pPr>
            <w:r w:rsidRPr="00B861C8">
              <w:rPr>
                <w:rFonts w:eastAsia="Times New Roman" w:cs="Times New Roman"/>
                <w:color w:val="4A4A4A"/>
                <w:sz w:val="21"/>
                <w:szCs w:val="21"/>
                <w:lang w:eastAsia="en-GB"/>
              </w:rPr>
              <w:t>8</w:t>
            </w:r>
          </w:p>
        </w:tc>
        <w:tc>
          <w:tcPr>
            <w:tcW w:w="0" w:type="auto"/>
            <w:shd w:val="clear" w:color="auto" w:fill="auto"/>
            <w:noWrap/>
          </w:tcPr>
          <w:p w14:paraId="5485DF8D" w14:textId="77777777" w:rsidR="00271045" w:rsidRPr="00B861C8" w:rsidRDefault="00271045" w:rsidP="00D72B52">
            <w:pPr>
              <w:outlineLvl w:val="0"/>
              <w:rPr>
                <w:rFonts w:eastAsia="Times New Roman" w:cs="Times New Roman"/>
                <w:color w:val="4A4A4A"/>
                <w:sz w:val="21"/>
                <w:szCs w:val="21"/>
                <w:lang w:eastAsia="en-GB"/>
              </w:rPr>
            </w:pPr>
            <w:r w:rsidRPr="00B861C8">
              <w:rPr>
                <w:rFonts w:eastAsia="Times New Roman" w:cs="Times New Roman"/>
                <w:color w:val="4A4A4A"/>
                <w:sz w:val="21"/>
                <w:szCs w:val="21"/>
                <w:lang w:eastAsia="en-GB"/>
              </w:rPr>
              <w:t>G</w:t>
            </w:r>
          </w:p>
        </w:tc>
      </w:tr>
      <w:tr w:rsidR="00271045" w:rsidRPr="00F76147" w14:paraId="3813E1B6" w14:textId="77777777" w:rsidTr="0828A6AE">
        <w:trPr>
          <w:trHeight w:hRule="exact" w:val="284"/>
        </w:trPr>
        <w:tc>
          <w:tcPr>
            <w:tcW w:w="0" w:type="auto"/>
            <w:shd w:val="clear" w:color="auto" w:fill="auto"/>
            <w:noWrap/>
            <w:hideMark/>
          </w:tcPr>
          <w:p w14:paraId="188A7968" w14:textId="77777777" w:rsidR="00271045" w:rsidRPr="00B861C8" w:rsidRDefault="00271045" w:rsidP="00D72B52">
            <w:pPr>
              <w:ind w:firstLineChars="200" w:firstLine="420"/>
              <w:outlineLvl w:val="0"/>
              <w:rPr>
                <w:rFonts w:eastAsia="Times New Roman" w:cs="Times New Roman"/>
                <w:color w:val="4A4A4A"/>
                <w:sz w:val="21"/>
                <w:szCs w:val="21"/>
                <w:lang w:eastAsia="en-GB"/>
              </w:rPr>
            </w:pPr>
            <w:r w:rsidRPr="00B861C8">
              <w:rPr>
                <w:rFonts w:eastAsia="Times New Roman" w:cs="Times New Roman"/>
                <w:color w:val="4A4A4A"/>
                <w:sz w:val="21"/>
                <w:szCs w:val="21"/>
                <w:lang w:eastAsia="en-GB"/>
              </w:rPr>
              <w:t>Northern Europe</w:t>
            </w:r>
          </w:p>
        </w:tc>
        <w:tc>
          <w:tcPr>
            <w:tcW w:w="0" w:type="auto"/>
            <w:shd w:val="clear" w:color="auto" w:fill="auto"/>
            <w:noWrap/>
          </w:tcPr>
          <w:p w14:paraId="13603EEF" w14:textId="77777777" w:rsidR="00271045" w:rsidRPr="00B861C8" w:rsidRDefault="00271045" w:rsidP="00D72B52">
            <w:pPr>
              <w:outlineLvl w:val="0"/>
              <w:rPr>
                <w:rFonts w:eastAsia="Times New Roman" w:cs="Times New Roman"/>
                <w:color w:val="4A4A4A"/>
                <w:sz w:val="21"/>
                <w:szCs w:val="21"/>
                <w:lang w:eastAsia="en-GB"/>
              </w:rPr>
            </w:pPr>
            <w:r w:rsidRPr="00B861C8">
              <w:rPr>
                <w:rFonts w:eastAsia="Times New Roman" w:cs="Times New Roman"/>
                <w:color w:val="4A4A4A"/>
                <w:sz w:val="21"/>
                <w:szCs w:val="21"/>
                <w:lang w:eastAsia="en-GB"/>
              </w:rPr>
              <w:t>9</w:t>
            </w:r>
          </w:p>
        </w:tc>
        <w:tc>
          <w:tcPr>
            <w:tcW w:w="0" w:type="auto"/>
            <w:shd w:val="clear" w:color="auto" w:fill="auto"/>
            <w:noWrap/>
          </w:tcPr>
          <w:p w14:paraId="6E5B1A7B" w14:textId="77777777" w:rsidR="00271045" w:rsidRPr="00B861C8" w:rsidRDefault="00271045" w:rsidP="00D72B52">
            <w:pPr>
              <w:outlineLvl w:val="0"/>
              <w:rPr>
                <w:rFonts w:eastAsia="Times New Roman" w:cs="Times New Roman"/>
                <w:color w:val="4A4A4A"/>
                <w:sz w:val="21"/>
                <w:szCs w:val="21"/>
                <w:lang w:eastAsia="en-GB"/>
              </w:rPr>
            </w:pPr>
            <w:r w:rsidRPr="00B861C8">
              <w:rPr>
                <w:rFonts w:eastAsia="Times New Roman" w:cs="Times New Roman"/>
                <w:color w:val="4A4A4A"/>
                <w:sz w:val="21"/>
                <w:szCs w:val="21"/>
                <w:lang w:eastAsia="en-GB"/>
              </w:rPr>
              <w:t>G</w:t>
            </w:r>
          </w:p>
        </w:tc>
      </w:tr>
      <w:tr w:rsidR="00271045" w:rsidRPr="00F76147" w14:paraId="0D71DE4E" w14:textId="77777777" w:rsidTr="0828A6AE">
        <w:trPr>
          <w:trHeight w:hRule="exact" w:val="284"/>
        </w:trPr>
        <w:tc>
          <w:tcPr>
            <w:tcW w:w="0" w:type="auto"/>
            <w:shd w:val="clear" w:color="auto" w:fill="auto"/>
            <w:noWrap/>
            <w:hideMark/>
          </w:tcPr>
          <w:p w14:paraId="6DC6D4DD" w14:textId="77777777" w:rsidR="00271045" w:rsidRPr="00B861C8" w:rsidRDefault="00271045" w:rsidP="00D72B52">
            <w:pPr>
              <w:ind w:firstLineChars="200" w:firstLine="420"/>
              <w:outlineLvl w:val="0"/>
              <w:rPr>
                <w:rFonts w:eastAsia="Times New Roman" w:cs="Times New Roman"/>
                <w:color w:val="4A4A4A"/>
                <w:sz w:val="21"/>
                <w:szCs w:val="21"/>
                <w:lang w:eastAsia="en-GB"/>
              </w:rPr>
            </w:pPr>
            <w:r w:rsidRPr="00B861C8">
              <w:rPr>
                <w:rFonts w:eastAsia="Times New Roman" w:cs="Times New Roman"/>
                <w:color w:val="4A4A4A"/>
                <w:sz w:val="21"/>
                <w:szCs w:val="21"/>
                <w:lang w:eastAsia="en-GB"/>
              </w:rPr>
              <w:t>Southern Europe</w:t>
            </w:r>
          </w:p>
        </w:tc>
        <w:tc>
          <w:tcPr>
            <w:tcW w:w="0" w:type="auto"/>
            <w:shd w:val="clear" w:color="auto" w:fill="auto"/>
            <w:noWrap/>
          </w:tcPr>
          <w:p w14:paraId="7FE102A4" w14:textId="77777777" w:rsidR="00271045" w:rsidRPr="00B861C8" w:rsidRDefault="00271045" w:rsidP="00D72B52">
            <w:pPr>
              <w:outlineLvl w:val="0"/>
              <w:rPr>
                <w:rFonts w:eastAsia="Times New Roman" w:cs="Times New Roman"/>
                <w:color w:val="4A4A4A"/>
                <w:sz w:val="21"/>
                <w:szCs w:val="21"/>
                <w:lang w:eastAsia="en-GB"/>
              </w:rPr>
            </w:pPr>
            <w:r w:rsidRPr="00B861C8">
              <w:rPr>
                <w:rFonts w:eastAsia="Times New Roman" w:cs="Times New Roman"/>
                <w:color w:val="4A4A4A"/>
                <w:sz w:val="21"/>
                <w:szCs w:val="21"/>
                <w:lang w:eastAsia="en-GB"/>
              </w:rPr>
              <w:t>9</w:t>
            </w:r>
          </w:p>
        </w:tc>
        <w:tc>
          <w:tcPr>
            <w:tcW w:w="0" w:type="auto"/>
            <w:shd w:val="clear" w:color="auto" w:fill="auto"/>
            <w:noWrap/>
          </w:tcPr>
          <w:p w14:paraId="762F3E31" w14:textId="77777777" w:rsidR="00271045" w:rsidRPr="00B861C8" w:rsidRDefault="00271045" w:rsidP="00D72B52">
            <w:pPr>
              <w:outlineLvl w:val="0"/>
              <w:rPr>
                <w:rFonts w:eastAsia="Times New Roman" w:cs="Times New Roman"/>
                <w:color w:val="4A4A4A"/>
                <w:sz w:val="21"/>
                <w:szCs w:val="21"/>
                <w:lang w:eastAsia="en-GB"/>
              </w:rPr>
            </w:pPr>
            <w:r w:rsidRPr="00B861C8">
              <w:rPr>
                <w:rFonts w:eastAsia="Times New Roman" w:cs="Times New Roman"/>
                <w:color w:val="4A4A4A"/>
                <w:sz w:val="21"/>
                <w:szCs w:val="21"/>
                <w:lang w:eastAsia="en-GB"/>
              </w:rPr>
              <w:t>G</w:t>
            </w:r>
          </w:p>
        </w:tc>
      </w:tr>
      <w:tr w:rsidR="00271045" w:rsidRPr="00F76147" w14:paraId="610CA231" w14:textId="77777777" w:rsidTr="0828A6AE">
        <w:trPr>
          <w:trHeight w:hRule="exact" w:val="284"/>
        </w:trPr>
        <w:tc>
          <w:tcPr>
            <w:tcW w:w="0" w:type="auto"/>
            <w:shd w:val="clear" w:color="auto" w:fill="auto"/>
            <w:noWrap/>
            <w:hideMark/>
          </w:tcPr>
          <w:p w14:paraId="646A1D97" w14:textId="77777777" w:rsidR="00271045" w:rsidRPr="00B861C8" w:rsidRDefault="00271045" w:rsidP="00D72B52">
            <w:pPr>
              <w:ind w:firstLineChars="200" w:firstLine="420"/>
              <w:outlineLvl w:val="0"/>
              <w:rPr>
                <w:rFonts w:eastAsia="Times New Roman" w:cs="Times New Roman"/>
                <w:color w:val="4A4A4A"/>
                <w:sz w:val="21"/>
                <w:szCs w:val="21"/>
                <w:lang w:eastAsia="en-GB"/>
              </w:rPr>
            </w:pPr>
            <w:r w:rsidRPr="00B861C8">
              <w:rPr>
                <w:rFonts w:eastAsia="Times New Roman" w:cs="Times New Roman"/>
                <w:color w:val="4A4A4A"/>
                <w:sz w:val="21"/>
                <w:szCs w:val="21"/>
                <w:lang w:eastAsia="en-GB"/>
              </w:rPr>
              <w:t>Western Europe</w:t>
            </w:r>
          </w:p>
        </w:tc>
        <w:tc>
          <w:tcPr>
            <w:tcW w:w="0" w:type="auto"/>
            <w:shd w:val="clear" w:color="auto" w:fill="auto"/>
            <w:noWrap/>
          </w:tcPr>
          <w:p w14:paraId="55FE2017" w14:textId="77777777" w:rsidR="00271045" w:rsidRPr="00B861C8" w:rsidRDefault="00271045" w:rsidP="00D72B52">
            <w:pPr>
              <w:outlineLvl w:val="0"/>
              <w:rPr>
                <w:rFonts w:eastAsia="Times New Roman" w:cs="Times New Roman"/>
                <w:color w:val="4A4A4A"/>
                <w:sz w:val="21"/>
                <w:szCs w:val="21"/>
                <w:lang w:eastAsia="en-GB"/>
              </w:rPr>
            </w:pPr>
            <w:r w:rsidRPr="00B861C8">
              <w:rPr>
                <w:rFonts w:eastAsia="Times New Roman" w:cs="Times New Roman"/>
                <w:color w:val="4A4A4A"/>
                <w:sz w:val="21"/>
                <w:szCs w:val="21"/>
                <w:lang w:eastAsia="en-GB"/>
              </w:rPr>
              <w:t>9</w:t>
            </w:r>
          </w:p>
        </w:tc>
        <w:tc>
          <w:tcPr>
            <w:tcW w:w="0" w:type="auto"/>
            <w:shd w:val="clear" w:color="auto" w:fill="auto"/>
            <w:noWrap/>
          </w:tcPr>
          <w:p w14:paraId="11220453" w14:textId="77777777" w:rsidR="00271045" w:rsidRPr="00B861C8" w:rsidRDefault="00271045" w:rsidP="00D72B52">
            <w:pPr>
              <w:outlineLvl w:val="0"/>
              <w:rPr>
                <w:rFonts w:eastAsia="Times New Roman" w:cs="Times New Roman"/>
                <w:color w:val="4A4A4A"/>
                <w:sz w:val="21"/>
                <w:szCs w:val="21"/>
                <w:lang w:eastAsia="en-GB"/>
              </w:rPr>
            </w:pPr>
            <w:r w:rsidRPr="00B861C8">
              <w:rPr>
                <w:rFonts w:eastAsia="Times New Roman" w:cs="Times New Roman"/>
                <w:color w:val="4A4A4A"/>
                <w:sz w:val="21"/>
                <w:szCs w:val="21"/>
                <w:lang w:eastAsia="en-GB"/>
              </w:rPr>
              <w:t>G</w:t>
            </w:r>
          </w:p>
        </w:tc>
      </w:tr>
      <w:tr w:rsidR="00271045" w:rsidRPr="00F76147" w14:paraId="6FD47F2A" w14:textId="77777777" w:rsidTr="0828A6AE">
        <w:trPr>
          <w:trHeight w:hRule="exact" w:val="284"/>
        </w:trPr>
        <w:tc>
          <w:tcPr>
            <w:tcW w:w="0" w:type="auto"/>
            <w:shd w:val="clear" w:color="auto" w:fill="auto"/>
            <w:noWrap/>
            <w:hideMark/>
          </w:tcPr>
          <w:p w14:paraId="3CB71AED" w14:textId="77777777" w:rsidR="00271045" w:rsidRPr="00B861C8" w:rsidRDefault="00271045" w:rsidP="00D72B52">
            <w:pPr>
              <w:ind w:firstLineChars="100" w:firstLine="210"/>
              <w:rPr>
                <w:rFonts w:eastAsia="Times New Roman" w:cs="Times New Roman"/>
                <w:color w:val="4A4A4A"/>
                <w:sz w:val="21"/>
                <w:szCs w:val="21"/>
                <w:lang w:eastAsia="en-GB"/>
              </w:rPr>
            </w:pPr>
            <w:r w:rsidRPr="00B861C8">
              <w:rPr>
                <w:rFonts w:eastAsia="Times New Roman" w:cs="Times New Roman"/>
                <w:color w:val="4A4A4A"/>
                <w:sz w:val="21"/>
                <w:szCs w:val="21"/>
                <w:lang w:eastAsia="en-GB"/>
              </w:rPr>
              <w:t>Oceania</w:t>
            </w:r>
          </w:p>
        </w:tc>
        <w:tc>
          <w:tcPr>
            <w:tcW w:w="0" w:type="auto"/>
            <w:shd w:val="clear" w:color="auto" w:fill="auto"/>
            <w:noWrap/>
          </w:tcPr>
          <w:p w14:paraId="5790C9DE" w14:textId="77777777" w:rsidR="00271045" w:rsidRPr="00B861C8" w:rsidRDefault="00271045" w:rsidP="00D72B52">
            <w:pPr>
              <w:rPr>
                <w:rFonts w:eastAsia="Times New Roman" w:cs="Times New Roman"/>
                <w:color w:val="4A4A4A"/>
                <w:sz w:val="21"/>
                <w:szCs w:val="21"/>
                <w:lang w:eastAsia="en-GB"/>
              </w:rPr>
            </w:pPr>
            <w:r w:rsidRPr="00B861C8">
              <w:rPr>
                <w:rFonts w:eastAsia="Times New Roman" w:cs="Times New Roman"/>
                <w:color w:val="4A4A4A"/>
                <w:sz w:val="21"/>
                <w:szCs w:val="21"/>
                <w:lang w:eastAsia="en-GB"/>
              </w:rPr>
              <w:t>7</w:t>
            </w:r>
          </w:p>
        </w:tc>
        <w:tc>
          <w:tcPr>
            <w:tcW w:w="0" w:type="auto"/>
            <w:shd w:val="clear" w:color="auto" w:fill="auto"/>
            <w:noWrap/>
          </w:tcPr>
          <w:p w14:paraId="689D2655" w14:textId="77777777" w:rsidR="00271045" w:rsidRPr="00B861C8" w:rsidRDefault="00271045" w:rsidP="00D72B52">
            <w:pPr>
              <w:rPr>
                <w:rFonts w:eastAsia="Times New Roman" w:cs="Times New Roman"/>
                <w:color w:val="4A4A4A"/>
                <w:sz w:val="21"/>
                <w:szCs w:val="21"/>
                <w:lang w:eastAsia="en-GB"/>
              </w:rPr>
            </w:pPr>
            <w:r w:rsidRPr="00B861C8">
              <w:rPr>
                <w:rFonts w:eastAsia="Times New Roman" w:cs="Times New Roman"/>
                <w:color w:val="4A4A4A"/>
                <w:sz w:val="21"/>
                <w:szCs w:val="21"/>
                <w:lang w:eastAsia="en-GB"/>
              </w:rPr>
              <w:t>G</w:t>
            </w:r>
          </w:p>
        </w:tc>
      </w:tr>
      <w:tr w:rsidR="00271045" w:rsidRPr="00F76147" w14:paraId="264FF411" w14:textId="77777777" w:rsidTr="0828A6AE">
        <w:trPr>
          <w:trHeight w:hRule="exact" w:val="284"/>
        </w:trPr>
        <w:tc>
          <w:tcPr>
            <w:tcW w:w="0" w:type="auto"/>
            <w:shd w:val="clear" w:color="auto" w:fill="auto"/>
            <w:noWrap/>
            <w:hideMark/>
          </w:tcPr>
          <w:p w14:paraId="461F6ADD" w14:textId="77777777" w:rsidR="00271045" w:rsidRPr="00B861C8" w:rsidRDefault="00271045" w:rsidP="00D72B52">
            <w:pPr>
              <w:ind w:firstLineChars="200" w:firstLine="420"/>
              <w:outlineLvl w:val="0"/>
              <w:rPr>
                <w:rFonts w:eastAsia="Times New Roman" w:cs="Times New Roman"/>
                <w:color w:val="4A4A4A"/>
                <w:sz w:val="21"/>
                <w:szCs w:val="21"/>
                <w:lang w:eastAsia="en-GB"/>
              </w:rPr>
            </w:pPr>
            <w:r w:rsidRPr="00B861C8">
              <w:rPr>
                <w:rFonts w:eastAsia="Times New Roman" w:cs="Times New Roman"/>
                <w:color w:val="4A4A4A"/>
                <w:sz w:val="21"/>
                <w:szCs w:val="21"/>
                <w:lang w:eastAsia="en-GB"/>
              </w:rPr>
              <w:t>Australia and New Zealand</w:t>
            </w:r>
          </w:p>
        </w:tc>
        <w:tc>
          <w:tcPr>
            <w:tcW w:w="0" w:type="auto"/>
            <w:shd w:val="clear" w:color="auto" w:fill="auto"/>
            <w:noWrap/>
          </w:tcPr>
          <w:p w14:paraId="3E537CD2" w14:textId="77777777" w:rsidR="00271045" w:rsidRPr="00B861C8" w:rsidRDefault="00271045" w:rsidP="00D72B52">
            <w:pPr>
              <w:outlineLvl w:val="0"/>
              <w:rPr>
                <w:rFonts w:eastAsia="Times New Roman" w:cs="Times New Roman"/>
                <w:color w:val="4A4A4A"/>
                <w:sz w:val="21"/>
                <w:szCs w:val="21"/>
                <w:lang w:eastAsia="en-GB"/>
              </w:rPr>
            </w:pPr>
            <w:r w:rsidRPr="00B861C8">
              <w:rPr>
                <w:rFonts w:eastAsia="Times New Roman" w:cs="Times New Roman"/>
                <w:color w:val="4A4A4A"/>
                <w:sz w:val="21"/>
                <w:szCs w:val="21"/>
                <w:lang w:eastAsia="en-GB"/>
              </w:rPr>
              <w:t>2</w:t>
            </w:r>
          </w:p>
        </w:tc>
        <w:tc>
          <w:tcPr>
            <w:tcW w:w="0" w:type="auto"/>
            <w:shd w:val="clear" w:color="auto" w:fill="auto"/>
            <w:noWrap/>
          </w:tcPr>
          <w:p w14:paraId="23E86AA5" w14:textId="77777777" w:rsidR="00271045" w:rsidRPr="00B861C8" w:rsidRDefault="00271045" w:rsidP="00D72B52">
            <w:pPr>
              <w:outlineLvl w:val="0"/>
              <w:rPr>
                <w:rFonts w:eastAsia="Times New Roman" w:cs="Times New Roman"/>
                <w:color w:val="4A4A4A"/>
                <w:sz w:val="21"/>
                <w:szCs w:val="21"/>
                <w:lang w:eastAsia="en-GB"/>
              </w:rPr>
            </w:pPr>
            <w:r w:rsidRPr="00B861C8">
              <w:rPr>
                <w:rFonts w:eastAsia="Times New Roman" w:cs="Times New Roman"/>
                <w:color w:val="4A4A4A"/>
                <w:sz w:val="21"/>
                <w:szCs w:val="21"/>
                <w:lang w:eastAsia="en-GB"/>
              </w:rPr>
              <w:t>G</w:t>
            </w:r>
          </w:p>
        </w:tc>
      </w:tr>
      <w:tr w:rsidR="00271045" w:rsidRPr="00F76147" w14:paraId="56BEFAEE" w14:textId="77777777" w:rsidTr="0828A6AE">
        <w:trPr>
          <w:trHeight w:hRule="exact" w:val="284"/>
        </w:trPr>
        <w:tc>
          <w:tcPr>
            <w:tcW w:w="0" w:type="auto"/>
            <w:shd w:val="clear" w:color="auto" w:fill="auto"/>
            <w:noWrap/>
            <w:hideMark/>
          </w:tcPr>
          <w:p w14:paraId="6452E586" w14:textId="77777777" w:rsidR="00271045" w:rsidRPr="00B861C8" w:rsidRDefault="00271045" w:rsidP="00D72B52">
            <w:pPr>
              <w:ind w:firstLineChars="200" w:firstLine="420"/>
              <w:outlineLvl w:val="0"/>
              <w:rPr>
                <w:rFonts w:eastAsia="Times New Roman" w:cs="Times New Roman"/>
                <w:color w:val="4A4A4A"/>
                <w:sz w:val="21"/>
                <w:szCs w:val="21"/>
                <w:lang w:eastAsia="en-GB"/>
              </w:rPr>
            </w:pPr>
            <w:r w:rsidRPr="00B861C8">
              <w:rPr>
                <w:rFonts w:eastAsia="Times New Roman" w:cs="Times New Roman"/>
                <w:color w:val="4A4A4A"/>
                <w:sz w:val="21"/>
                <w:szCs w:val="21"/>
                <w:lang w:eastAsia="en-GB"/>
              </w:rPr>
              <w:t>Melanesia</w:t>
            </w:r>
          </w:p>
        </w:tc>
        <w:tc>
          <w:tcPr>
            <w:tcW w:w="0" w:type="auto"/>
            <w:shd w:val="clear" w:color="auto" w:fill="auto"/>
            <w:noWrap/>
          </w:tcPr>
          <w:p w14:paraId="5B3C2C1B" w14:textId="77777777" w:rsidR="00271045" w:rsidRPr="00B861C8" w:rsidRDefault="00271045" w:rsidP="00D72B52">
            <w:pPr>
              <w:outlineLvl w:val="0"/>
              <w:rPr>
                <w:rFonts w:eastAsia="Times New Roman" w:cs="Times New Roman"/>
                <w:color w:val="4A4A4A"/>
                <w:sz w:val="21"/>
                <w:szCs w:val="21"/>
                <w:lang w:eastAsia="en-GB"/>
              </w:rPr>
            </w:pPr>
            <w:r w:rsidRPr="00B861C8">
              <w:rPr>
                <w:rFonts w:eastAsia="Times New Roman" w:cs="Times New Roman"/>
                <w:color w:val="4A4A4A"/>
                <w:sz w:val="21"/>
                <w:szCs w:val="21"/>
                <w:lang w:eastAsia="en-GB"/>
              </w:rPr>
              <w:t>2</w:t>
            </w:r>
          </w:p>
        </w:tc>
        <w:tc>
          <w:tcPr>
            <w:tcW w:w="0" w:type="auto"/>
            <w:shd w:val="clear" w:color="auto" w:fill="auto"/>
            <w:noWrap/>
          </w:tcPr>
          <w:p w14:paraId="2E74ED43" w14:textId="77777777" w:rsidR="00271045" w:rsidRPr="00B861C8" w:rsidRDefault="00271045" w:rsidP="00D72B52">
            <w:pPr>
              <w:outlineLvl w:val="0"/>
              <w:rPr>
                <w:rFonts w:eastAsia="Times New Roman" w:cs="Times New Roman"/>
                <w:color w:val="4A4A4A"/>
                <w:sz w:val="21"/>
                <w:szCs w:val="21"/>
                <w:lang w:eastAsia="en-GB"/>
              </w:rPr>
            </w:pPr>
            <w:r w:rsidRPr="00B861C8">
              <w:rPr>
                <w:rFonts w:eastAsia="Times New Roman" w:cs="Times New Roman"/>
                <w:color w:val="4A4A4A"/>
                <w:sz w:val="21"/>
                <w:szCs w:val="21"/>
                <w:lang w:eastAsia="en-GB"/>
              </w:rPr>
              <w:t>G</w:t>
            </w:r>
          </w:p>
        </w:tc>
      </w:tr>
      <w:tr w:rsidR="00271045" w:rsidRPr="00F76147" w14:paraId="1008260E" w14:textId="77777777" w:rsidTr="0828A6AE">
        <w:trPr>
          <w:trHeight w:hRule="exact" w:val="284"/>
        </w:trPr>
        <w:tc>
          <w:tcPr>
            <w:tcW w:w="0" w:type="auto"/>
            <w:shd w:val="clear" w:color="auto" w:fill="auto"/>
            <w:noWrap/>
            <w:hideMark/>
          </w:tcPr>
          <w:p w14:paraId="77AD6342" w14:textId="77777777" w:rsidR="00271045" w:rsidRPr="00B861C8" w:rsidRDefault="00271045" w:rsidP="00D72B52">
            <w:pPr>
              <w:ind w:firstLineChars="200" w:firstLine="420"/>
              <w:outlineLvl w:val="0"/>
              <w:rPr>
                <w:rFonts w:eastAsia="Times New Roman" w:cs="Times New Roman"/>
                <w:color w:val="4A4A4A"/>
                <w:sz w:val="21"/>
                <w:szCs w:val="21"/>
                <w:lang w:eastAsia="en-GB"/>
              </w:rPr>
            </w:pPr>
            <w:r w:rsidRPr="00B861C8">
              <w:rPr>
                <w:rFonts w:eastAsia="Times New Roman" w:cs="Times New Roman"/>
                <w:color w:val="4A4A4A"/>
                <w:sz w:val="21"/>
                <w:szCs w:val="21"/>
                <w:lang w:eastAsia="en-GB"/>
              </w:rPr>
              <w:t>Micronesia</w:t>
            </w:r>
          </w:p>
        </w:tc>
        <w:tc>
          <w:tcPr>
            <w:tcW w:w="0" w:type="auto"/>
            <w:shd w:val="clear" w:color="auto" w:fill="auto"/>
            <w:noWrap/>
          </w:tcPr>
          <w:p w14:paraId="51C5E345" w14:textId="77777777" w:rsidR="00271045" w:rsidRPr="00B861C8" w:rsidRDefault="00271045" w:rsidP="00D72B52">
            <w:pPr>
              <w:outlineLvl w:val="0"/>
              <w:rPr>
                <w:rFonts w:eastAsia="Times New Roman" w:cs="Times New Roman"/>
                <w:color w:val="4A4A4A"/>
                <w:sz w:val="21"/>
                <w:szCs w:val="21"/>
                <w:lang w:eastAsia="en-GB"/>
              </w:rPr>
            </w:pPr>
            <w:r w:rsidRPr="00B861C8">
              <w:rPr>
                <w:rFonts w:eastAsia="Times New Roman" w:cs="Times New Roman"/>
                <w:color w:val="4A4A4A"/>
                <w:sz w:val="21"/>
                <w:szCs w:val="21"/>
                <w:lang w:eastAsia="en-GB"/>
              </w:rPr>
              <w:t>2</w:t>
            </w:r>
          </w:p>
        </w:tc>
        <w:tc>
          <w:tcPr>
            <w:tcW w:w="0" w:type="auto"/>
            <w:shd w:val="clear" w:color="auto" w:fill="auto"/>
            <w:noWrap/>
          </w:tcPr>
          <w:p w14:paraId="2FACB77E" w14:textId="77777777" w:rsidR="00271045" w:rsidRPr="00B861C8" w:rsidRDefault="00271045" w:rsidP="00D72B52">
            <w:pPr>
              <w:outlineLvl w:val="0"/>
              <w:rPr>
                <w:rFonts w:eastAsia="Times New Roman" w:cs="Times New Roman"/>
                <w:color w:val="4A4A4A"/>
                <w:sz w:val="21"/>
                <w:szCs w:val="21"/>
                <w:lang w:eastAsia="en-GB"/>
              </w:rPr>
            </w:pPr>
            <w:r w:rsidRPr="00B861C8">
              <w:rPr>
                <w:rFonts w:eastAsia="Times New Roman" w:cs="Times New Roman"/>
                <w:color w:val="4A4A4A"/>
                <w:sz w:val="21"/>
                <w:szCs w:val="21"/>
                <w:lang w:eastAsia="en-GB"/>
              </w:rPr>
              <w:t>G</w:t>
            </w:r>
          </w:p>
        </w:tc>
      </w:tr>
      <w:tr w:rsidR="00271045" w:rsidRPr="00F76147" w14:paraId="26482354" w14:textId="77777777" w:rsidTr="0828A6AE">
        <w:trPr>
          <w:trHeight w:hRule="exact" w:val="284"/>
        </w:trPr>
        <w:tc>
          <w:tcPr>
            <w:tcW w:w="0" w:type="auto"/>
            <w:shd w:val="clear" w:color="auto" w:fill="auto"/>
            <w:noWrap/>
            <w:hideMark/>
          </w:tcPr>
          <w:p w14:paraId="23A8B34A" w14:textId="77777777" w:rsidR="00271045" w:rsidRPr="00B861C8" w:rsidRDefault="00271045" w:rsidP="00D72B52">
            <w:pPr>
              <w:ind w:firstLineChars="200" w:firstLine="420"/>
              <w:outlineLvl w:val="0"/>
              <w:rPr>
                <w:rFonts w:eastAsia="Times New Roman" w:cs="Times New Roman"/>
                <w:color w:val="4A4A4A"/>
                <w:sz w:val="21"/>
                <w:szCs w:val="21"/>
                <w:lang w:eastAsia="en-GB"/>
              </w:rPr>
            </w:pPr>
            <w:r w:rsidRPr="00B861C8">
              <w:rPr>
                <w:rFonts w:eastAsia="Times New Roman" w:cs="Times New Roman"/>
                <w:color w:val="4A4A4A"/>
                <w:sz w:val="21"/>
                <w:szCs w:val="21"/>
                <w:lang w:eastAsia="en-GB"/>
              </w:rPr>
              <w:t>Polynesia</w:t>
            </w:r>
          </w:p>
        </w:tc>
        <w:tc>
          <w:tcPr>
            <w:tcW w:w="0" w:type="auto"/>
            <w:shd w:val="clear" w:color="auto" w:fill="auto"/>
            <w:noWrap/>
            <w:hideMark/>
          </w:tcPr>
          <w:p w14:paraId="19F2ED4F" w14:textId="77777777" w:rsidR="00271045" w:rsidRPr="00B861C8" w:rsidRDefault="00271045" w:rsidP="00D72B52">
            <w:pPr>
              <w:outlineLvl w:val="0"/>
              <w:rPr>
                <w:rFonts w:eastAsia="Times New Roman" w:cs="Times New Roman"/>
                <w:color w:val="4A4A4A"/>
                <w:sz w:val="21"/>
                <w:szCs w:val="21"/>
                <w:lang w:eastAsia="en-GB"/>
              </w:rPr>
            </w:pPr>
            <w:r w:rsidRPr="00B861C8">
              <w:rPr>
                <w:rFonts w:eastAsia="Times New Roman" w:cs="Times New Roman"/>
                <w:color w:val="4A4A4A"/>
                <w:sz w:val="21"/>
                <w:szCs w:val="21"/>
                <w:lang w:eastAsia="en-GB"/>
              </w:rPr>
              <w:t>1</w:t>
            </w:r>
          </w:p>
        </w:tc>
        <w:tc>
          <w:tcPr>
            <w:tcW w:w="0" w:type="auto"/>
            <w:shd w:val="clear" w:color="auto" w:fill="auto"/>
            <w:noWrap/>
          </w:tcPr>
          <w:p w14:paraId="1786B7DC" w14:textId="77777777" w:rsidR="00271045" w:rsidRPr="00B861C8" w:rsidRDefault="00271045" w:rsidP="00D72B52">
            <w:pPr>
              <w:outlineLvl w:val="0"/>
              <w:rPr>
                <w:rFonts w:eastAsia="Times New Roman" w:cs="Times New Roman"/>
                <w:color w:val="4A4A4A"/>
                <w:sz w:val="21"/>
                <w:szCs w:val="21"/>
                <w:lang w:eastAsia="en-GB"/>
              </w:rPr>
            </w:pPr>
            <w:r w:rsidRPr="00B861C8">
              <w:rPr>
                <w:rFonts w:eastAsia="Times New Roman" w:cs="Times New Roman"/>
                <w:color w:val="4A4A4A"/>
                <w:sz w:val="21"/>
                <w:szCs w:val="21"/>
                <w:lang w:eastAsia="en-GB"/>
              </w:rPr>
              <w:t>G</w:t>
            </w:r>
          </w:p>
        </w:tc>
      </w:tr>
    </w:tbl>
    <w:p w14:paraId="23A70B72" w14:textId="77777777" w:rsidR="00271045" w:rsidRPr="00573631" w:rsidRDefault="00271045" w:rsidP="00271045">
      <w:pPr>
        <w:shd w:val="clear" w:color="auto" w:fill="FFFFFF"/>
        <w:spacing w:after="0"/>
        <w:rPr>
          <w:rFonts w:eastAsia="Times New Roman" w:cs="Times New Roman"/>
          <w:color w:val="4A4A4A"/>
          <w:sz w:val="21"/>
          <w:szCs w:val="21"/>
          <w:lang w:eastAsia="en-GB"/>
        </w:rPr>
      </w:pPr>
    </w:p>
    <w:p w14:paraId="5A6ED347" w14:textId="77777777" w:rsidR="00271045" w:rsidRPr="00573631" w:rsidRDefault="00271045" w:rsidP="00271045">
      <w:pPr>
        <w:keepNext/>
        <w:keepLines/>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Time series:</w:t>
      </w:r>
    </w:p>
    <w:p w14:paraId="68AC33D7" w14:textId="400B549F" w:rsidR="00271045" w:rsidRDefault="00271045" w:rsidP="0828A6AE">
      <w:pPr>
        <w:keepNext/>
        <w:keepLines/>
        <w:shd w:val="clear" w:color="auto" w:fill="FFFFFF" w:themeFill="background1"/>
        <w:spacing w:after="0"/>
        <w:rPr>
          <w:rFonts w:eastAsia="Times New Roman" w:cs="Times New Roman"/>
          <w:color w:val="4A4A4A"/>
          <w:sz w:val="21"/>
          <w:szCs w:val="21"/>
          <w:lang w:eastAsia="en-GB"/>
        </w:rPr>
      </w:pPr>
      <w:r w:rsidRPr="0828A6AE">
        <w:rPr>
          <w:rFonts w:eastAsia="Times New Roman" w:cs="Times New Roman"/>
          <w:color w:val="4A4A4A"/>
          <w:sz w:val="21"/>
          <w:szCs w:val="21"/>
          <w:lang w:eastAsia="en-GB"/>
        </w:rPr>
        <w:t>2016 (baseline)</w:t>
      </w:r>
    </w:p>
    <w:p w14:paraId="314DB245" w14:textId="77777777" w:rsidR="00271045" w:rsidRPr="00573631" w:rsidRDefault="00271045" w:rsidP="00271045">
      <w:pPr>
        <w:keepNext/>
        <w:keepLines/>
        <w:shd w:val="clear" w:color="auto" w:fill="FFFFFF"/>
        <w:spacing w:after="0"/>
        <w:rPr>
          <w:rFonts w:eastAsia="Times New Roman" w:cs="Times New Roman"/>
          <w:color w:val="4A4A4A"/>
          <w:sz w:val="21"/>
          <w:szCs w:val="21"/>
          <w:lang w:eastAsia="en-GB"/>
        </w:rPr>
      </w:pPr>
    </w:p>
    <w:p w14:paraId="4BDF8449" w14:textId="77777777" w:rsidR="00271045" w:rsidRDefault="00271045" w:rsidP="00271045">
      <w:pPr>
        <w:pStyle w:val="MText"/>
      </w:pPr>
      <w:r>
        <w:t>Disaggregation:</w:t>
      </w:r>
    </w:p>
    <w:p w14:paraId="42E8CA56" w14:textId="0BA83860" w:rsidR="00D51E7C" w:rsidRDefault="00271045" w:rsidP="00271045">
      <w:pPr>
        <w:pStyle w:val="MText"/>
      </w:pPr>
      <w:r>
        <w:t>The disaggregation level is the national level. No demographic features are included in the indicators and are thus excluded from the consideration of level of disaggregation.</w:t>
      </w:r>
    </w:p>
    <w:p w14:paraId="4F877ACA" w14:textId="77777777" w:rsidR="00271045" w:rsidRPr="00A96255" w:rsidRDefault="00271045" w:rsidP="00271045">
      <w:pPr>
        <w:pStyle w:val="MText"/>
      </w:pP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3EAAE99A" w14:textId="77777777" w:rsidR="00271045" w:rsidRDefault="00271045" w:rsidP="00271045">
      <w:pPr>
        <w:pStyle w:val="MText"/>
      </w:pPr>
      <w:r>
        <w:t>Sources of discrepancies:</w:t>
      </w:r>
    </w:p>
    <w:p w14:paraId="3C2D4870" w14:textId="3DD084B3" w:rsidR="00D51E7C" w:rsidRDefault="00271045" w:rsidP="00271045">
      <w:pPr>
        <w:pStyle w:val="MText"/>
      </w:pPr>
      <w:r>
        <w:t>There might be differences between a national estimated based on an expert judgment, in case of country data is not available, and the answer a country would give via the self-assessment questionnaire. This can happen not only because the expert judgement represents the best approximation to the reality, but not the reality itself, and/or due to the well-known self-report bias verifiable in this type of surveys that means countries will by tendency report a better reality that the one indeed in place.</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lastRenderedPageBreak/>
        <w:t>7</w:t>
      </w:r>
      <w:r w:rsidR="00382CF3" w:rsidRPr="00A96255">
        <w:t>. References and Documentation</w:t>
      </w:r>
    </w:p>
    <w:p w14:paraId="4BBCD31D" w14:textId="77777777" w:rsidR="00B861C8" w:rsidRPr="00B861C8" w:rsidRDefault="00B861C8" w:rsidP="00B861C8">
      <w:pPr>
        <w:rPr>
          <w:rFonts w:eastAsia="Times New Roman" w:cs="Times New Roman"/>
          <w:color w:val="4A4A4A"/>
          <w:sz w:val="21"/>
          <w:szCs w:val="21"/>
          <w:lang w:eastAsia="en-GB"/>
        </w:rPr>
      </w:pPr>
      <w:r w:rsidRPr="00B861C8">
        <w:rPr>
          <w:rFonts w:eastAsia="Times New Roman" w:cs="Times New Roman"/>
          <w:color w:val="4A4A4A"/>
          <w:sz w:val="21"/>
          <w:szCs w:val="21"/>
          <w:lang w:eastAsia="en-GB"/>
        </w:rPr>
        <w:t xml:space="preserve">URL: </w:t>
      </w:r>
    </w:p>
    <w:p w14:paraId="25FBD208" w14:textId="77777777" w:rsidR="00B861C8" w:rsidRPr="00B861C8" w:rsidRDefault="00B861C8" w:rsidP="00B861C8">
      <w:pPr>
        <w:rPr>
          <w:rFonts w:eastAsia="Times New Roman" w:cs="Times New Roman"/>
          <w:color w:val="4A4A4A"/>
          <w:sz w:val="21"/>
          <w:szCs w:val="21"/>
          <w:lang w:eastAsia="en-GB"/>
        </w:rPr>
      </w:pPr>
      <w:r w:rsidRPr="00B861C8">
        <w:rPr>
          <w:rFonts w:eastAsia="Times New Roman" w:cs="Times New Roman"/>
          <w:color w:val="4A4A4A"/>
          <w:sz w:val="21"/>
          <w:szCs w:val="21"/>
          <w:lang w:eastAsia="en-GB"/>
        </w:rPr>
        <w:t>•</w:t>
      </w:r>
      <w:r w:rsidRPr="00B861C8">
        <w:rPr>
          <w:rFonts w:eastAsia="Times New Roman" w:cs="Times New Roman"/>
          <w:color w:val="4A4A4A"/>
          <w:sz w:val="21"/>
          <w:szCs w:val="21"/>
          <w:lang w:eastAsia="en-GB"/>
        </w:rPr>
        <w:tab/>
        <w:t>SDG 14.b http://www.fao.org/sustainable-development-goals/indicators/14.b.1/en/</w:t>
      </w:r>
    </w:p>
    <w:p w14:paraId="48B55638" w14:textId="77777777" w:rsidR="00B861C8" w:rsidRPr="00B861C8" w:rsidRDefault="00B861C8" w:rsidP="00B861C8">
      <w:pPr>
        <w:rPr>
          <w:rFonts w:eastAsia="Times New Roman" w:cs="Times New Roman"/>
          <w:color w:val="4A4A4A"/>
          <w:sz w:val="21"/>
          <w:szCs w:val="21"/>
          <w:lang w:eastAsia="en-GB"/>
        </w:rPr>
      </w:pPr>
      <w:r w:rsidRPr="00B861C8">
        <w:rPr>
          <w:rFonts w:eastAsia="Times New Roman" w:cs="Times New Roman"/>
          <w:color w:val="4A4A4A"/>
          <w:sz w:val="21"/>
          <w:szCs w:val="21"/>
          <w:lang w:eastAsia="en-GB"/>
        </w:rPr>
        <w:t>•</w:t>
      </w:r>
      <w:r w:rsidRPr="00B861C8">
        <w:rPr>
          <w:rFonts w:eastAsia="Times New Roman" w:cs="Times New Roman"/>
          <w:color w:val="4A4A4A"/>
          <w:sz w:val="21"/>
          <w:szCs w:val="21"/>
          <w:lang w:eastAsia="en-GB"/>
        </w:rPr>
        <w:tab/>
        <w:t>e-learning course on SDG indicator 14.b.1: http://www.fao.org/elearning/#/elc/en/course/SDG14B1</w:t>
      </w:r>
    </w:p>
    <w:p w14:paraId="6FB98FF6" w14:textId="77777777" w:rsidR="00B861C8" w:rsidRPr="00B861C8" w:rsidRDefault="00B861C8" w:rsidP="00B861C8">
      <w:pPr>
        <w:rPr>
          <w:rFonts w:eastAsia="Times New Roman" w:cs="Times New Roman"/>
          <w:color w:val="4A4A4A"/>
          <w:sz w:val="21"/>
          <w:szCs w:val="21"/>
          <w:lang w:eastAsia="en-GB"/>
        </w:rPr>
      </w:pPr>
    </w:p>
    <w:p w14:paraId="3CD4C69B" w14:textId="77777777" w:rsidR="00B861C8" w:rsidRPr="00B861C8" w:rsidRDefault="00B861C8" w:rsidP="00B861C8">
      <w:pPr>
        <w:rPr>
          <w:rFonts w:eastAsia="Times New Roman" w:cs="Times New Roman"/>
          <w:color w:val="4A4A4A"/>
          <w:sz w:val="21"/>
          <w:szCs w:val="21"/>
          <w:lang w:eastAsia="en-GB"/>
        </w:rPr>
      </w:pPr>
      <w:r w:rsidRPr="00B861C8">
        <w:rPr>
          <w:rFonts w:eastAsia="Times New Roman" w:cs="Times New Roman"/>
          <w:color w:val="4A4A4A"/>
          <w:sz w:val="21"/>
          <w:szCs w:val="21"/>
          <w:lang w:eastAsia="en-GB"/>
        </w:rPr>
        <w:t>References:</w:t>
      </w:r>
    </w:p>
    <w:p w14:paraId="49D3F410" w14:textId="77777777" w:rsidR="00B861C8" w:rsidRPr="00B861C8" w:rsidRDefault="00B861C8" w:rsidP="00B861C8">
      <w:pPr>
        <w:rPr>
          <w:rFonts w:eastAsia="Times New Roman" w:cs="Times New Roman"/>
          <w:color w:val="4A4A4A"/>
          <w:sz w:val="21"/>
          <w:szCs w:val="21"/>
          <w:lang w:eastAsia="en-GB"/>
        </w:rPr>
      </w:pPr>
      <w:r w:rsidRPr="00B861C8">
        <w:rPr>
          <w:rFonts w:eastAsia="Times New Roman" w:cs="Times New Roman"/>
          <w:color w:val="4A4A4A"/>
          <w:sz w:val="21"/>
          <w:szCs w:val="21"/>
          <w:lang w:eastAsia="en-GB"/>
        </w:rPr>
        <w:t>32nd Session of the FAO Committee on Fisheries – relevant documents:</w:t>
      </w:r>
    </w:p>
    <w:p w14:paraId="6346D5CA" w14:textId="77777777" w:rsidR="00B861C8" w:rsidRPr="00B861C8" w:rsidRDefault="00B861C8" w:rsidP="00B861C8">
      <w:pPr>
        <w:rPr>
          <w:rFonts w:eastAsia="Times New Roman" w:cs="Times New Roman"/>
          <w:color w:val="4A4A4A"/>
          <w:sz w:val="21"/>
          <w:szCs w:val="21"/>
          <w:lang w:eastAsia="en-GB"/>
        </w:rPr>
      </w:pPr>
      <w:r w:rsidRPr="00B861C8">
        <w:rPr>
          <w:rFonts w:eastAsia="Times New Roman" w:cs="Times New Roman"/>
          <w:color w:val="4A4A4A"/>
          <w:sz w:val="21"/>
          <w:szCs w:val="21"/>
          <w:lang w:eastAsia="en-GB"/>
        </w:rPr>
        <w:t>•</w:t>
      </w:r>
      <w:r w:rsidRPr="00B861C8">
        <w:rPr>
          <w:rFonts w:eastAsia="Times New Roman" w:cs="Times New Roman"/>
          <w:color w:val="4A4A4A"/>
          <w:sz w:val="21"/>
          <w:szCs w:val="21"/>
          <w:lang w:eastAsia="en-GB"/>
        </w:rPr>
        <w:tab/>
        <w:t>http://www.fao.org/3/a-mq663e.pdf</w:t>
      </w:r>
    </w:p>
    <w:p w14:paraId="2F848744" w14:textId="77777777" w:rsidR="00B861C8" w:rsidRPr="00B861C8" w:rsidRDefault="00B861C8" w:rsidP="00B861C8">
      <w:pPr>
        <w:rPr>
          <w:rFonts w:eastAsia="Times New Roman" w:cs="Times New Roman"/>
          <w:color w:val="4A4A4A"/>
          <w:sz w:val="21"/>
          <w:szCs w:val="21"/>
          <w:lang w:eastAsia="en-GB"/>
        </w:rPr>
      </w:pPr>
      <w:r w:rsidRPr="00B861C8">
        <w:rPr>
          <w:rFonts w:eastAsia="Times New Roman" w:cs="Times New Roman"/>
          <w:color w:val="4A4A4A"/>
          <w:sz w:val="21"/>
          <w:szCs w:val="21"/>
          <w:lang w:eastAsia="en-GB"/>
        </w:rPr>
        <w:t>•</w:t>
      </w:r>
      <w:r w:rsidRPr="00B861C8">
        <w:rPr>
          <w:rFonts w:eastAsia="Times New Roman" w:cs="Times New Roman"/>
          <w:color w:val="4A4A4A"/>
          <w:sz w:val="21"/>
          <w:szCs w:val="21"/>
          <w:lang w:eastAsia="en-GB"/>
        </w:rPr>
        <w:tab/>
        <w:t>http://www.fao.org/3/a-mq873e.pdf</w:t>
      </w:r>
    </w:p>
    <w:p w14:paraId="384B0992" w14:textId="0A46103A" w:rsidR="00186795" w:rsidRDefault="00B861C8" w:rsidP="00B861C8">
      <w:r w:rsidRPr="00B861C8">
        <w:rPr>
          <w:rFonts w:eastAsia="Times New Roman" w:cs="Times New Roman"/>
          <w:color w:val="4A4A4A"/>
          <w:sz w:val="21"/>
          <w:szCs w:val="21"/>
          <w:lang w:eastAsia="en-GB"/>
        </w:rPr>
        <w:t>•</w:t>
      </w:r>
      <w:r w:rsidRPr="00B861C8">
        <w:rPr>
          <w:rFonts w:eastAsia="Times New Roman" w:cs="Times New Roman"/>
          <w:color w:val="4A4A4A"/>
          <w:sz w:val="21"/>
          <w:szCs w:val="21"/>
          <w:lang w:eastAsia="en-GB"/>
        </w:rPr>
        <w:tab/>
        <w:t>http://www.fao.org/3/a-bo076e.pdf</w:t>
      </w:r>
    </w:p>
    <w:sectPr w:rsidR="00186795">
      <w:headerReference w:type="defaul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9D5CB1" w14:textId="77777777" w:rsidR="00E95FF9" w:rsidRDefault="00E95FF9" w:rsidP="00573C0B">
      <w:pPr>
        <w:spacing w:after="0" w:line="240" w:lineRule="auto"/>
      </w:pPr>
      <w:r>
        <w:separator/>
      </w:r>
    </w:p>
  </w:endnote>
  <w:endnote w:type="continuationSeparator" w:id="0">
    <w:p w14:paraId="725F2932" w14:textId="77777777" w:rsidR="00E95FF9" w:rsidRDefault="00E95FF9" w:rsidP="00573C0B">
      <w:pPr>
        <w:spacing w:after="0" w:line="240" w:lineRule="auto"/>
      </w:pPr>
      <w:r>
        <w:continuationSeparator/>
      </w:r>
    </w:p>
  </w:endnote>
  <w:endnote w:type="continuationNotice" w:id="1">
    <w:p w14:paraId="1CB672F1" w14:textId="77777777" w:rsidR="00E95FF9" w:rsidRDefault="00E95FF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682272" w14:textId="77777777" w:rsidR="00E95FF9" w:rsidRDefault="00E95FF9" w:rsidP="00573C0B">
      <w:pPr>
        <w:spacing w:after="0" w:line="240" w:lineRule="auto"/>
      </w:pPr>
      <w:r>
        <w:separator/>
      </w:r>
    </w:p>
  </w:footnote>
  <w:footnote w:type="continuationSeparator" w:id="0">
    <w:p w14:paraId="16EB8432" w14:textId="77777777" w:rsidR="00E95FF9" w:rsidRDefault="00E95FF9" w:rsidP="00573C0B">
      <w:pPr>
        <w:spacing w:after="0" w:line="240" w:lineRule="auto"/>
      </w:pPr>
      <w:r>
        <w:continuationSeparator/>
      </w:r>
    </w:p>
  </w:footnote>
  <w:footnote w:type="continuationNotice" w:id="1">
    <w:p w14:paraId="4D47E8EE" w14:textId="77777777" w:rsidR="00E95FF9" w:rsidRDefault="00E95FF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2D9A174D" w:rsidR="00077F46" w:rsidRPr="00757E8A" w:rsidRDefault="00077F46"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sidR="00AF5552">
      <w:rPr>
        <w:color w:val="404040" w:themeColor="text1" w:themeTint="BF"/>
        <w:sz w:val="18"/>
        <w:szCs w:val="18"/>
      </w:rPr>
      <w:t xml:space="preserve"> </w:t>
    </w:r>
    <w:r w:rsidR="00D772A1">
      <w:rPr>
        <w:color w:val="404040" w:themeColor="text1" w:themeTint="BF"/>
        <w:sz w:val="18"/>
        <w:szCs w:val="18"/>
      </w:rPr>
      <w:t>February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E5DE5"/>
    <w:multiLevelType w:val="hybridMultilevel"/>
    <w:tmpl w:val="B260A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5344F4"/>
    <w:multiLevelType w:val="hybridMultilevel"/>
    <w:tmpl w:val="2AF8BEBC"/>
    <w:lvl w:ilvl="0" w:tplc="5984868A">
      <w:start w:val="1"/>
      <w:numFmt w:val="bullet"/>
      <w:lvlText w:val=""/>
      <w:lvlJc w:val="left"/>
      <w:pPr>
        <w:tabs>
          <w:tab w:val="num" w:pos="720"/>
        </w:tabs>
        <w:ind w:left="720" w:hanging="360"/>
      </w:pPr>
      <w:rPr>
        <w:rFonts w:ascii="Symbol" w:hAnsi="Symbol" w:hint="default"/>
        <w:sz w:val="20"/>
      </w:rPr>
    </w:lvl>
    <w:lvl w:ilvl="1" w:tplc="DE12EC70" w:tentative="1">
      <w:start w:val="1"/>
      <w:numFmt w:val="bullet"/>
      <w:lvlText w:val="o"/>
      <w:lvlJc w:val="left"/>
      <w:pPr>
        <w:tabs>
          <w:tab w:val="num" w:pos="1440"/>
        </w:tabs>
        <w:ind w:left="1440" w:hanging="360"/>
      </w:pPr>
      <w:rPr>
        <w:rFonts w:ascii="Courier New" w:hAnsi="Courier New" w:hint="default"/>
        <w:sz w:val="20"/>
      </w:rPr>
    </w:lvl>
    <w:lvl w:ilvl="2" w:tplc="08C02B86" w:tentative="1">
      <w:start w:val="1"/>
      <w:numFmt w:val="bullet"/>
      <w:lvlText w:val=""/>
      <w:lvlJc w:val="left"/>
      <w:pPr>
        <w:tabs>
          <w:tab w:val="num" w:pos="2160"/>
        </w:tabs>
        <w:ind w:left="2160" w:hanging="360"/>
      </w:pPr>
      <w:rPr>
        <w:rFonts w:ascii="Wingdings" w:hAnsi="Wingdings" w:hint="default"/>
        <w:sz w:val="20"/>
      </w:rPr>
    </w:lvl>
    <w:lvl w:ilvl="3" w:tplc="26A87AF6" w:tentative="1">
      <w:start w:val="1"/>
      <w:numFmt w:val="bullet"/>
      <w:lvlText w:val=""/>
      <w:lvlJc w:val="left"/>
      <w:pPr>
        <w:tabs>
          <w:tab w:val="num" w:pos="2880"/>
        </w:tabs>
        <w:ind w:left="2880" w:hanging="360"/>
      </w:pPr>
      <w:rPr>
        <w:rFonts w:ascii="Wingdings" w:hAnsi="Wingdings" w:hint="default"/>
        <w:sz w:val="20"/>
      </w:rPr>
    </w:lvl>
    <w:lvl w:ilvl="4" w:tplc="95263994" w:tentative="1">
      <w:start w:val="1"/>
      <w:numFmt w:val="bullet"/>
      <w:lvlText w:val=""/>
      <w:lvlJc w:val="left"/>
      <w:pPr>
        <w:tabs>
          <w:tab w:val="num" w:pos="3600"/>
        </w:tabs>
        <w:ind w:left="3600" w:hanging="360"/>
      </w:pPr>
      <w:rPr>
        <w:rFonts w:ascii="Wingdings" w:hAnsi="Wingdings" w:hint="default"/>
        <w:sz w:val="20"/>
      </w:rPr>
    </w:lvl>
    <w:lvl w:ilvl="5" w:tplc="7096BBC8" w:tentative="1">
      <w:start w:val="1"/>
      <w:numFmt w:val="bullet"/>
      <w:lvlText w:val=""/>
      <w:lvlJc w:val="left"/>
      <w:pPr>
        <w:tabs>
          <w:tab w:val="num" w:pos="4320"/>
        </w:tabs>
        <w:ind w:left="4320" w:hanging="360"/>
      </w:pPr>
      <w:rPr>
        <w:rFonts w:ascii="Wingdings" w:hAnsi="Wingdings" w:hint="default"/>
        <w:sz w:val="20"/>
      </w:rPr>
    </w:lvl>
    <w:lvl w:ilvl="6" w:tplc="7AAA4B2A" w:tentative="1">
      <w:start w:val="1"/>
      <w:numFmt w:val="bullet"/>
      <w:lvlText w:val=""/>
      <w:lvlJc w:val="left"/>
      <w:pPr>
        <w:tabs>
          <w:tab w:val="num" w:pos="5040"/>
        </w:tabs>
        <w:ind w:left="5040" w:hanging="360"/>
      </w:pPr>
      <w:rPr>
        <w:rFonts w:ascii="Wingdings" w:hAnsi="Wingdings" w:hint="default"/>
        <w:sz w:val="20"/>
      </w:rPr>
    </w:lvl>
    <w:lvl w:ilvl="7" w:tplc="D7903804" w:tentative="1">
      <w:start w:val="1"/>
      <w:numFmt w:val="bullet"/>
      <w:lvlText w:val=""/>
      <w:lvlJc w:val="left"/>
      <w:pPr>
        <w:tabs>
          <w:tab w:val="num" w:pos="5760"/>
        </w:tabs>
        <w:ind w:left="5760" w:hanging="360"/>
      </w:pPr>
      <w:rPr>
        <w:rFonts w:ascii="Wingdings" w:hAnsi="Wingdings" w:hint="default"/>
        <w:sz w:val="20"/>
      </w:rPr>
    </w:lvl>
    <w:lvl w:ilvl="8" w:tplc="8194AB76"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74122E"/>
    <w:multiLevelType w:val="hybridMultilevel"/>
    <w:tmpl w:val="584CC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ocumentProtection w:edit="forms" w:enforcement="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412A0"/>
    <w:rsid w:val="00047DDA"/>
    <w:rsid w:val="0005455A"/>
    <w:rsid w:val="00071F07"/>
    <w:rsid w:val="0007759D"/>
    <w:rsid w:val="000777AB"/>
    <w:rsid w:val="00077F46"/>
    <w:rsid w:val="00090FB1"/>
    <w:rsid w:val="00096186"/>
    <w:rsid w:val="000A3278"/>
    <w:rsid w:val="000A72E4"/>
    <w:rsid w:val="000B0E2F"/>
    <w:rsid w:val="000B2430"/>
    <w:rsid w:val="000D0B30"/>
    <w:rsid w:val="000E21F1"/>
    <w:rsid w:val="000F703E"/>
    <w:rsid w:val="00120E86"/>
    <w:rsid w:val="00125DE9"/>
    <w:rsid w:val="001332E0"/>
    <w:rsid w:val="00134DE7"/>
    <w:rsid w:val="00185354"/>
    <w:rsid w:val="001854DC"/>
    <w:rsid w:val="00186795"/>
    <w:rsid w:val="00194D09"/>
    <w:rsid w:val="001A7D5C"/>
    <w:rsid w:val="001B60AA"/>
    <w:rsid w:val="001B63C8"/>
    <w:rsid w:val="001C1972"/>
    <w:rsid w:val="001C421F"/>
    <w:rsid w:val="001D360D"/>
    <w:rsid w:val="00261A8D"/>
    <w:rsid w:val="00271045"/>
    <w:rsid w:val="00283C1C"/>
    <w:rsid w:val="00291A00"/>
    <w:rsid w:val="00291A11"/>
    <w:rsid w:val="002A315C"/>
    <w:rsid w:val="002A3342"/>
    <w:rsid w:val="002A64BA"/>
    <w:rsid w:val="002B4989"/>
    <w:rsid w:val="002C2510"/>
    <w:rsid w:val="002D714E"/>
    <w:rsid w:val="002E53C3"/>
    <w:rsid w:val="002F1468"/>
    <w:rsid w:val="002F5F0C"/>
    <w:rsid w:val="003265EB"/>
    <w:rsid w:val="0034329E"/>
    <w:rsid w:val="00343FAA"/>
    <w:rsid w:val="00347F5E"/>
    <w:rsid w:val="00353C98"/>
    <w:rsid w:val="00371A20"/>
    <w:rsid w:val="003821B4"/>
    <w:rsid w:val="00382CF3"/>
    <w:rsid w:val="00387D52"/>
    <w:rsid w:val="003A7CEA"/>
    <w:rsid w:val="003F0BD3"/>
    <w:rsid w:val="003F278A"/>
    <w:rsid w:val="003F7A02"/>
    <w:rsid w:val="00422EA5"/>
    <w:rsid w:val="00422EFA"/>
    <w:rsid w:val="0042791F"/>
    <w:rsid w:val="004456ED"/>
    <w:rsid w:val="0048045A"/>
    <w:rsid w:val="004841B8"/>
    <w:rsid w:val="004930F2"/>
    <w:rsid w:val="004B0F1C"/>
    <w:rsid w:val="004F2EE6"/>
    <w:rsid w:val="00502DBA"/>
    <w:rsid w:val="005040C4"/>
    <w:rsid w:val="00507637"/>
    <w:rsid w:val="00507852"/>
    <w:rsid w:val="005115F9"/>
    <w:rsid w:val="00514DBF"/>
    <w:rsid w:val="00550921"/>
    <w:rsid w:val="00551DAE"/>
    <w:rsid w:val="00563712"/>
    <w:rsid w:val="00573631"/>
    <w:rsid w:val="00573C0B"/>
    <w:rsid w:val="00576CFA"/>
    <w:rsid w:val="0058556D"/>
    <w:rsid w:val="00592AF2"/>
    <w:rsid w:val="005947AD"/>
    <w:rsid w:val="00597748"/>
    <w:rsid w:val="005979E8"/>
    <w:rsid w:val="005B53B7"/>
    <w:rsid w:val="005D0AF4"/>
    <w:rsid w:val="005E54BD"/>
    <w:rsid w:val="005F6CCA"/>
    <w:rsid w:val="006104AF"/>
    <w:rsid w:val="00621893"/>
    <w:rsid w:val="006351E1"/>
    <w:rsid w:val="006447B1"/>
    <w:rsid w:val="00662775"/>
    <w:rsid w:val="006852FC"/>
    <w:rsid w:val="006B40AB"/>
    <w:rsid w:val="006B5DC5"/>
    <w:rsid w:val="006C4BFD"/>
    <w:rsid w:val="006C7D30"/>
    <w:rsid w:val="006E3C08"/>
    <w:rsid w:val="00700ACF"/>
    <w:rsid w:val="00712487"/>
    <w:rsid w:val="007530CA"/>
    <w:rsid w:val="00756D68"/>
    <w:rsid w:val="007578D9"/>
    <w:rsid w:val="00757E8A"/>
    <w:rsid w:val="00763E43"/>
    <w:rsid w:val="00764EB5"/>
    <w:rsid w:val="00777A95"/>
    <w:rsid w:val="00782416"/>
    <w:rsid w:val="007B0364"/>
    <w:rsid w:val="007D0981"/>
    <w:rsid w:val="007D1929"/>
    <w:rsid w:val="00803CF1"/>
    <w:rsid w:val="008104BB"/>
    <w:rsid w:val="00820697"/>
    <w:rsid w:val="008249C5"/>
    <w:rsid w:val="008407F4"/>
    <w:rsid w:val="008526F9"/>
    <w:rsid w:val="0085285E"/>
    <w:rsid w:val="00853023"/>
    <w:rsid w:val="008534D4"/>
    <w:rsid w:val="00881E28"/>
    <w:rsid w:val="00894C4B"/>
    <w:rsid w:val="008A12E3"/>
    <w:rsid w:val="008A42FA"/>
    <w:rsid w:val="008B0AC7"/>
    <w:rsid w:val="008C2335"/>
    <w:rsid w:val="008C67C1"/>
    <w:rsid w:val="008D1D39"/>
    <w:rsid w:val="008F07D2"/>
    <w:rsid w:val="00917851"/>
    <w:rsid w:val="00917F65"/>
    <w:rsid w:val="009311E7"/>
    <w:rsid w:val="00942694"/>
    <w:rsid w:val="009A7E3A"/>
    <w:rsid w:val="009B1265"/>
    <w:rsid w:val="009B4A15"/>
    <w:rsid w:val="009B5693"/>
    <w:rsid w:val="009C61A2"/>
    <w:rsid w:val="009C78E4"/>
    <w:rsid w:val="009D687E"/>
    <w:rsid w:val="009F6DE7"/>
    <w:rsid w:val="00A10583"/>
    <w:rsid w:val="00A269E0"/>
    <w:rsid w:val="00A37FCB"/>
    <w:rsid w:val="00A54863"/>
    <w:rsid w:val="00A61D74"/>
    <w:rsid w:val="00A8688B"/>
    <w:rsid w:val="00A91163"/>
    <w:rsid w:val="00A9286F"/>
    <w:rsid w:val="00A96255"/>
    <w:rsid w:val="00AB285B"/>
    <w:rsid w:val="00AF5552"/>
    <w:rsid w:val="00AF5CB4"/>
    <w:rsid w:val="00AF5ED1"/>
    <w:rsid w:val="00AF71D6"/>
    <w:rsid w:val="00B216EE"/>
    <w:rsid w:val="00B3175F"/>
    <w:rsid w:val="00B31E2C"/>
    <w:rsid w:val="00B329B0"/>
    <w:rsid w:val="00B402D8"/>
    <w:rsid w:val="00B4237C"/>
    <w:rsid w:val="00B42FE8"/>
    <w:rsid w:val="00B52AFD"/>
    <w:rsid w:val="00B54077"/>
    <w:rsid w:val="00B8087E"/>
    <w:rsid w:val="00B861C8"/>
    <w:rsid w:val="00BB646E"/>
    <w:rsid w:val="00BD1BA1"/>
    <w:rsid w:val="00C019E5"/>
    <w:rsid w:val="00C35BC4"/>
    <w:rsid w:val="00C43F5B"/>
    <w:rsid w:val="00CB4371"/>
    <w:rsid w:val="00CC516D"/>
    <w:rsid w:val="00D24330"/>
    <w:rsid w:val="00D40056"/>
    <w:rsid w:val="00D51E7C"/>
    <w:rsid w:val="00D54F29"/>
    <w:rsid w:val="00D7020C"/>
    <w:rsid w:val="00D70AD9"/>
    <w:rsid w:val="00D72152"/>
    <w:rsid w:val="00D772A1"/>
    <w:rsid w:val="00D94BA5"/>
    <w:rsid w:val="00D9510F"/>
    <w:rsid w:val="00DA615C"/>
    <w:rsid w:val="00DD1BC6"/>
    <w:rsid w:val="00DE5DC3"/>
    <w:rsid w:val="00E00D8A"/>
    <w:rsid w:val="00E1050F"/>
    <w:rsid w:val="00E11604"/>
    <w:rsid w:val="00E11D92"/>
    <w:rsid w:val="00E130A0"/>
    <w:rsid w:val="00E210C4"/>
    <w:rsid w:val="00E23DB7"/>
    <w:rsid w:val="00E46D96"/>
    <w:rsid w:val="00E52CCA"/>
    <w:rsid w:val="00E66409"/>
    <w:rsid w:val="00E81D5B"/>
    <w:rsid w:val="00E95FF9"/>
    <w:rsid w:val="00E976B9"/>
    <w:rsid w:val="00EA05D3"/>
    <w:rsid w:val="00EB19AD"/>
    <w:rsid w:val="00EB2F31"/>
    <w:rsid w:val="00EB6493"/>
    <w:rsid w:val="00EC2915"/>
    <w:rsid w:val="00ED05A9"/>
    <w:rsid w:val="00ED1BA0"/>
    <w:rsid w:val="00F17257"/>
    <w:rsid w:val="00F34D24"/>
    <w:rsid w:val="00F4130B"/>
    <w:rsid w:val="00F50930"/>
    <w:rsid w:val="00F556A2"/>
    <w:rsid w:val="00F719A8"/>
    <w:rsid w:val="00F878B9"/>
    <w:rsid w:val="00FB04F9"/>
    <w:rsid w:val="00FB24E8"/>
    <w:rsid w:val="00FB3B2B"/>
    <w:rsid w:val="00FC18DA"/>
    <w:rsid w:val="00FC3917"/>
    <w:rsid w:val="00FD60DA"/>
    <w:rsid w:val="00FF07B4"/>
    <w:rsid w:val="0426F30A"/>
    <w:rsid w:val="0674F98E"/>
    <w:rsid w:val="0828A6AE"/>
    <w:rsid w:val="0E04F2BE"/>
    <w:rsid w:val="104C4B38"/>
    <w:rsid w:val="13630823"/>
    <w:rsid w:val="1C249A75"/>
    <w:rsid w:val="27087566"/>
    <w:rsid w:val="2AC30807"/>
    <w:rsid w:val="351AF9C6"/>
    <w:rsid w:val="3D42D345"/>
    <w:rsid w:val="40D5C4C6"/>
    <w:rsid w:val="463A4119"/>
    <w:rsid w:val="6355C32A"/>
    <w:rsid w:val="6A3057F4"/>
    <w:rsid w:val="6B19E6F2"/>
    <w:rsid w:val="6E136C01"/>
    <w:rsid w:val="7AC5A032"/>
    <w:rsid w:val="7C03083E"/>
    <w:rsid w:val="7E9E8EC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BodyText">
    <w:name w:val="Body Text"/>
    <w:basedOn w:val="Normal"/>
    <w:link w:val="BodyTextChar"/>
    <w:uiPriority w:val="1"/>
    <w:qFormat/>
    <w:rsid w:val="00271045"/>
    <w:pPr>
      <w:widowControl w:val="0"/>
      <w:autoSpaceDE w:val="0"/>
      <w:autoSpaceDN w:val="0"/>
      <w:adjustRightInd w:val="0"/>
      <w:spacing w:before="64" w:after="0" w:line="240" w:lineRule="auto"/>
      <w:ind w:left="845"/>
    </w:pPr>
    <w:rPr>
      <w:rFonts w:ascii="Arial" w:hAnsi="Arial" w:cs="Arial"/>
      <w:sz w:val="19"/>
      <w:szCs w:val="19"/>
      <w:lang w:eastAsia="en-GB"/>
    </w:rPr>
  </w:style>
  <w:style w:type="character" w:customStyle="1" w:styleId="BodyTextChar">
    <w:name w:val="Body Text Char"/>
    <w:basedOn w:val="DefaultParagraphFont"/>
    <w:link w:val="BodyText"/>
    <w:uiPriority w:val="1"/>
    <w:rsid w:val="00271045"/>
    <w:rPr>
      <w:rFonts w:ascii="Arial" w:hAnsi="Arial" w:cs="Arial"/>
      <w:sz w:val="19"/>
      <w:szCs w:val="19"/>
      <w:lang w:eastAsia="en-GB"/>
    </w:rPr>
  </w:style>
  <w:style w:type="table" w:styleId="GridTable1Light">
    <w:name w:val="Grid Table 1 Light"/>
    <w:basedOn w:val="TableNormal"/>
    <w:uiPriority w:val="46"/>
    <w:rsid w:val="0027104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fao.org/docrep/019/i3664e/i3664e.pdf"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597A22-7BCB-4E17-AD05-698BA4F6D47D}">
  <ds:schemaRefs>
    <ds:schemaRef ds:uri="http://purl.org/dc/elements/1.1/"/>
    <ds:schemaRef ds:uri="http://schemas.openxmlformats.org/package/2006/metadata/core-properties"/>
    <ds:schemaRef ds:uri="http://schemas.microsoft.com/office/2006/metadata/properties"/>
    <ds:schemaRef ds:uri="f2d2d782-0088-4826-96df-71eba56e6d2e"/>
    <ds:schemaRef ds:uri="d114b01d-ae01-4749-b845-9d88e7ef5c0e"/>
    <ds:schemaRef ds:uri="http://purl.org/dc/terms/"/>
    <ds:schemaRef ds:uri="http://www.w3.org/XML/1998/namespace"/>
    <ds:schemaRef ds:uri="http://schemas.microsoft.com/office/2006/documentManagement/types"/>
    <ds:schemaRef ds:uri="http://schemas.microsoft.com/office/infopath/2007/PartnerControls"/>
    <ds:schemaRef ds:uri="http://purl.org/dc/dcmitype/"/>
  </ds:schemaRefs>
</ds:datastoreItem>
</file>

<file path=customXml/itemProps4.xml><?xml version="1.0" encoding="utf-8"?>
<ds:datastoreItem xmlns:ds="http://schemas.openxmlformats.org/officeDocument/2006/customXml" ds:itemID="{D9E84B4C-5319-4C7C-A60F-DB5DEBCC5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2383</Words>
  <Characters>13585</Characters>
  <Application>Microsoft Office Word</Application>
  <DocSecurity>4</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Kebebush Welkema</cp:lastModifiedBy>
  <cp:revision>2</cp:revision>
  <cp:lastPrinted>2016-07-16T14:25:00Z</cp:lastPrinted>
  <dcterms:created xsi:type="dcterms:W3CDTF">2021-03-16T20:38:00Z</dcterms:created>
  <dcterms:modified xsi:type="dcterms:W3CDTF">2021-03-16T20:38:00Z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