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C866C3" w:rsidRDefault="006C4BFD" w:rsidP="006C4BFD">
      <w:pPr>
        <w:spacing w:after="0"/>
        <w:jc w:val="center"/>
        <w:rPr>
          <w:lang w:val="en-US"/>
        </w:rPr>
      </w:pPr>
      <w:r w:rsidRPr="00C866C3">
        <w:rPr>
          <w:color w:val="1C75BC"/>
          <w:sz w:val="36"/>
          <w:lang w:val="en-US"/>
        </w:rPr>
        <w:t>SDG indicator metadata</w:t>
      </w:r>
    </w:p>
    <w:p w14:paraId="129054E9" w14:textId="2E583254" w:rsidR="006C4BFD" w:rsidRPr="00C866C3" w:rsidRDefault="002C2510" w:rsidP="006C4BFD">
      <w:pPr>
        <w:spacing w:after="0"/>
        <w:jc w:val="center"/>
        <w:rPr>
          <w:b/>
          <w:color w:val="4A4A4A"/>
          <w:sz w:val="21"/>
          <w:lang w:val="en-US"/>
        </w:rPr>
      </w:pPr>
      <w:r w:rsidRPr="00C866C3">
        <w:rPr>
          <w:b/>
          <w:color w:val="4A4A4A"/>
          <w:sz w:val="21"/>
          <w:lang w:val="en-US"/>
        </w:rPr>
        <w:t xml:space="preserve">(Harmonized </w:t>
      </w:r>
      <w:r w:rsidR="00942694" w:rsidRPr="00C866C3">
        <w:rPr>
          <w:b/>
          <w:color w:val="4A4A4A"/>
          <w:sz w:val="21"/>
          <w:lang w:val="en-US"/>
        </w:rPr>
        <w:t xml:space="preserve">metadata </w:t>
      </w:r>
      <w:r w:rsidRPr="00C866C3">
        <w:rPr>
          <w:b/>
          <w:color w:val="4A4A4A"/>
          <w:sz w:val="21"/>
          <w:lang w:val="en-US"/>
        </w:rPr>
        <w:t>template - format version 1.0)</w:t>
      </w:r>
    </w:p>
    <w:p w14:paraId="773F63CF" w14:textId="77777777" w:rsidR="006C4BFD" w:rsidRPr="00C866C3" w:rsidRDefault="006C4BFD" w:rsidP="006C4BFD">
      <w:pPr>
        <w:spacing w:after="0"/>
        <w:rPr>
          <w:b/>
          <w:color w:val="4A4A4A"/>
          <w:sz w:val="21"/>
          <w:lang w:val="en-US"/>
        </w:rPr>
      </w:pPr>
    </w:p>
    <w:p w14:paraId="6AEAC6DA" w14:textId="6C7C2D3A" w:rsidR="00B31E2C" w:rsidRPr="00C866C3" w:rsidRDefault="00B31E2C" w:rsidP="00EA05D3">
      <w:pPr>
        <w:pStyle w:val="MIndHeader2"/>
        <w:rPr>
          <w:lang w:val="en-US"/>
        </w:rPr>
      </w:pPr>
      <w:r w:rsidRPr="00C866C3">
        <w:rPr>
          <w:lang w:val="en-US"/>
        </w:rPr>
        <w:t>0. Indicator information</w:t>
      </w:r>
    </w:p>
    <w:p w14:paraId="043ED752" w14:textId="28D7692E" w:rsidR="00D24330" w:rsidRPr="00C866C3" w:rsidRDefault="00D24330" w:rsidP="00EA05D3">
      <w:pPr>
        <w:pStyle w:val="MIndHeader"/>
        <w:rPr>
          <w:lang w:val="en-US"/>
        </w:rPr>
      </w:pPr>
      <w:r w:rsidRPr="00C866C3">
        <w:rPr>
          <w:lang w:val="en-US"/>
        </w:rPr>
        <w:t>0.a. Goal</w:t>
      </w:r>
    </w:p>
    <w:p w14:paraId="2C173643" w14:textId="77777777" w:rsidR="00886510" w:rsidRPr="00C866C3" w:rsidRDefault="00886510" w:rsidP="00886510">
      <w:pPr>
        <w:shd w:val="clear" w:color="auto" w:fill="F5F5F5"/>
        <w:spacing w:after="0"/>
        <w:contextualSpacing/>
        <w:outlineLvl w:val="4"/>
        <w:rPr>
          <w:rFonts w:ascii="Calibri" w:hAnsi="Calibri"/>
          <w:color w:val="333333"/>
          <w:sz w:val="21"/>
          <w:lang w:val="en-US"/>
        </w:rPr>
      </w:pPr>
      <w:r w:rsidRPr="00C866C3">
        <w:rPr>
          <w:rFonts w:ascii="Calibri" w:hAnsi="Calibri"/>
          <w:color w:val="333333"/>
          <w:sz w:val="21"/>
          <w:lang w:val="en-US"/>
        </w:rPr>
        <w:t>Goal 15: Protect, restore and promote sustainable use of terrestrial ecosystems, sustainably manage forests, combat desertification, and halt and reverse land degradation and halt biodiversity loss</w:t>
      </w:r>
    </w:p>
    <w:p w14:paraId="084142D2" w14:textId="77777777" w:rsidR="00D24330" w:rsidRPr="00C866C3" w:rsidRDefault="00D24330" w:rsidP="00D24330">
      <w:pPr>
        <w:pStyle w:val="MIndHeader"/>
        <w:rPr>
          <w:lang w:val="en-US"/>
        </w:rPr>
      </w:pPr>
      <w:r w:rsidRPr="00C866C3">
        <w:rPr>
          <w:lang w:val="en-US"/>
        </w:rPr>
        <w:t>0.b. Target</w:t>
      </w:r>
    </w:p>
    <w:p w14:paraId="4D2F50BF" w14:textId="77777777" w:rsidR="00886510" w:rsidRPr="00C866C3" w:rsidRDefault="00886510" w:rsidP="00886510">
      <w:pPr>
        <w:shd w:val="clear" w:color="auto" w:fill="F5F5F5"/>
        <w:spacing w:after="0"/>
        <w:contextualSpacing/>
        <w:outlineLvl w:val="4"/>
        <w:rPr>
          <w:rFonts w:ascii="Calibri" w:hAnsi="Calibri"/>
          <w:color w:val="333333"/>
          <w:sz w:val="21"/>
          <w:lang w:val="en-US"/>
        </w:rPr>
      </w:pPr>
      <w:r w:rsidRPr="00C866C3">
        <w:rPr>
          <w:rFonts w:ascii="Calibri" w:hAnsi="Calibri"/>
          <w:color w:val="333333"/>
          <w:sz w:val="21"/>
          <w:lang w:val="en-US"/>
        </w:rPr>
        <w:t>Target 15.1: By 2020, ensure the conservation, restoration and sustainable use of terrestrial and inland freshwater ecosystems and their services, in particular forests, wetlands, mountains and drylands, in line with obligations under international agreements</w:t>
      </w:r>
    </w:p>
    <w:p w14:paraId="3E67E7E0" w14:textId="77777777" w:rsidR="00D24330" w:rsidRPr="00C866C3" w:rsidRDefault="00D24330" w:rsidP="00D24330">
      <w:pPr>
        <w:pStyle w:val="MIndHeader"/>
        <w:rPr>
          <w:lang w:val="en-US"/>
        </w:rPr>
      </w:pPr>
      <w:r w:rsidRPr="00C866C3">
        <w:rPr>
          <w:lang w:val="en-US"/>
        </w:rPr>
        <w:t>0.c. Indicator</w:t>
      </w:r>
    </w:p>
    <w:p w14:paraId="17D82331" w14:textId="77777777" w:rsidR="00886510" w:rsidRPr="00C866C3" w:rsidRDefault="00886510" w:rsidP="00D24330">
      <w:pPr>
        <w:pStyle w:val="MIndHeader"/>
        <w:rPr>
          <w:color w:val="333333"/>
          <w:sz w:val="21"/>
          <w:lang w:val="en-US"/>
        </w:rPr>
      </w:pPr>
      <w:r w:rsidRPr="00C866C3">
        <w:rPr>
          <w:color w:val="333333"/>
          <w:sz w:val="21"/>
          <w:lang w:val="en-US"/>
        </w:rPr>
        <w:t>Indicator 15.1.1: Forest area as a proportion of total land area</w:t>
      </w:r>
    </w:p>
    <w:p w14:paraId="37E5E4F6" w14:textId="14C9ABFF" w:rsidR="00D24330" w:rsidRPr="00C866C3" w:rsidRDefault="00D24330" w:rsidP="00D24330">
      <w:pPr>
        <w:pStyle w:val="MIndHeader"/>
        <w:rPr>
          <w:lang w:val="en-US"/>
        </w:rPr>
      </w:pPr>
      <w:r w:rsidRPr="00C866C3">
        <w:rPr>
          <w:lang w:val="en-US"/>
        </w:rPr>
        <w:t>0.d. Series</w:t>
      </w:r>
    </w:p>
    <w:p w14:paraId="771888BA" w14:textId="5F63DFC8" w:rsidR="00D24330" w:rsidRPr="00CB4DE5" w:rsidRDefault="00D24330" w:rsidP="00D24330">
      <w:pPr>
        <w:pStyle w:val="MGTHeader"/>
        <w:rPr>
          <w:lang w:val="en-US"/>
        </w:rPr>
      </w:pPr>
    </w:p>
    <w:p w14:paraId="157DACE7" w14:textId="77777777" w:rsidR="00D24330" w:rsidRPr="00C866C3" w:rsidRDefault="00D24330" w:rsidP="00D24330">
      <w:pPr>
        <w:pStyle w:val="MIndHeader"/>
        <w:rPr>
          <w:lang w:val="en-US"/>
        </w:rPr>
      </w:pPr>
      <w:r w:rsidRPr="00C866C3">
        <w:rPr>
          <w:lang w:val="en-US"/>
        </w:rPr>
        <w:t>0.e. Metadata update</w:t>
      </w:r>
    </w:p>
    <w:p w14:paraId="03424B60" w14:textId="158CE4EF" w:rsidR="00D24330" w:rsidRPr="00CB4DE5" w:rsidRDefault="00142798" w:rsidP="00D24330">
      <w:pPr>
        <w:pStyle w:val="MGTHeader"/>
        <w:rPr>
          <w:lang w:val="en-US"/>
        </w:rPr>
      </w:pPr>
      <w:r w:rsidRPr="00CB4DE5">
        <w:rPr>
          <w:lang w:val="en-US"/>
        </w:rPr>
        <w:t>February 2021</w:t>
      </w:r>
    </w:p>
    <w:p w14:paraId="415C9FF1" w14:textId="77777777" w:rsidR="00D24330" w:rsidRPr="00C866C3" w:rsidRDefault="00D24330" w:rsidP="00D24330">
      <w:pPr>
        <w:pStyle w:val="MIndHeader"/>
        <w:rPr>
          <w:lang w:val="en-US"/>
        </w:rPr>
      </w:pPr>
      <w:r w:rsidRPr="00C866C3">
        <w:rPr>
          <w:lang w:val="en-US"/>
        </w:rPr>
        <w:t>0.f. Related indicators</w:t>
      </w:r>
    </w:p>
    <w:p w14:paraId="6C9A8FF0" w14:textId="4912414D" w:rsidR="00886510" w:rsidRPr="00C866C3" w:rsidRDefault="00886510" w:rsidP="000B6F91">
      <w:pPr>
        <w:pStyle w:val="MGTHeader"/>
        <w:rPr>
          <w:lang w:val="en-US"/>
        </w:rPr>
      </w:pPr>
      <w:r w:rsidRPr="00C866C3">
        <w:rPr>
          <w:lang w:val="en-US"/>
        </w:rPr>
        <w:t>15.2.1:</w:t>
      </w:r>
      <w:r w:rsidR="000B6F91" w:rsidRPr="00C866C3">
        <w:rPr>
          <w:lang w:val="en-US"/>
        </w:rPr>
        <w:t xml:space="preserve"> </w:t>
      </w:r>
      <w:r w:rsidRPr="00C866C3">
        <w:rPr>
          <w:lang w:val="en-US"/>
        </w:rPr>
        <w:t>Progress towards sustainable forest management</w:t>
      </w:r>
    </w:p>
    <w:p w14:paraId="077BC49E" w14:textId="43AE1F2D" w:rsidR="00D24330" w:rsidRPr="00C866C3" w:rsidRDefault="00D24330" w:rsidP="00D24330">
      <w:pPr>
        <w:pStyle w:val="MIndHeader"/>
        <w:rPr>
          <w:lang w:val="en-US"/>
        </w:rPr>
      </w:pPr>
      <w:r w:rsidRPr="00C866C3">
        <w:rPr>
          <w:lang w:val="en-US"/>
        </w:rPr>
        <w:t xml:space="preserve">0.g. International </w:t>
      </w:r>
      <w:r w:rsidRPr="00A96255">
        <w:t>organisations</w:t>
      </w:r>
      <w:r w:rsidRPr="004D7D8C">
        <w:t xml:space="preserve">(s) </w:t>
      </w:r>
      <w:r w:rsidRPr="00C866C3">
        <w:rPr>
          <w:lang w:val="en-US"/>
        </w:rPr>
        <w:t>responsible for global monitoring</w:t>
      </w:r>
    </w:p>
    <w:p w14:paraId="054C1DC2" w14:textId="77777777" w:rsidR="00886510" w:rsidRPr="00C866C3" w:rsidRDefault="00886510" w:rsidP="000B6F91">
      <w:pPr>
        <w:pStyle w:val="MGTHeader"/>
        <w:rPr>
          <w:lang w:val="en-US"/>
        </w:rPr>
      </w:pPr>
      <w:r w:rsidRPr="00C866C3">
        <w:rPr>
          <w:lang w:val="en-US"/>
        </w:rPr>
        <w:t>Food and Agriculture Organization of the United Nations (FAO)</w:t>
      </w:r>
    </w:p>
    <w:p w14:paraId="19F29921" w14:textId="77777777" w:rsidR="008D1D39" w:rsidRPr="00C866C3" w:rsidRDefault="008D1D39" w:rsidP="00573631">
      <w:pPr>
        <w:shd w:val="clear" w:color="auto" w:fill="FFFFFF"/>
        <w:spacing w:after="0"/>
        <w:rPr>
          <w:color w:val="4A4A4A"/>
          <w:sz w:val="21"/>
          <w:lang w:val="en-US"/>
        </w:rPr>
      </w:pPr>
    </w:p>
    <w:p w14:paraId="12E0D73A" w14:textId="48126E58" w:rsidR="00B31E2C" w:rsidRPr="00C866C3" w:rsidRDefault="00B31E2C" w:rsidP="00EA05D3">
      <w:pPr>
        <w:pStyle w:val="MHeader"/>
        <w:rPr>
          <w:lang w:val="en-US"/>
        </w:rPr>
      </w:pPr>
      <w:bookmarkStart w:id="0" w:name="_Toc37932744"/>
      <w:bookmarkStart w:id="1" w:name="_Toc36813072"/>
      <w:bookmarkStart w:id="2" w:name="_Toc36812685"/>
      <w:bookmarkStart w:id="3" w:name="_Toc36812572"/>
      <w:bookmarkStart w:id="4" w:name="_Toc36655609"/>
      <w:r w:rsidRPr="00C866C3">
        <w:rPr>
          <w:lang w:val="en-US"/>
        </w:rPr>
        <w:t>1. Data reporter</w:t>
      </w:r>
      <w:bookmarkEnd w:id="0"/>
      <w:bookmarkEnd w:id="1"/>
      <w:bookmarkEnd w:id="2"/>
      <w:bookmarkEnd w:id="3"/>
      <w:bookmarkEnd w:id="4"/>
    </w:p>
    <w:p w14:paraId="0BD77982" w14:textId="72DFE854" w:rsidR="00576CFA" w:rsidRPr="00C866C3" w:rsidRDefault="00576CFA" w:rsidP="00F719A8">
      <w:pPr>
        <w:pStyle w:val="MHeader2"/>
        <w:rPr>
          <w:lang w:val="en-US"/>
        </w:rPr>
      </w:pPr>
      <w:r w:rsidRPr="00C866C3">
        <w:rPr>
          <w:lang w:val="en-US"/>
        </w:rPr>
        <w:t xml:space="preserve">1.a. </w:t>
      </w:r>
      <w:proofErr w:type="spellStart"/>
      <w:r w:rsidRPr="00C866C3">
        <w:rPr>
          <w:lang w:val="en-US"/>
        </w:rPr>
        <w:t>Organisation</w:t>
      </w:r>
      <w:proofErr w:type="spellEnd"/>
    </w:p>
    <w:p w14:paraId="082F5738"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Food and Agriculture Organization of the United Nations (FAO)</w:t>
      </w:r>
    </w:p>
    <w:p w14:paraId="6E829FD0" w14:textId="2439F30A" w:rsidR="00F719A8" w:rsidRPr="00C866C3" w:rsidRDefault="00F719A8" w:rsidP="00576CFA">
      <w:pPr>
        <w:pStyle w:val="MText"/>
        <w:rPr>
          <w:lang w:val="en-US"/>
        </w:rPr>
      </w:pPr>
    </w:p>
    <w:p w14:paraId="14915AC8" w14:textId="7D506133" w:rsidR="00B31E2C" w:rsidRPr="00C866C3" w:rsidRDefault="00B31E2C" w:rsidP="008B0AC7">
      <w:pPr>
        <w:pStyle w:val="MHeader"/>
        <w:rPr>
          <w:lang w:val="en-US"/>
        </w:rPr>
      </w:pPr>
      <w:r w:rsidRPr="00C866C3">
        <w:rPr>
          <w:lang w:val="en-US"/>
        </w:rPr>
        <w:t>2. Definition, concepts, and classifications</w:t>
      </w:r>
    </w:p>
    <w:p w14:paraId="2AC373EA" w14:textId="44236363" w:rsidR="008B0AC7" w:rsidRPr="00C866C3" w:rsidRDefault="008B0AC7" w:rsidP="00F719A8">
      <w:pPr>
        <w:pStyle w:val="MHeader2"/>
        <w:rPr>
          <w:lang w:val="en-US"/>
        </w:rPr>
      </w:pPr>
      <w:r w:rsidRPr="00C866C3">
        <w:rPr>
          <w:lang w:val="en-US"/>
        </w:rPr>
        <w:t>2.a. Definition and concepts</w:t>
      </w:r>
    </w:p>
    <w:p w14:paraId="722DC10D" w14:textId="5559C5EA" w:rsidR="00886510" w:rsidRPr="00C866C3" w:rsidRDefault="00886510" w:rsidP="000B6F91">
      <w:pPr>
        <w:shd w:val="clear" w:color="auto" w:fill="FFFFFF"/>
        <w:spacing w:after="0"/>
        <w:contextualSpacing/>
        <w:rPr>
          <w:rFonts w:ascii="Calibri" w:hAnsi="Calibri"/>
          <w:b/>
          <w:color w:val="4A4A4A"/>
          <w:sz w:val="21"/>
          <w:lang w:val="en-US"/>
        </w:rPr>
      </w:pPr>
      <w:r w:rsidRPr="00C866C3">
        <w:rPr>
          <w:rFonts w:ascii="Calibri" w:hAnsi="Calibri"/>
          <w:b/>
          <w:color w:val="4A4A4A"/>
          <w:sz w:val="21"/>
          <w:lang w:val="en-US"/>
        </w:rPr>
        <w:t>Definition:</w:t>
      </w:r>
    </w:p>
    <w:p w14:paraId="60540848"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Forest area as a proportion of total land area</w:t>
      </w:r>
    </w:p>
    <w:p w14:paraId="53A8EC3A" w14:textId="700A807D" w:rsidR="00886510" w:rsidRPr="00C866C3" w:rsidRDefault="00886510" w:rsidP="00886510">
      <w:pPr>
        <w:shd w:val="clear" w:color="auto" w:fill="FFFFFF"/>
        <w:spacing w:after="0"/>
        <w:contextualSpacing/>
        <w:rPr>
          <w:rFonts w:ascii="Calibri" w:hAnsi="Calibri"/>
          <w:color w:val="4A4A4A"/>
          <w:sz w:val="21"/>
          <w:lang w:val="en-US"/>
        </w:rPr>
      </w:pPr>
    </w:p>
    <w:p w14:paraId="1D98B31D" w14:textId="343CFA04" w:rsidR="00886510" w:rsidRPr="00C866C3" w:rsidRDefault="00886510" w:rsidP="000B6F91">
      <w:pPr>
        <w:shd w:val="clear" w:color="auto" w:fill="FFFFFF"/>
        <w:spacing w:after="0"/>
        <w:contextualSpacing/>
        <w:rPr>
          <w:rFonts w:ascii="Calibri" w:hAnsi="Calibri"/>
          <w:color w:val="4A4A4A"/>
          <w:sz w:val="21"/>
          <w:lang w:val="en-US"/>
        </w:rPr>
      </w:pPr>
      <w:r w:rsidRPr="00C866C3">
        <w:rPr>
          <w:rFonts w:ascii="Calibri" w:hAnsi="Calibri"/>
          <w:b/>
          <w:color w:val="4A4A4A"/>
          <w:sz w:val="21"/>
          <w:lang w:val="en-US"/>
        </w:rPr>
        <w:t>Concepts:</w:t>
      </w:r>
    </w:p>
    <w:p w14:paraId="061C1E41" w14:textId="4841F7BD" w:rsidR="00886510" w:rsidRPr="00C866C3" w:rsidRDefault="00046E5E" w:rsidP="00886510">
      <w:pPr>
        <w:shd w:val="clear" w:color="auto" w:fill="FFFFFF"/>
        <w:spacing w:after="0"/>
        <w:contextualSpacing/>
        <w:rPr>
          <w:rFonts w:ascii="Calibri" w:hAnsi="Calibri"/>
          <w:color w:val="4A4A4A"/>
          <w:sz w:val="21"/>
          <w:lang w:val="en-US"/>
        </w:rPr>
      </w:pPr>
      <w:r w:rsidRPr="00CB4DE5">
        <w:rPr>
          <w:rFonts w:ascii="Calibri" w:eastAsia="Times New Roman" w:hAnsi="Calibri" w:cs="Times New Roman"/>
          <w:color w:val="4A4A4A"/>
          <w:sz w:val="21"/>
          <w:szCs w:val="21"/>
          <w:lang w:val="en-US" w:eastAsia="en-GB"/>
        </w:rPr>
        <w:t>To</w:t>
      </w:r>
      <w:r w:rsidR="00886510" w:rsidRPr="00C866C3">
        <w:rPr>
          <w:rFonts w:ascii="Calibri" w:hAnsi="Calibri"/>
          <w:color w:val="4A4A4A"/>
          <w:sz w:val="21"/>
          <w:lang w:val="en-US"/>
        </w:rPr>
        <w:t xml:space="preserve"> provide a precise definition of the indicator, it is crucial to provide a definition of </w:t>
      </w:r>
      <w:r w:rsidRPr="00CB4DE5">
        <w:rPr>
          <w:rFonts w:ascii="Calibri" w:eastAsia="Times New Roman" w:hAnsi="Calibri" w:cs="Times New Roman"/>
          <w:color w:val="4A4A4A"/>
          <w:sz w:val="21"/>
          <w:szCs w:val="21"/>
          <w:lang w:val="en-US" w:eastAsia="en-GB"/>
        </w:rPr>
        <w:t>its two components:</w:t>
      </w:r>
    </w:p>
    <w:p w14:paraId="7FC1585C" w14:textId="25C9F7E9"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“Forest” and “Land Area”. </w:t>
      </w:r>
    </w:p>
    <w:p w14:paraId="3767BCD4" w14:textId="77777777" w:rsidR="00886510" w:rsidRPr="00C866C3" w:rsidRDefault="00886510" w:rsidP="00886510">
      <w:pPr>
        <w:shd w:val="clear" w:color="auto" w:fill="FFFFFF"/>
        <w:spacing w:after="0"/>
        <w:contextualSpacing/>
        <w:rPr>
          <w:rFonts w:ascii="Calibri" w:hAnsi="Calibri"/>
          <w:color w:val="4A4A4A"/>
          <w:sz w:val="21"/>
          <w:lang w:val="en-US"/>
        </w:rPr>
      </w:pPr>
    </w:p>
    <w:p w14:paraId="21C3F127" w14:textId="50386ED9"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According to the FAO, </w:t>
      </w:r>
      <w:r w:rsidRPr="00C866C3">
        <w:rPr>
          <w:rFonts w:ascii="Calibri" w:hAnsi="Calibri"/>
          <w:b/>
          <w:color w:val="4A4A4A"/>
          <w:sz w:val="21"/>
          <w:u w:val="single"/>
          <w:lang w:val="en-US"/>
        </w:rPr>
        <w:t>Forest</w:t>
      </w:r>
      <w:r w:rsidRPr="00C866C3">
        <w:rPr>
          <w:rFonts w:ascii="Calibri" w:hAnsi="Calibri"/>
          <w:color w:val="4A4A4A"/>
          <w:sz w:val="21"/>
          <w:lang w:val="en-US"/>
        </w:rPr>
        <w:t xml:space="preserve"> is defined as: “land spanning more than 0.5 hectares with trees higher than 5 meters and a canopy cover of more than 10 percent, or trees able to reach these thresholds in situ. It does not include land that is predominantly under agricultural or urban land use”. More specifically:</w:t>
      </w:r>
    </w:p>
    <w:p w14:paraId="75071A5D" w14:textId="77777777" w:rsidR="00886510" w:rsidRPr="00C866C3" w:rsidRDefault="00886510" w:rsidP="00886510">
      <w:pPr>
        <w:numPr>
          <w:ilvl w:val="0"/>
          <w:numId w:val="5"/>
        </w:numPr>
        <w:shd w:val="clear" w:color="auto" w:fill="FFFFFF"/>
        <w:spacing w:after="0" w:line="240" w:lineRule="auto"/>
        <w:contextualSpacing/>
        <w:rPr>
          <w:rFonts w:ascii="Calibri" w:hAnsi="Calibri"/>
          <w:color w:val="4A4A4A"/>
          <w:sz w:val="21"/>
          <w:lang w:val="en-US"/>
        </w:rPr>
      </w:pPr>
      <w:r w:rsidRPr="00C866C3">
        <w:rPr>
          <w:rFonts w:ascii="Calibri" w:hAnsi="Calibri"/>
          <w:color w:val="4A4A4A"/>
          <w:sz w:val="21"/>
          <w:lang w:val="en-US"/>
        </w:rPr>
        <w:lastRenderedPageBreak/>
        <w:t>Forest is determined both by the presence of trees and the absence of other predominant land uses. The trees should be able to reach a minimum height of 5 meters.</w:t>
      </w:r>
    </w:p>
    <w:p w14:paraId="2C8B60A4" w14:textId="77777777" w:rsidR="00886510" w:rsidRPr="00C866C3" w:rsidRDefault="00886510" w:rsidP="00886510">
      <w:pPr>
        <w:numPr>
          <w:ilvl w:val="0"/>
          <w:numId w:val="5"/>
        </w:numPr>
        <w:shd w:val="clear" w:color="auto" w:fill="FFFFFF"/>
        <w:spacing w:after="0" w:line="240" w:lineRule="auto"/>
        <w:contextualSpacing/>
        <w:rPr>
          <w:rFonts w:ascii="Calibri" w:hAnsi="Calibri"/>
          <w:color w:val="4A4A4A"/>
          <w:sz w:val="21"/>
          <w:lang w:val="en-US"/>
        </w:rPr>
      </w:pPr>
      <w:r w:rsidRPr="00C866C3">
        <w:rPr>
          <w:rFonts w:ascii="Calibri" w:hAnsi="Calibri"/>
          <w:color w:val="4A4A4A"/>
          <w:sz w:val="21"/>
          <w:lang w:val="en-US"/>
        </w:rPr>
        <w:t>It 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7A073AFB" w14:textId="77777777" w:rsidR="00886510" w:rsidRPr="00C866C3" w:rsidRDefault="00886510" w:rsidP="00886510">
      <w:pPr>
        <w:numPr>
          <w:ilvl w:val="0"/>
          <w:numId w:val="5"/>
        </w:numPr>
        <w:shd w:val="clear" w:color="auto" w:fill="FFFFFF"/>
        <w:spacing w:after="0" w:line="240" w:lineRule="auto"/>
        <w:contextualSpacing/>
        <w:rPr>
          <w:rFonts w:ascii="Calibri" w:hAnsi="Calibri"/>
          <w:color w:val="4A4A4A"/>
          <w:sz w:val="21"/>
          <w:lang w:val="en-US"/>
        </w:rPr>
      </w:pPr>
      <w:r w:rsidRPr="00C866C3">
        <w:rPr>
          <w:rFonts w:ascii="Calibri" w:hAnsi="Calibri"/>
          <w:color w:val="4A4A4A"/>
          <w:sz w:val="21"/>
          <w:lang w:val="en-US"/>
        </w:rPr>
        <w:t>It includes forest roads, firebreaks and other small open areas; forest in national parks, nature reserves and other protected areas such as those of specific environmental, scientific, historical, cultural or spiritual interest.</w:t>
      </w:r>
    </w:p>
    <w:p w14:paraId="026EB35C" w14:textId="77777777" w:rsidR="00886510" w:rsidRPr="00C866C3" w:rsidRDefault="00886510" w:rsidP="00886510">
      <w:pPr>
        <w:numPr>
          <w:ilvl w:val="0"/>
          <w:numId w:val="5"/>
        </w:numPr>
        <w:shd w:val="clear" w:color="auto" w:fill="FFFFFF"/>
        <w:spacing w:after="0" w:line="240" w:lineRule="auto"/>
        <w:contextualSpacing/>
        <w:rPr>
          <w:rFonts w:ascii="Calibri" w:hAnsi="Calibri"/>
          <w:color w:val="4A4A4A"/>
          <w:sz w:val="21"/>
          <w:lang w:val="en-US"/>
        </w:rPr>
      </w:pPr>
      <w:r w:rsidRPr="00C866C3">
        <w:rPr>
          <w:rFonts w:ascii="Calibri" w:hAnsi="Calibri"/>
          <w:color w:val="4A4A4A"/>
          <w:sz w:val="21"/>
          <w:lang w:val="en-US"/>
        </w:rPr>
        <w:t>It includes windbreaks, shelterbelts and corridors of trees with an area of more than 0.5 hectares and width of more than 20 meters.</w:t>
      </w:r>
    </w:p>
    <w:p w14:paraId="6BE393C8" w14:textId="77777777" w:rsidR="00886510" w:rsidRPr="00C866C3" w:rsidRDefault="00886510" w:rsidP="00886510">
      <w:pPr>
        <w:numPr>
          <w:ilvl w:val="0"/>
          <w:numId w:val="5"/>
        </w:numPr>
        <w:shd w:val="clear" w:color="auto" w:fill="FFFFFF"/>
        <w:spacing w:after="0" w:line="240" w:lineRule="auto"/>
        <w:contextualSpacing/>
        <w:rPr>
          <w:rFonts w:ascii="Calibri" w:hAnsi="Calibri"/>
          <w:color w:val="4A4A4A"/>
          <w:sz w:val="21"/>
          <w:lang w:val="en-US"/>
        </w:rPr>
      </w:pPr>
      <w:r w:rsidRPr="00C866C3">
        <w:rPr>
          <w:rFonts w:ascii="Calibri" w:hAnsi="Calibri"/>
          <w:color w:val="4A4A4A"/>
          <w:sz w:val="21"/>
          <w:lang w:val="en-US"/>
        </w:rPr>
        <w:t>It includes abandoned shifting cultivation land with a regeneration of trees that have, or are expected to reach, a canopy cover of at least 10 percent and tree height of at least 5 meters.</w:t>
      </w:r>
    </w:p>
    <w:p w14:paraId="14A944D1" w14:textId="5B22B64E" w:rsidR="00886510" w:rsidRPr="00C866C3" w:rsidRDefault="00886510" w:rsidP="00886510">
      <w:pPr>
        <w:numPr>
          <w:ilvl w:val="0"/>
          <w:numId w:val="5"/>
        </w:numPr>
        <w:shd w:val="clear" w:color="auto" w:fill="FFFFFF"/>
        <w:spacing w:after="0" w:line="240" w:lineRule="auto"/>
        <w:contextualSpacing/>
        <w:rPr>
          <w:rFonts w:ascii="Calibri" w:hAnsi="Calibri"/>
          <w:color w:val="4A4A4A"/>
          <w:sz w:val="21"/>
          <w:lang w:val="en-US"/>
        </w:rPr>
      </w:pPr>
      <w:r w:rsidRPr="00C866C3">
        <w:rPr>
          <w:rFonts w:ascii="Calibri" w:hAnsi="Calibri"/>
          <w:color w:val="4A4A4A"/>
          <w:sz w:val="21"/>
          <w:lang w:val="en-US"/>
        </w:rPr>
        <w:t xml:space="preserve">It includes areas with mangroves in tidal zones, </w:t>
      </w:r>
      <w:r w:rsidR="00046E5E" w:rsidRPr="00C866C3">
        <w:rPr>
          <w:rFonts w:ascii="Calibri" w:hAnsi="Calibri"/>
          <w:color w:val="4A4A4A"/>
          <w:sz w:val="21"/>
          <w:lang w:val="en-US"/>
        </w:rPr>
        <w:t xml:space="preserve">regardless </w:t>
      </w:r>
      <w:r w:rsidR="00046E5E" w:rsidRPr="00CB4DE5">
        <w:rPr>
          <w:rFonts w:ascii="Calibri" w:eastAsia="Times New Roman" w:hAnsi="Calibri" w:cs="Times New Roman"/>
          <w:color w:val="4A4A4A"/>
          <w:sz w:val="21"/>
          <w:szCs w:val="21"/>
          <w:lang w:val="en-US" w:eastAsia="en-GB"/>
        </w:rPr>
        <w:t>of</w:t>
      </w:r>
      <w:r w:rsidRPr="00CB4DE5">
        <w:rPr>
          <w:rFonts w:ascii="Calibri" w:eastAsia="Times New Roman" w:hAnsi="Calibri" w:cs="Times New Roman"/>
          <w:color w:val="4A4A4A"/>
          <w:sz w:val="21"/>
          <w:szCs w:val="21"/>
          <w:lang w:val="en-US" w:eastAsia="en-GB"/>
        </w:rPr>
        <w:t xml:space="preserve"> </w:t>
      </w:r>
      <w:r w:rsidRPr="00C866C3">
        <w:rPr>
          <w:rFonts w:ascii="Calibri" w:hAnsi="Calibri"/>
          <w:color w:val="4A4A4A"/>
          <w:sz w:val="21"/>
          <w:lang w:val="en-US"/>
        </w:rPr>
        <w:t>whether this area is classified as land area or not.</w:t>
      </w:r>
    </w:p>
    <w:p w14:paraId="3CC1B25C" w14:textId="77777777" w:rsidR="00886510" w:rsidRPr="00C866C3" w:rsidRDefault="00886510" w:rsidP="00886510">
      <w:pPr>
        <w:numPr>
          <w:ilvl w:val="0"/>
          <w:numId w:val="5"/>
        </w:numPr>
        <w:shd w:val="clear" w:color="auto" w:fill="FFFFFF"/>
        <w:spacing w:after="0" w:line="240" w:lineRule="auto"/>
        <w:contextualSpacing/>
        <w:rPr>
          <w:rFonts w:ascii="Calibri" w:hAnsi="Calibri"/>
          <w:color w:val="4A4A4A"/>
          <w:sz w:val="21"/>
          <w:lang w:val="en-US"/>
        </w:rPr>
      </w:pPr>
      <w:r w:rsidRPr="00C866C3">
        <w:rPr>
          <w:rFonts w:ascii="Calibri" w:hAnsi="Calibri"/>
          <w:color w:val="4A4A4A"/>
          <w:sz w:val="21"/>
          <w:lang w:val="en-US"/>
        </w:rPr>
        <w:t>It includes rubberwood, cork oak and Christmas tree plantations.</w:t>
      </w:r>
    </w:p>
    <w:p w14:paraId="6DE4423E" w14:textId="77777777" w:rsidR="00886510" w:rsidRPr="00C866C3" w:rsidRDefault="00886510" w:rsidP="00886510">
      <w:pPr>
        <w:numPr>
          <w:ilvl w:val="0"/>
          <w:numId w:val="5"/>
        </w:numPr>
        <w:shd w:val="clear" w:color="auto" w:fill="FFFFFF"/>
        <w:spacing w:after="0" w:line="240" w:lineRule="auto"/>
        <w:contextualSpacing/>
        <w:rPr>
          <w:rFonts w:ascii="Calibri" w:hAnsi="Calibri"/>
          <w:color w:val="4A4A4A"/>
          <w:sz w:val="21"/>
          <w:lang w:val="en-US"/>
        </w:rPr>
      </w:pPr>
      <w:r w:rsidRPr="00C866C3">
        <w:rPr>
          <w:rFonts w:ascii="Calibri" w:hAnsi="Calibri"/>
          <w:color w:val="4A4A4A"/>
          <w:sz w:val="21"/>
          <w:lang w:val="en-US"/>
        </w:rPr>
        <w:t xml:space="preserve">It includes areas with bamboo and palms </w:t>
      </w:r>
      <w:proofErr w:type="gramStart"/>
      <w:r w:rsidRPr="00C866C3">
        <w:rPr>
          <w:rFonts w:ascii="Calibri" w:hAnsi="Calibri"/>
          <w:color w:val="4A4A4A"/>
          <w:sz w:val="21"/>
          <w:lang w:val="en-US"/>
        </w:rPr>
        <w:t>provided that</w:t>
      </w:r>
      <w:proofErr w:type="gramEnd"/>
      <w:r w:rsidRPr="00C866C3">
        <w:rPr>
          <w:rFonts w:ascii="Calibri" w:hAnsi="Calibri"/>
          <w:color w:val="4A4A4A"/>
          <w:sz w:val="21"/>
          <w:lang w:val="en-US"/>
        </w:rPr>
        <w:t xml:space="preserve"> land use, height and canopy cover criteria are met.</w:t>
      </w:r>
    </w:p>
    <w:p w14:paraId="68CE4805" w14:textId="77777777" w:rsidR="00886510" w:rsidRPr="00C866C3" w:rsidRDefault="00886510" w:rsidP="00886510">
      <w:pPr>
        <w:numPr>
          <w:ilvl w:val="0"/>
          <w:numId w:val="5"/>
        </w:numPr>
        <w:shd w:val="clear" w:color="auto" w:fill="FFFFFF"/>
        <w:spacing w:after="0" w:line="240" w:lineRule="auto"/>
        <w:contextualSpacing/>
        <w:rPr>
          <w:rFonts w:ascii="Calibri" w:hAnsi="Calibri"/>
          <w:color w:val="4A4A4A"/>
          <w:sz w:val="21"/>
          <w:lang w:val="en-US"/>
        </w:rPr>
      </w:pPr>
      <w:r w:rsidRPr="00C866C3">
        <w:rPr>
          <w:rFonts w:ascii="Calibri" w:hAnsi="Calibri"/>
          <w:color w:val="4A4A4A"/>
          <w:sz w:val="21"/>
          <w:lang w:val="en-US"/>
        </w:rPr>
        <w:t>It excludes tree stands in agricultural production systems, such as fruit tree plantations, oil palm plantations, olive orchards and agroforestry systems when crops are grown under tree cover. Note: Some agroforestry systems such as the “</w:t>
      </w:r>
      <w:proofErr w:type="spellStart"/>
      <w:r w:rsidRPr="00C866C3">
        <w:rPr>
          <w:rFonts w:ascii="Calibri" w:hAnsi="Calibri"/>
          <w:color w:val="4A4A4A"/>
          <w:sz w:val="21"/>
          <w:lang w:val="en-US"/>
        </w:rPr>
        <w:t>Taungya</w:t>
      </w:r>
      <w:proofErr w:type="spellEnd"/>
      <w:r w:rsidRPr="00C866C3">
        <w:rPr>
          <w:rFonts w:ascii="Calibri" w:hAnsi="Calibri"/>
          <w:color w:val="4A4A4A"/>
          <w:sz w:val="21"/>
          <w:lang w:val="en-US"/>
        </w:rPr>
        <w:t>” system where crops are grown only during the first years of the forest rotation should be classified as forest.</w:t>
      </w:r>
    </w:p>
    <w:p w14:paraId="4CADDFA0" w14:textId="77777777" w:rsidR="00886510" w:rsidRPr="00C866C3" w:rsidRDefault="00886510" w:rsidP="00886510">
      <w:pPr>
        <w:shd w:val="clear" w:color="auto" w:fill="FFFFFF"/>
        <w:spacing w:after="0"/>
        <w:contextualSpacing/>
        <w:rPr>
          <w:rFonts w:ascii="Calibri" w:hAnsi="Calibri"/>
          <w:color w:val="4A4A4A"/>
          <w:sz w:val="21"/>
          <w:lang w:val="en-US"/>
        </w:rPr>
      </w:pPr>
    </w:p>
    <w:p w14:paraId="6498160B" w14:textId="78E8C54F" w:rsidR="00886510" w:rsidRDefault="00301DCA" w:rsidP="00886510">
      <w:pPr>
        <w:shd w:val="clear" w:color="auto" w:fill="FFFFFF"/>
        <w:spacing w:after="0"/>
        <w:contextualSpacing/>
        <w:rPr>
          <w:rFonts w:ascii="Calibri" w:eastAsia="Times New Roman" w:hAnsi="Calibri" w:cs="Times New Roman"/>
          <w:color w:val="4A4A4A"/>
          <w:sz w:val="21"/>
          <w:szCs w:val="21"/>
          <w:lang w:val="en-US" w:eastAsia="en-GB"/>
        </w:rPr>
      </w:pPr>
      <w:r>
        <w:rPr>
          <w:rFonts w:ascii="Calibri" w:eastAsia="Times New Roman" w:hAnsi="Calibri" w:cs="Times New Roman"/>
          <w:b/>
          <w:bCs/>
          <w:color w:val="4A4A4A"/>
          <w:sz w:val="21"/>
          <w:szCs w:val="21"/>
          <w:u w:val="single"/>
          <w:lang w:val="en-US" w:eastAsia="en-GB"/>
        </w:rPr>
        <w:t>L</w:t>
      </w:r>
      <w:r w:rsidR="00886510" w:rsidRPr="00CB4DE5">
        <w:rPr>
          <w:rFonts w:ascii="Calibri" w:eastAsia="Times New Roman" w:hAnsi="Calibri" w:cs="Times New Roman"/>
          <w:b/>
          <w:bCs/>
          <w:color w:val="4A4A4A"/>
          <w:sz w:val="21"/>
          <w:szCs w:val="21"/>
          <w:u w:val="single"/>
          <w:lang w:val="en-US" w:eastAsia="en-GB"/>
        </w:rPr>
        <w:t>and</w:t>
      </w:r>
      <w:r w:rsidR="00886510" w:rsidRPr="00C866C3">
        <w:rPr>
          <w:rFonts w:ascii="Calibri" w:hAnsi="Calibri"/>
          <w:b/>
          <w:color w:val="4A4A4A"/>
          <w:sz w:val="21"/>
          <w:u w:val="single"/>
          <w:lang w:val="en-US"/>
        </w:rPr>
        <w:t xml:space="preserve"> area</w:t>
      </w:r>
      <w:r w:rsidR="00886510" w:rsidRPr="00C866C3">
        <w:rPr>
          <w:rFonts w:ascii="Calibri" w:hAnsi="Calibri"/>
          <w:color w:val="4A4A4A"/>
          <w:sz w:val="21"/>
          <w:lang w:val="en-US"/>
        </w:rPr>
        <w:t xml:space="preserve"> is the </w:t>
      </w:r>
      <w:r w:rsidRPr="00C866C3">
        <w:rPr>
          <w:rFonts w:ascii="Calibri" w:hAnsi="Calibri"/>
          <w:color w:val="4A4A4A"/>
          <w:sz w:val="21"/>
          <w:lang w:val="en-US"/>
        </w:rPr>
        <w:t>c</w:t>
      </w:r>
      <w:r w:rsidR="009E205E" w:rsidRPr="00C866C3">
        <w:rPr>
          <w:rFonts w:ascii="Calibri" w:hAnsi="Calibri"/>
          <w:color w:val="4A4A4A"/>
          <w:sz w:val="21"/>
          <w:lang w:val="en-US"/>
        </w:rPr>
        <w:t xml:space="preserve">ountry </w:t>
      </w:r>
      <w:r w:rsidR="009E205E" w:rsidRPr="009E205E">
        <w:rPr>
          <w:rFonts w:ascii="Calibri" w:eastAsia="Times New Roman" w:hAnsi="Calibri" w:cs="Times New Roman"/>
          <w:color w:val="4A4A4A"/>
          <w:sz w:val="21"/>
          <w:szCs w:val="21"/>
          <w:lang w:val="en-US" w:eastAsia="en-GB"/>
        </w:rPr>
        <w:t xml:space="preserve">area excluding </w:t>
      </w:r>
      <w:r w:rsidR="009E205E" w:rsidRPr="00C866C3">
        <w:rPr>
          <w:rFonts w:ascii="Calibri" w:hAnsi="Calibri"/>
          <w:color w:val="4A4A4A"/>
          <w:sz w:val="21"/>
          <w:lang w:val="en-US"/>
        </w:rPr>
        <w:t xml:space="preserve">area </w:t>
      </w:r>
      <w:r w:rsidR="009E205E" w:rsidRPr="009E205E">
        <w:rPr>
          <w:rFonts w:ascii="Calibri" w:eastAsia="Times New Roman" w:hAnsi="Calibri" w:cs="Times New Roman"/>
          <w:color w:val="4A4A4A"/>
          <w:sz w:val="21"/>
          <w:szCs w:val="21"/>
          <w:lang w:val="en-US" w:eastAsia="en-GB"/>
        </w:rPr>
        <w:t>under</w:t>
      </w:r>
      <w:r w:rsidR="009E205E" w:rsidRPr="00C866C3">
        <w:rPr>
          <w:rFonts w:ascii="Calibri" w:hAnsi="Calibri"/>
          <w:color w:val="4A4A4A"/>
          <w:sz w:val="21"/>
          <w:lang w:val="en-US"/>
        </w:rPr>
        <w:t xml:space="preserve"> inland waters and </w:t>
      </w:r>
      <w:r w:rsidR="009E205E" w:rsidRPr="009E205E">
        <w:rPr>
          <w:rFonts w:ascii="Calibri" w:eastAsia="Times New Roman" w:hAnsi="Calibri" w:cs="Times New Roman"/>
          <w:color w:val="4A4A4A"/>
          <w:sz w:val="21"/>
          <w:szCs w:val="21"/>
          <w:lang w:val="en-US" w:eastAsia="en-GB"/>
        </w:rPr>
        <w:t>coastal waters</w:t>
      </w:r>
      <w:r>
        <w:rPr>
          <w:rFonts w:ascii="Calibri" w:eastAsia="Times New Roman" w:hAnsi="Calibri" w:cs="Times New Roman"/>
          <w:color w:val="4A4A4A"/>
          <w:sz w:val="21"/>
          <w:szCs w:val="21"/>
          <w:lang w:val="en-US" w:eastAsia="en-GB"/>
        </w:rPr>
        <w:t>.</w:t>
      </w:r>
    </w:p>
    <w:p w14:paraId="35647849" w14:textId="6A674F2D" w:rsidR="009E205E" w:rsidRDefault="009E205E" w:rsidP="00886510">
      <w:pPr>
        <w:shd w:val="clear" w:color="auto" w:fill="FFFFFF"/>
        <w:spacing w:after="0"/>
        <w:contextualSpacing/>
        <w:rPr>
          <w:rFonts w:ascii="Calibri" w:eastAsia="Times New Roman" w:hAnsi="Calibri" w:cs="Times New Roman"/>
          <w:color w:val="4A4A4A"/>
          <w:sz w:val="21"/>
          <w:szCs w:val="21"/>
          <w:lang w:val="en-US" w:eastAsia="en-GB"/>
        </w:rPr>
      </w:pPr>
    </w:p>
    <w:p w14:paraId="6D6F8325" w14:textId="09EF1B11" w:rsidR="009E205E" w:rsidRPr="00E124DB" w:rsidRDefault="009E205E" w:rsidP="00E124DB">
      <w:pPr>
        <w:pStyle w:val="ListParagraph"/>
        <w:numPr>
          <w:ilvl w:val="0"/>
          <w:numId w:val="7"/>
        </w:numPr>
        <w:shd w:val="clear" w:color="auto" w:fill="FFFFFF"/>
        <w:spacing w:after="0"/>
        <w:rPr>
          <w:rFonts w:ascii="Calibri" w:eastAsia="Times New Roman" w:hAnsi="Calibri" w:cs="Times New Roman"/>
          <w:color w:val="4A4A4A"/>
          <w:sz w:val="21"/>
          <w:szCs w:val="21"/>
          <w:lang w:val="en-US" w:eastAsia="en-GB"/>
        </w:rPr>
      </w:pPr>
      <w:r w:rsidRPr="00E124DB">
        <w:rPr>
          <w:rFonts w:ascii="Calibri" w:eastAsia="Times New Roman" w:hAnsi="Calibri" w:cs="Times New Roman"/>
          <w:b/>
          <w:bCs/>
          <w:color w:val="4A4A4A"/>
          <w:sz w:val="21"/>
          <w:szCs w:val="21"/>
          <w:lang w:val="en-US" w:eastAsia="en-GB"/>
        </w:rPr>
        <w:t>Country area</w:t>
      </w:r>
      <w:r w:rsidR="00301DCA">
        <w:rPr>
          <w:rFonts w:ascii="Calibri" w:eastAsia="Times New Roman" w:hAnsi="Calibri" w:cs="Times New Roman"/>
          <w:color w:val="4A4A4A"/>
          <w:sz w:val="21"/>
          <w:szCs w:val="21"/>
          <w:lang w:val="en-US" w:eastAsia="en-GB"/>
        </w:rPr>
        <w:t xml:space="preserve">: </w:t>
      </w:r>
      <w:r w:rsidRPr="00E124DB">
        <w:rPr>
          <w:rFonts w:ascii="Calibri" w:eastAsia="Times New Roman" w:hAnsi="Calibri" w:cs="Times New Roman"/>
          <w:color w:val="4A4A4A"/>
          <w:sz w:val="21"/>
          <w:szCs w:val="21"/>
          <w:lang w:val="en-US" w:eastAsia="en-GB"/>
        </w:rPr>
        <w:t>Area under national sovereignty. It is the sum of land area, inland waters and coastal waters. It excludes the exclusive economic zone.</w:t>
      </w:r>
    </w:p>
    <w:p w14:paraId="49572505" w14:textId="14E66CDA" w:rsidR="009E205E" w:rsidRPr="00C866C3" w:rsidRDefault="009E205E" w:rsidP="00C866C3">
      <w:pPr>
        <w:pStyle w:val="ListParagraph"/>
        <w:numPr>
          <w:ilvl w:val="0"/>
          <w:numId w:val="8"/>
        </w:numPr>
        <w:shd w:val="clear" w:color="auto" w:fill="FFFFFF"/>
        <w:spacing w:after="0"/>
        <w:rPr>
          <w:rFonts w:ascii="Calibri" w:hAnsi="Calibri"/>
          <w:color w:val="4A4A4A"/>
          <w:sz w:val="21"/>
          <w:lang w:val="en-US"/>
        </w:rPr>
      </w:pPr>
      <w:r w:rsidRPr="00E124DB">
        <w:rPr>
          <w:rFonts w:ascii="Calibri" w:eastAsia="Times New Roman" w:hAnsi="Calibri" w:cs="Times New Roman"/>
          <w:b/>
          <w:bCs/>
          <w:color w:val="4A4A4A"/>
          <w:sz w:val="21"/>
          <w:szCs w:val="21"/>
          <w:lang w:val="en-US" w:eastAsia="en-GB"/>
        </w:rPr>
        <w:t>Inland waters</w:t>
      </w:r>
      <w:r w:rsidR="00301DCA">
        <w:rPr>
          <w:rFonts w:ascii="Calibri" w:eastAsia="Times New Roman" w:hAnsi="Calibri" w:cs="Times New Roman"/>
          <w:color w:val="4A4A4A"/>
          <w:sz w:val="21"/>
          <w:szCs w:val="21"/>
          <w:lang w:val="en-US" w:eastAsia="en-GB"/>
        </w:rPr>
        <w:t xml:space="preserve">: </w:t>
      </w:r>
      <w:r w:rsidR="00301DCA" w:rsidRPr="00E124DB">
        <w:rPr>
          <w:rFonts w:ascii="Calibri" w:eastAsia="Times New Roman" w:hAnsi="Calibri" w:cs="Times New Roman"/>
          <w:color w:val="4A4A4A"/>
          <w:sz w:val="21"/>
          <w:szCs w:val="21"/>
          <w:lang w:val="en-US" w:eastAsia="en-GB"/>
        </w:rPr>
        <w:t>A</w:t>
      </w:r>
      <w:r w:rsidRPr="00E124DB">
        <w:rPr>
          <w:rFonts w:ascii="Calibri" w:eastAsia="Times New Roman" w:hAnsi="Calibri" w:cs="Times New Roman"/>
          <w:color w:val="4A4A4A"/>
          <w:sz w:val="21"/>
          <w:szCs w:val="21"/>
          <w:lang w:val="en-US" w:eastAsia="en-GB"/>
        </w:rPr>
        <w:t xml:space="preserve">reas corresponding to natural or artificial water courses, serving to drain natural or artificial bodies of water, including </w:t>
      </w:r>
      <w:r w:rsidRPr="00C866C3">
        <w:rPr>
          <w:rFonts w:ascii="Calibri" w:hAnsi="Calibri"/>
          <w:color w:val="4A4A4A"/>
          <w:sz w:val="21"/>
          <w:lang w:val="en-US"/>
        </w:rPr>
        <w:t>lakes</w:t>
      </w:r>
      <w:r w:rsidRPr="00E124DB">
        <w:rPr>
          <w:rFonts w:ascii="Calibri" w:eastAsia="Times New Roman" w:hAnsi="Calibri" w:cs="Times New Roman"/>
          <w:color w:val="4A4A4A"/>
          <w:sz w:val="21"/>
          <w:szCs w:val="21"/>
          <w:lang w:val="en-US" w:eastAsia="en-GB"/>
        </w:rPr>
        <w:t>, reservoirs, rivers, brooks, streams, ponds, inland canals, dams, and other land-locked waters. The banks constitute limits whether the water is present or not.</w:t>
      </w:r>
    </w:p>
    <w:p w14:paraId="18555634" w14:textId="4143A370" w:rsidR="009E205E" w:rsidRPr="00E124DB" w:rsidRDefault="009E205E" w:rsidP="00E124DB">
      <w:pPr>
        <w:pStyle w:val="ListParagraph"/>
        <w:numPr>
          <w:ilvl w:val="0"/>
          <w:numId w:val="9"/>
        </w:numPr>
        <w:shd w:val="clear" w:color="auto" w:fill="FFFFFF"/>
        <w:spacing w:after="0"/>
        <w:rPr>
          <w:rFonts w:ascii="Calibri" w:eastAsia="Times New Roman" w:hAnsi="Calibri" w:cs="Times New Roman"/>
          <w:color w:val="4A4A4A"/>
          <w:sz w:val="21"/>
          <w:szCs w:val="21"/>
          <w:lang w:val="en-US" w:eastAsia="en-GB"/>
        </w:rPr>
      </w:pPr>
      <w:r w:rsidRPr="00E124DB">
        <w:rPr>
          <w:rFonts w:ascii="Calibri" w:eastAsia="Times New Roman" w:hAnsi="Calibri" w:cs="Times New Roman"/>
          <w:b/>
          <w:bCs/>
          <w:color w:val="4A4A4A"/>
          <w:sz w:val="21"/>
          <w:szCs w:val="21"/>
          <w:lang w:val="en-US" w:eastAsia="en-GB"/>
        </w:rPr>
        <w:t>Coastal waters</w:t>
      </w:r>
      <w:r w:rsidR="00301DCA">
        <w:rPr>
          <w:rFonts w:ascii="Calibri" w:eastAsia="Times New Roman" w:hAnsi="Calibri" w:cs="Times New Roman"/>
          <w:color w:val="4A4A4A"/>
          <w:sz w:val="21"/>
          <w:szCs w:val="21"/>
          <w:lang w:val="en-US" w:eastAsia="en-GB"/>
        </w:rPr>
        <w:t xml:space="preserve">: </w:t>
      </w:r>
      <w:r w:rsidRPr="00E124DB">
        <w:rPr>
          <w:rFonts w:ascii="Calibri" w:eastAsia="Times New Roman" w:hAnsi="Calibri" w:cs="Times New Roman"/>
          <w:color w:val="4A4A4A"/>
          <w:sz w:val="21"/>
          <w:szCs w:val="21"/>
          <w:lang w:val="en-US" w:eastAsia="en-GB"/>
        </w:rPr>
        <w:t>Waters located in</w:t>
      </w:r>
      <w:r w:rsidR="00A1093D">
        <w:rPr>
          <w:rFonts w:ascii="Calibri" w:eastAsia="Times New Roman" w:hAnsi="Calibri" w:cs="Times New Roman"/>
          <w:color w:val="4A4A4A"/>
          <w:sz w:val="21"/>
          <w:szCs w:val="21"/>
          <w:lang w:val="en-US" w:eastAsia="en-GB"/>
        </w:rPr>
        <w:t>-</w:t>
      </w:r>
      <w:r w:rsidRPr="00E124DB">
        <w:rPr>
          <w:rFonts w:ascii="Calibri" w:eastAsia="Times New Roman" w:hAnsi="Calibri" w:cs="Times New Roman"/>
          <w:color w:val="4A4A4A"/>
          <w:sz w:val="21"/>
          <w:szCs w:val="21"/>
          <w:lang w:val="en-US" w:eastAsia="en-GB"/>
        </w:rPr>
        <w:t>between the land territory and the outer limit of the territorial sea. They comprise ''Internal waters'' and ''Territorial sea," and where applicable, ''Archipelagic waters."</w:t>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p>
    <w:p w14:paraId="1B92AC21" w14:textId="0D23740B" w:rsidR="009E205E" w:rsidRDefault="009E205E" w:rsidP="00886510">
      <w:pPr>
        <w:shd w:val="clear" w:color="auto" w:fill="FFFFFF"/>
        <w:spacing w:after="0"/>
        <w:contextualSpacing/>
        <w:rPr>
          <w:rFonts w:ascii="Calibri" w:eastAsia="Times New Roman" w:hAnsi="Calibri" w:cs="Times New Roman"/>
          <w:color w:val="4A4A4A"/>
          <w:sz w:val="21"/>
          <w:szCs w:val="21"/>
          <w:lang w:val="en-US" w:eastAsia="en-GB"/>
        </w:rPr>
      </w:pPr>
    </w:p>
    <w:p w14:paraId="7932F8BD" w14:textId="3869C451" w:rsidR="008B0AC7" w:rsidRPr="00C866C3" w:rsidRDefault="00576CFA" w:rsidP="00F719A8">
      <w:pPr>
        <w:pStyle w:val="MHeader2"/>
        <w:rPr>
          <w:lang w:val="en-US"/>
        </w:rPr>
      </w:pPr>
      <w:r w:rsidRPr="00C866C3">
        <w:rPr>
          <w:lang w:val="en-US"/>
        </w:rPr>
        <w:t>2.b.</w:t>
      </w:r>
      <w:r w:rsidR="008B0AC7" w:rsidRPr="00C866C3">
        <w:rPr>
          <w:lang w:val="en-US"/>
        </w:rPr>
        <w:t xml:space="preserve"> Unit of measure</w:t>
      </w:r>
    </w:p>
    <w:p w14:paraId="2C3D5ADA" w14:textId="77777777" w:rsidR="00BD2836" w:rsidRPr="00C866C3" w:rsidRDefault="00BD2836" w:rsidP="00BD2836">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The indicator is expressed as percent.</w:t>
      </w:r>
    </w:p>
    <w:p w14:paraId="548E9AAA" w14:textId="77777777" w:rsidR="00EC2915" w:rsidRPr="00C866C3" w:rsidRDefault="00EC2915" w:rsidP="00576CFA">
      <w:pPr>
        <w:pStyle w:val="MText"/>
        <w:rPr>
          <w:lang w:val="en-US"/>
        </w:rPr>
      </w:pPr>
    </w:p>
    <w:p w14:paraId="651AA7AC" w14:textId="5144B8C4" w:rsidR="00DA615C" w:rsidRPr="00C866C3" w:rsidRDefault="008B0AC7" w:rsidP="00F719A8">
      <w:pPr>
        <w:pStyle w:val="MHeader2"/>
        <w:rPr>
          <w:lang w:val="en-US"/>
        </w:rPr>
      </w:pPr>
      <w:r w:rsidRPr="00C866C3">
        <w:rPr>
          <w:lang w:val="en-US"/>
        </w:rPr>
        <w:t>2.c. Classifications</w:t>
      </w:r>
    </w:p>
    <w:p w14:paraId="123172F4" w14:textId="7EB6722F" w:rsidR="00F719A8" w:rsidRPr="00C866C3" w:rsidRDefault="00F719A8" w:rsidP="00576CFA">
      <w:pPr>
        <w:pStyle w:val="MText"/>
        <w:rPr>
          <w:lang w:val="en-US"/>
        </w:rPr>
      </w:pPr>
    </w:p>
    <w:p w14:paraId="1D3AEECA" w14:textId="4C5EC949" w:rsidR="00B31E2C" w:rsidRPr="00C866C3" w:rsidRDefault="00B31E2C" w:rsidP="00F719A8">
      <w:pPr>
        <w:pStyle w:val="MHeader"/>
        <w:rPr>
          <w:lang w:val="en-US"/>
        </w:rPr>
      </w:pPr>
      <w:r w:rsidRPr="00C866C3">
        <w:rPr>
          <w:lang w:val="en-US"/>
        </w:rPr>
        <w:t>3. Data source type and data collection method</w:t>
      </w:r>
    </w:p>
    <w:p w14:paraId="340B050E" w14:textId="31C09E5F" w:rsidR="008B0AC7" w:rsidRPr="00C866C3" w:rsidRDefault="008B0AC7" w:rsidP="00F719A8">
      <w:pPr>
        <w:pStyle w:val="MHeader2"/>
        <w:rPr>
          <w:lang w:val="en-US"/>
        </w:rPr>
      </w:pPr>
      <w:r w:rsidRPr="00C866C3">
        <w:rPr>
          <w:lang w:val="en-US"/>
        </w:rPr>
        <w:t>3.a. Data sources</w:t>
      </w:r>
    </w:p>
    <w:p w14:paraId="7F5D5DE0" w14:textId="35BDB733" w:rsidR="00886510" w:rsidRPr="00CB4DE5" w:rsidRDefault="00142798" w:rsidP="00886510">
      <w:pPr>
        <w:shd w:val="clear" w:color="auto" w:fill="FFFFFF"/>
        <w:spacing w:after="0"/>
        <w:contextualSpacing/>
        <w:rPr>
          <w:rFonts w:ascii="Calibri" w:eastAsia="Times New Roman" w:hAnsi="Calibri" w:cs="Times New Roman"/>
          <w:b/>
          <w:bCs/>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3BE74FDD" w14:textId="648520CC" w:rsidR="00886510" w:rsidRPr="00C866C3" w:rsidRDefault="00142798" w:rsidP="00886510">
      <w:pPr>
        <w:shd w:val="clear" w:color="auto" w:fill="FFFFFF"/>
        <w:spacing w:after="0"/>
        <w:contextualSpacing/>
        <w:rPr>
          <w:rFonts w:ascii="Calibri" w:hAnsi="Calibri"/>
          <w:color w:val="4A4A4A"/>
          <w:sz w:val="21"/>
          <w:lang w:val="en-US"/>
        </w:rPr>
      </w:pPr>
      <w:r w:rsidRPr="00CB4DE5">
        <w:rPr>
          <w:rFonts w:ascii="Calibri" w:eastAsia="Times New Roman" w:hAnsi="Calibri" w:cs="Times New Roman"/>
          <w:color w:val="4A4A4A"/>
          <w:sz w:val="21"/>
          <w:szCs w:val="21"/>
          <w:lang w:val="en-US" w:eastAsia="en-GB"/>
        </w:rPr>
        <w:t xml:space="preserve">Data on Forest area </w:t>
      </w:r>
      <w:r w:rsidR="0010745E" w:rsidRPr="00CB4DE5">
        <w:rPr>
          <w:rFonts w:ascii="Calibri" w:eastAsia="Times New Roman" w:hAnsi="Calibri" w:cs="Times New Roman"/>
          <w:color w:val="4A4A4A"/>
          <w:sz w:val="21"/>
          <w:szCs w:val="21"/>
          <w:lang w:val="en-US" w:eastAsia="en-GB"/>
        </w:rPr>
        <w:t>are</w:t>
      </w:r>
      <w:r w:rsidRPr="00CB4DE5">
        <w:rPr>
          <w:rFonts w:ascii="Calibri" w:eastAsia="Times New Roman" w:hAnsi="Calibri" w:cs="Times New Roman"/>
          <w:color w:val="4A4A4A"/>
          <w:sz w:val="21"/>
          <w:szCs w:val="21"/>
          <w:lang w:val="en-US" w:eastAsia="en-GB"/>
        </w:rPr>
        <w:t xml:space="preserve"> collected by </w:t>
      </w:r>
      <w:r w:rsidRPr="00C866C3">
        <w:rPr>
          <w:rFonts w:ascii="Calibri" w:hAnsi="Calibri"/>
          <w:color w:val="4A4A4A"/>
          <w:sz w:val="21"/>
          <w:lang w:val="en-US"/>
        </w:rPr>
        <w:t xml:space="preserve">FAO </w:t>
      </w:r>
      <w:r w:rsidRPr="00CB4DE5">
        <w:rPr>
          <w:rFonts w:ascii="Calibri" w:eastAsia="Times New Roman" w:hAnsi="Calibri" w:cs="Times New Roman"/>
          <w:color w:val="4A4A4A"/>
          <w:sz w:val="21"/>
          <w:szCs w:val="21"/>
          <w:lang w:val="en-US" w:eastAsia="en-GB"/>
        </w:rPr>
        <w:t>through</w:t>
      </w:r>
      <w:r w:rsidRPr="00C866C3">
        <w:rPr>
          <w:rFonts w:ascii="Calibri" w:hAnsi="Calibri"/>
          <w:color w:val="4A4A4A"/>
          <w:sz w:val="21"/>
          <w:lang w:val="en-US"/>
        </w:rPr>
        <w:t xml:space="preserve"> the Global Forest Resources </w:t>
      </w:r>
      <w:r w:rsidRPr="00CB4DE5">
        <w:rPr>
          <w:rFonts w:ascii="Calibri" w:eastAsia="Times New Roman" w:hAnsi="Calibri" w:cs="Times New Roman"/>
          <w:color w:val="4A4A4A"/>
          <w:sz w:val="21"/>
          <w:szCs w:val="21"/>
          <w:lang w:val="en-US" w:eastAsia="en-GB"/>
        </w:rPr>
        <w:t>Assessment</w:t>
      </w:r>
      <w:r w:rsidRPr="00C866C3">
        <w:rPr>
          <w:rFonts w:ascii="Calibri" w:hAnsi="Calibri"/>
          <w:color w:val="4A4A4A"/>
          <w:sz w:val="21"/>
          <w:lang w:val="en-US"/>
        </w:rPr>
        <w:t xml:space="preserve"> (FRA</w:t>
      </w:r>
      <w:r w:rsidRPr="00CB4DE5">
        <w:rPr>
          <w:rFonts w:ascii="Calibri" w:eastAsia="Times New Roman" w:hAnsi="Calibri" w:cs="Times New Roman"/>
          <w:color w:val="4A4A4A"/>
          <w:sz w:val="21"/>
          <w:szCs w:val="21"/>
          <w:lang w:val="en-US" w:eastAsia="en-GB"/>
        </w:rPr>
        <w:t xml:space="preserve">). This assessment has been carried out at regular </w:t>
      </w:r>
      <w:r w:rsidR="00886510" w:rsidRPr="00CB4DE5">
        <w:rPr>
          <w:rFonts w:ascii="Calibri" w:eastAsia="Times New Roman" w:hAnsi="Calibri" w:cs="Times New Roman"/>
          <w:color w:val="4A4A4A"/>
          <w:sz w:val="21"/>
          <w:szCs w:val="21"/>
          <w:lang w:val="en-US" w:eastAsia="en-GB"/>
        </w:rPr>
        <w:t>intervals since 1946</w:t>
      </w:r>
      <w:r w:rsidR="0010745E" w:rsidRPr="00CB4DE5">
        <w:rPr>
          <w:rFonts w:ascii="Calibri" w:eastAsia="Times New Roman" w:hAnsi="Calibri" w:cs="Times New Roman"/>
          <w:color w:val="4A4A4A"/>
          <w:sz w:val="21"/>
          <w:szCs w:val="21"/>
          <w:lang w:val="en-US" w:eastAsia="en-GB"/>
        </w:rPr>
        <w:t>, and</w:t>
      </w:r>
      <w:r w:rsidR="00F40F94" w:rsidRPr="00C866C3">
        <w:rPr>
          <w:rFonts w:ascii="Calibri" w:hAnsi="Calibri"/>
          <w:color w:val="4A4A4A"/>
          <w:sz w:val="21"/>
          <w:lang w:val="en-US"/>
        </w:rPr>
        <w:t xml:space="preserve"> </w:t>
      </w:r>
      <w:r w:rsidR="00886510" w:rsidRPr="00C866C3">
        <w:rPr>
          <w:rFonts w:ascii="Calibri" w:hAnsi="Calibri"/>
          <w:color w:val="4A4A4A"/>
          <w:sz w:val="21"/>
          <w:lang w:val="en-US"/>
        </w:rPr>
        <w:t xml:space="preserve">are now produced every five </w:t>
      </w:r>
      <w:proofErr w:type="gramStart"/>
      <w:r w:rsidR="00886510" w:rsidRPr="00C866C3">
        <w:rPr>
          <w:rFonts w:ascii="Calibri" w:hAnsi="Calibri"/>
          <w:color w:val="4A4A4A"/>
          <w:sz w:val="21"/>
          <w:lang w:val="en-US"/>
        </w:rPr>
        <w:t>year</w:t>
      </w:r>
      <w:proofErr w:type="gramEnd"/>
      <w:r w:rsidR="00886510" w:rsidRPr="00C866C3">
        <w:rPr>
          <w:rFonts w:ascii="Calibri" w:hAnsi="Calibri"/>
          <w:color w:val="4A4A4A"/>
          <w:sz w:val="21"/>
          <w:lang w:val="en-US"/>
        </w:rPr>
        <w:t xml:space="preserve">. The latest of these assessments, FRA 2020, contains information for 236 countries and territories on </w:t>
      </w:r>
      <w:r w:rsidR="00886510" w:rsidRPr="00C866C3">
        <w:rPr>
          <w:rFonts w:ascii="Calibri" w:hAnsi="Calibri"/>
          <w:color w:val="4A4A4A"/>
          <w:sz w:val="21"/>
          <w:lang w:val="en-US"/>
        </w:rPr>
        <w:lastRenderedPageBreak/>
        <w:t xml:space="preserve">about 60 variables related to the extent of forests, their conditions, uses and values for several points in time. </w:t>
      </w:r>
    </w:p>
    <w:p w14:paraId="7C1DFE40" w14:textId="25AFDDE7" w:rsidR="00142798" w:rsidRPr="00C866C3" w:rsidRDefault="00142798" w:rsidP="00C866C3">
      <w:pPr>
        <w:shd w:val="clear" w:color="auto" w:fill="FFFFFF"/>
        <w:spacing w:after="0"/>
        <w:contextualSpacing/>
        <w:rPr>
          <w:rFonts w:ascii="Calibri" w:hAnsi="Calibri"/>
          <w:color w:val="4A4A4A"/>
          <w:sz w:val="21"/>
          <w:lang w:val="en-US"/>
        </w:rPr>
      </w:pPr>
    </w:p>
    <w:p w14:paraId="66E0BC1C" w14:textId="48473A2D" w:rsidR="00142798" w:rsidRDefault="00301DCA" w:rsidP="00886510">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142798" w:rsidRPr="00CB4DE5">
        <w:rPr>
          <w:rFonts w:ascii="Calibri" w:eastAsia="Times New Roman" w:hAnsi="Calibri" w:cs="Times New Roman"/>
          <w:b/>
          <w:bCs/>
          <w:color w:val="4A4A4A"/>
          <w:sz w:val="21"/>
          <w:szCs w:val="21"/>
          <w:lang w:val="en-US" w:eastAsia="en-GB"/>
        </w:rPr>
        <w:t>and area:</w:t>
      </w:r>
    </w:p>
    <w:p w14:paraId="407EF511" w14:textId="524BFD81" w:rsidR="009E205E" w:rsidRPr="00CB4DE5" w:rsidRDefault="009E205E" w:rsidP="009E205E">
      <w:pPr>
        <w:shd w:val="clear" w:color="auto" w:fill="FFFFFF"/>
        <w:spacing w:after="0"/>
        <w:contextualSpacing/>
        <w:rPr>
          <w:rFonts w:ascii="Calibri" w:eastAsia="Times New Roman" w:hAnsi="Calibri" w:cs="Times New Roman"/>
          <w:b/>
          <w:bCs/>
          <w:color w:val="4A4A4A"/>
          <w:sz w:val="21"/>
          <w:szCs w:val="21"/>
          <w:lang w:val="en-US" w:eastAsia="en-GB"/>
        </w:rPr>
      </w:pPr>
      <w:r w:rsidRPr="005D1BF4">
        <w:rPr>
          <w:rFonts w:ascii="Calibri" w:eastAsia="Times New Roman" w:hAnsi="Calibri" w:cs="Times New Roman"/>
          <w:color w:val="4A4A4A"/>
          <w:sz w:val="21"/>
          <w:szCs w:val="21"/>
          <w:lang w:val="en-US" w:eastAsia="en-GB"/>
        </w:rPr>
        <w:t xml:space="preserve">Data </w:t>
      </w:r>
      <w:r w:rsidR="00A1093D">
        <w:rPr>
          <w:rFonts w:ascii="Calibri" w:eastAsia="Times New Roman" w:hAnsi="Calibri" w:cs="Times New Roman"/>
          <w:color w:val="4A4A4A"/>
          <w:sz w:val="21"/>
          <w:szCs w:val="21"/>
          <w:lang w:val="en-US" w:eastAsia="en-GB"/>
        </w:rPr>
        <w:t xml:space="preserve">on land area </w:t>
      </w:r>
      <w:r w:rsidRPr="005D1BF4">
        <w:rPr>
          <w:rFonts w:ascii="Calibri" w:eastAsia="Times New Roman" w:hAnsi="Calibri" w:cs="Times New Roman"/>
          <w:color w:val="4A4A4A"/>
          <w:sz w:val="21"/>
          <w:szCs w:val="21"/>
          <w:lang w:val="en-US" w:eastAsia="en-GB"/>
        </w:rPr>
        <w:t>are collected from FAO members through the annual FAO Questionnaire on</w:t>
      </w:r>
      <w:r w:rsidR="00301DCA">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Land Use, Irrigation and Agricultural Practices.</w:t>
      </w:r>
      <w:r w:rsidR="00301DCA">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Missing data may be sourced from national statistical yearbooks and other official</w:t>
      </w:r>
      <w:r w:rsidR="00A1093D">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government data portals. Supplemental information for further gap filling may be</w:t>
      </w:r>
      <w:r w:rsidR="00301DCA">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derived from national and international sectoral studies and reports, as well as from</w:t>
      </w:r>
      <w:r w:rsidR="00301DCA">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land cover statistical information compiled by FAO and disseminated in FAOSTAT.</w:t>
      </w:r>
      <w:r w:rsidRPr="009E205E">
        <w:rPr>
          <w:rFonts w:ascii="Calibri" w:eastAsia="Times New Roman" w:hAnsi="Calibri" w:cs="Times New Roman"/>
          <w:b/>
          <w:bCs/>
          <w:color w:val="4A4A4A"/>
          <w:sz w:val="21"/>
          <w:szCs w:val="21"/>
          <w:lang w:val="en-US" w:eastAsia="en-GB"/>
        </w:rPr>
        <w:cr/>
      </w:r>
    </w:p>
    <w:p w14:paraId="79368080" w14:textId="32CB9C2E" w:rsidR="008B0AC7" w:rsidRPr="00C866C3" w:rsidRDefault="00576CFA" w:rsidP="00F719A8">
      <w:pPr>
        <w:pStyle w:val="MHeader2"/>
        <w:rPr>
          <w:lang w:val="en-US"/>
        </w:rPr>
      </w:pPr>
      <w:r w:rsidRPr="00C866C3">
        <w:rPr>
          <w:lang w:val="en-US"/>
        </w:rPr>
        <w:t>3.b</w:t>
      </w:r>
      <w:r w:rsidR="008B0AC7" w:rsidRPr="00C866C3">
        <w:rPr>
          <w:lang w:val="en-US"/>
        </w:rPr>
        <w:t>. Data collection method</w:t>
      </w:r>
    </w:p>
    <w:p w14:paraId="110A9DCD" w14:textId="77777777" w:rsidR="00142798" w:rsidRPr="00CB4DE5" w:rsidRDefault="00142798" w:rsidP="00886510">
      <w:pPr>
        <w:shd w:val="clear" w:color="auto" w:fill="FFFFFF"/>
        <w:spacing w:after="0"/>
        <w:contextualSpacing/>
        <w:rPr>
          <w:rFonts w:ascii="Calibri" w:eastAsia="Times New Roman" w:hAnsi="Calibri" w:cs="Times New Roman"/>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3D261429" w14:textId="5CB118A0"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Officially nominated national correspondents and their teams prepare the country reports for the assessment. Some prepare more than one report as they also report on dependent territories. For the remaining countries and territories where no information is provided, a report is prepared by FAO using existing information, literature search, remote sensing or a combination of two or more of them.</w:t>
      </w:r>
    </w:p>
    <w:p w14:paraId="78E04E7F" w14:textId="77777777" w:rsidR="00886510" w:rsidRPr="00C866C3" w:rsidRDefault="00886510" w:rsidP="00886510">
      <w:pPr>
        <w:shd w:val="clear" w:color="auto" w:fill="FFFFFF"/>
        <w:spacing w:after="0"/>
        <w:contextualSpacing/>
        <w:rPr>
          <w:rFonts w:ascii="Calibri" w:hAnsi="Calibri"/>
          <w:color w:val="4A4A4A"/>
          <w:sz w:val="21"/>
          <w:lang w:val="en-US"/>
        </w:rPr>
      </w:pPr>
    </w:p>
    <w:p w14:paraId="503043AA" w14:textId="042F963A"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All data are provided to FAO by countries in the form of a country report through an on-line platform following a standard format, which includes the original data and reference sources and descriptions of how these have been used to estimate the forest area for different points in time.</w:t>
      </w:r>
      <w:r w:rsidR="00F40F94" w:rsidRPr="00C866C3">
        <w:rPr>
          <w:rFonts w:ascii="Calibri" w:hAnsi="Calibri"/>
          <w:color w:val="4A4A4A"/>
          <w:sz w:val="21"/>
          <w:lang w:val="en-US"/>
        </w:rPr>
        <w:t xml:space="preserve"> </w:t>
      </w:r>
      <w:r w:rsidRPr="00C866C3">
        <w:rPr>
          <w:rFonts w:ascii="Calibri" w:hAnsi="Calibri"/>
          <w:color w:val="4A4A4A"/>
          <w:sz w:val="21"/>
          <w:lang w:val="en-US"/>
        </w:rPr>
        <w:t xml:space="preserve">The on-line platform </w:t>
      </w:r>
      <w:r w:rsidR="00A1093D">
        <w:rPr>
          <w:rFonts w:ascii="Calibri" w:eastAsia="Times New Roman" w:hAnsi="Calibri" w:cs="Times New Roman"/>
          <w:color w:val="4A4A4A"/>
          <w:sz w:val="21"/>
          <w:szCs w:val="21"/>
          <w:lang w:val="en-US" w:eastAsia="en-GB"/>
        </w:rPr>
        <w:t>is</w:t>
      </w:r>
      <w:r w:rsidRPr="00C866C3">
        <w:rPr>
          <w:rFonts w:ascii="Calibri" w:hAnsi="Calibri"/>
          <w:color w:val="4A4A4A"/>
          <w:sz w:val="21"/>
          <w:lang w:val="en-US"/>
        </w:rPr>
        <w:t xml:space="preserve"> used for all data entry, review and quality control.</w:t>
      </w:r>
    </w:p>
    <w:p w14:paraId="46313EC9" w14:textId="6A427FAE" w:rsidR="00142798" w:rsidRPr="00CB4DE5" w:rsidRDefault="00142798" w:rsidP="00886510">
      <w:pPr>
        <w:shd w:val="clear" w:color="auto" w:fill="FFFFFF"/>
        <w:spacing w:after="0"/>
        <w:contextualSpacing/>
        <w:rPr>
          <w:rFonts w:ascii="Calibri" w:eastAsia="Times New Roman" w:hAnsi="Calibri" w:cs="Times New Roman"/>
          <w:color w:val="4A4A4A"/>
          <w:sz w:val="21"/>
          <w:szCs w:val="21"/>
          <w:lang w:val="en-US" w:eastAsia="en-GB"/>
        </w:rPr>
      </w:pPr>
    </w:p>
    <w:p w14:paraId="14292E2D" w14:textId="38DCC0B7" w:rsidR="00142798" w:rsidRPr="00CB4DE5" w:rsidRDefault="00301DCA" w:rsidP="00886510">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142798" w:rsidRPr="00CB4DE5">
        <w:rPr>
          <w:rFonts w:ascii="Calibri" w:eastAsia="Times New Roman" w:hAnsi="Calibri" w:cs="Times New Roman"/>
          <w:b/>
          <w:bCs/>
          <w:color w:val="4A4A4A"/>
          <w:sz w:val="21"/>
          <w:szCs w:val="21"/>
          <w:lang w:val="en-US" w:eastAsia="en-GB"/>
        </w:rPr>
        <w:t>and area:</w:t>
      </w:r>
    </w:p>
    <w:p w14:paraId="1D63C3ED" w14:textId="7CCC8BEB" w:rsidR="00142798" w:rsidRPr="00CB4DE5" w:rsidRDefault="005D1BF4" w:rsidP="00A1093D">
      <w:pPr>
        <w:shd w:val="clear" w:color="auto" w:fill="FFFFFF"/>
        <w:spacing w:after="0"/>
        <w:contextualSpacing/>
        <w:rPr>
          <w:rFonts w:ascii="Calibri" w:eastAsia="Times New Roman" w:hAnsi="Calibri" w:cs="Times New Roman"/>
          <w:b/>
          <w:bCs/>
          <w:color w:val="4A4A4A"/>
          <w:sz w:val="21"/>
          <w:szCs w:val="21"/>
          <w:lang w:val="en-US" w:eastAsia="en-GB"/>
        </w:rPr>
      </w:pPr>
      <w:r w:rsidRPr="00E124DB">
        <w:rPr>
          <w:rFonts w:ascii="Calibri" w:eastAsia="Times New Roman" w:hAnsi="Calibri" w:cs="Times New Roman"/>
          <w:color w:val="4A4A4A"/>
          <w:sz w:val="21"/>
          <w:szCs w:val="21"/>
          <w:lang w:val="en-US" w:eastAsia="en-GB"/>
        </w:rPr>
        <w:t xml:space="preserve">The Land Use, Irrigation and Agricultural Practices FAO Questionnaire, </w:t>
      </w:r>
      <w:hyperlink r:id="rId11" w:history="1">
        <w:r w:rsidR="00301DCA" w:rsidRPr="00E124DB">
          <w:rPr>
            <w:rStyle w:val="Hyperlink"/>
            <w:rFonts w:ascii="Calibri" w:eastAsia="Times New Roman" w:hAnsi="Calibri" w:cs="Times New Roman"/>
            <w:sz w:val="21"/>
            <w:szCs w:val="21"/>
            <w:lang w:val="en-US" w:eastAsia="en-GB"/>
          </w:rPr>
          <w:t>http://www.fao.org/economic/ess/ess-home/questionnaires/en/</w:t>
        </w:r>
      </w:hyperlink>
      <w:r w:rsidRPr="00E124DB">
        <w:rPr>
          <w:rFonts w:ascii="Calibri" w:eastAsia="Times New Roman" w:hAnsi="Calibri" w:cs="Times New Roman"/>
          <w:color w:val="4A4A4A"/>
          <w:sz w:val="21"/>
          <w:szCs w:val="21"/>
          <w:lang w:val="en-US" w:eastAsia="en-GB"/>
        </w:rPr>
        <w:t>,</w:t>
      </w:r>
      <w:r w:rsidR="00301DCA">
        <w:rPr>
          <w:rFonts w:ascii="Calibri" w:eastAsia="Times New Roman" w:hAnsi="Calibri" w:cs="Times New Roman"/>
          <w:color w:val="4A4A4A"/>
          <w:sz w:val="21"/>
          <w:szCs w:val="21"/>
          <w:lang w:val="en-US" w:eastAsia="en-GB"/>
        </w:rPr>
        <w:t xml:space="preserve"> </w:t>
      </w:r>
      <w:r w:rsidRPr="00E124DB">
        <w:rPr>
          <w:rFonts w:ascii="Calibri" w:eastAsia="Times New Roman" w:hAnsi="Calibri" w:cs="Times New Roman"/>
          <w:color w:val="4A4A4A"/>
          <w:sz w:val="21"/>
          <w:szCs w:val="21"/>
          <w:lang w:val="en-US" w:eastAsia="en-GB"/>
        </w:rPr>
        <w:t xml:space="preserve">is sent annually to 205 countries and territories reaching out </w:t>
      </w:r>
      <w:bookmarkStart w:id="5" w:name="_Hlk64354761"/>
      <w:r w:rsidRPr="00E124DB">
        <w:rPr>
          <w:rFonts w:ascii="Calibri" w:eastAsia="Times New Roman" w:hAnsi="Calibri" w:cs="Times New Roman"/>
          <w:color w:val="4A4A4A"/>
          <w:sz w:val="21"/>
          <w:szCs w:val="21"/>
          <w:lang w:val="en-US" w:eastAsia="en-GB"/>
        </w:rPr>
        <w:t>the National Focal Points in National Institutions, typically National Statistical Offices, Ministries of Agriculture or other relevant Agencies.</w:t>
      </w:r>
      <w:r w:rsidR="00301DCA">
        <w:rPr>
          <w:rFonts w:ascii="Calibri" w:eastAsia="Times New Roman" w:hAnsi="Calibri" w:cs="Times New Roman"/>
          <w:color w:val="4A4A4A"/>
          <w:sz w:val="21"/>
          <w:szCs w:val="21"/>
          <w:lang w:val="en-US" w:eastAsia="en-GB"/>
        </w:rPr>
        <w:t xml:space="preserve"> The </w:t>
      </w:r>
      <w:bookmarkEnd w:id="5"/>
      <w:r w:rsidR="00301DCA">
        <w:rPr>
          <w:rFonts w:ascii="Calibri" w:eastAsia="Times New Roman" w:hAnsi="Calibri" w:cs="Times New Roman"/>
          <w:color w:val="4A4A4A"/>
          <w:sz w:val="21"/>
          <w:szCs w:val="21"/>
          <w:lang w:eastAsia="en-GB"/>
        </w:rPr>
        <w:t>q</w:t>
      </w:r>
      <w:r w:rsidRPr="00E124DB">
        <w:rPr>
          <w:rFonts w:ascii="Calibri" w:eastAsia="Times New Roman" w:hAnsi="Calibri" w:cs="Times New Roman"/>
          <w:color w:val="4A4A4A"/>
          <w:sz w:val="21"/>
          <w:szCs w:val="21"/>
          <w:lang w:eastAsia="en-GB"/>
        </w:rPr>
        <w:t xml:space="preserve">uestionnaire is sent in Excel format together </w:t>
      </w:r>
      <w:r>
        <w:rPr>
          <w:rFonts w:ascii="Calibri" w:eastAsia="Times New Roman" w:hAnsi="Calibri" w:cs="Times New Roman"/>
          <w:color w:val="4A4A4A"/>
          <w:sz w:val="21"/>
          <w:szCs w:val="21"/>
          <w:lang w:eastAsia="en-GB"/>
        </w:rPr>
        <w:t>with accompany</w:t>
      </w:r>
      <w:r w:rsidR="00301DCA">
        <w:rPr>
          <w:rFonts w:ascii="Calibri" w:eastAsia="Times New Roman" w:hAnsi="Calibri" w:cs="Times New Roman"/>
          <w:color w:val="4A4A4A"/>
          <w:sz w:val="21"/>
          <w:szCs w:val="21"/>
          <w:lang w:eastAsia="en-GB"/>
        </w:rPr>
        <w:t>ing</w:t>
      </w:r>
      <w:r>
        <w:rPr>
          <w:rFonts w:ascii="Calibri" w:eastAsia="Times New Roman" w:hAnsi="Calibri" w:cs="Times New Roman"/>
          <w:color w:val="4A4A4A"/>
          <w:sz w:val="21"/>
          <w:szCs w:val="21"/>
          <w:lang w:eastAsia="en-GB"/>
        </w:rPr>
        <w:t xml:space="preserve"> cover letter explaining </w:t>
      </w:r>
      <w:r w:rsidR="007B3F17">
        <w:rPr>
          <w:rFonts w:ascii="Calibri" w:eastAsia="Times New Roman" w:hAnsi="Calibri" w:cs="Times New Roman"/>
          <w:color w:val="4A4A4A"/>
          <w:sz w:val="21"/>
          <w:szCs w:val="21"/>
          <w:lang w:eastAsia="en-GB"/>
        </w:rPr>
        <w:t xml:space="preserve">FAO mandate and scope of the data collection. </w:t>
      </w:r>
    </w:p>
    <w:p w14:paraId="1FEBB6D3" w14:textId="57811715" w:rsidR="00301DCA" w:rsidRDefault="007B3F17" w:rsidP="000B6F91">
      <w:pPr>
        <w:pStyle w:val="MText"/>
        <w:rPr>
          <w:lang w:val="en-US"/>
        </w:rPr>
      </w:pPr>
      <w:r>
        <w:rPr>
          <w:lang w:val="en-US"/>
        </w:rPr>
        <w:t xml:space="preserve">Data returned in questionnaire are checked against previous reports and for consistency with the other land categories reported in questionnaire. Depending on questionnaire completeness and in case of non-reporting, Land area data may be derived </w:t>
      </w:r>
      <w:r w:rsidR="00116BBF" w:rsidRPr="00116BBF">
        <w:rPr>
          <w:lang w:val="en-US"/>
        </w:rPr>
        <w:t>by subtracting the Inland waters area and the Coastal waters area from the Country area</w:t>
      </w:r>
      <w:r>
        <w:rPr>
          <w:lang w:val="en-US"/>
        </w:rPr>
        <w:t xml:space="preserve">. Missing Land area data are also imputed by carry-forward of the latest value officially reported by the country. </w:t>
      </w:r>
    </w:p>
    <w:p w14:paraId="7D9F065F" w14:textId="51B1753E" w:rsidR="00EC2915" w:rsidRPr="00C866C3" w:rsidRDefault="00576CFA" w:rsidP="000B6F91">
      <w:pPr>
        <w:pStyle w:val="MText"/>
        <w:rPr>
          <w:lang w:val="en-US"/>
        </w:rPr>
      </w:pPr>
      <w:r w:rsidRPr="00C866C3">
        <w:rPr>
          <w:lang w:val="en-US"/>
        </w:rPr>
        <w:tab/>
      </w:r>
    </w:p>
    <w:p w14:paraId="170A2C05" w14:textId="34873ECA" w:rsidR="00E46D96" w:rsidRPr="00C866C3" w:rsidRDefault="00E46D96" w:rsidP="00F719A8">
      <w:pPr>
        <w:pStyle w:val="MHeader2"/>
        <w:rPr>
          <w:lang w:val="en-US"/>
        </w:rPr>
      </w:pPr>
      <w:r w:rsidRPr="00C866C3">
        <w:rPr>
          <w:lang w:val="en-US"/>
        </w:rPr>
        <w:t>3.c. Data collection calendar</w:t>
      </w:r>
    </w:p>
    <w:p w14:paraId="1D04E7A4" w14:textId="77777777" w:rsidR="00B86382" w:rsidRPr="00CB4DE5" w:rsidRDefault="00B86382" w:rsidP="00886510">
      <w:pPr>
        <w:keepNext/>
        <w:keepLines/>
        <w:shd w:val="clear" w:color="auto" w:fill="FFFFFF"/>
        <w:spacing w:after="0"/>
        <w:contextualSpacing/>
        <w:rPr>
          <w:rFonts w:ascii="Calibri" w:eastAsia="Times New Roman" w:hAnsi="Calibri" w:cs="Times New Roman"/>
          <w:b/>
          <w:bCs/>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3BD638C0" w14:textId="0DEBE05B" w:rsidR="00886510" w:rsidRPr="00C866C3" w:rsidRDefault="00886510" w:rsidP="00886510">
      <w:pPr>
        <w:keepNext/>
        <w:keepLines/>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Data collection process for FRA 2020 was launched in 2018 and data collection took place in 2018-2019</w:t>
      </w:r>
      <w:r w:rsidR="00B86382" w:rsidRPr="00CB4DE5">
        <w:rPr>
          <w:rFonts w:ascii="Calibri" w:eastAsia="Times New Roman" w:hAnsi="Calibri" w:cs="Times New Roman"/>
          <w:color w:val="4A4A4A"/>
          <w:sz w:val="21"/>
          <w:szCs w:val="21"/>
          <w:lang w:val="en-US" w:eastAsia="en-GB"/>
        </w:rPr>
        <w:t xml:space="preserve">. </w:t>
      </w:r>
      <w:bookmarkStart w:id="6" w:name="_Hlk64276513"/>
      <w:r w:rsidR="00B86382" w:rsidRPr="00CB4DE5">
        <w:rPr>
          <w:rFonts w:ascii="Calibri" w:eastAsia="Times New Roman" w:hAnsi="Calibri" w:cs="Times New Roman"/>
          <w:color w:val="4A4A4A"/>
          <w:sz w:val="21"/>
          <w:szCs w:val="21"/>
          <w:lang w:val="en-US" w:eastAsia="en-GB"/>
        </w:rPr>
        <w:t>Data collection for the next FRA is expected to start in 2022.</w:t>
      </w:r>
      <w:r w:rsidR="00F40F94" w:rsidRPr="00C866C3">
        <w:rPr>
          <w:rFonts w:ascii="Calibri" w:hAnsi="Calibri"/>
          <w:color w:val="4A4A4A"/>
          <w:sz w:val="21"/>
          <w:lang w:val="en-US"/>
        </w:rPr>
        <w:t xml:space="preserve"> </w:t>
      </w:r>
    </w:p>
    <w:bookmarkEnd w:id="6"/>
    <w:p w14:paraId="01BA862E" w14:textId="5CB978BE" w:rsidR="00EC2915" w:rsidRPr="00CB4DE5" w:rsidRDefault="00EC2915" w:rsidP="00576CFA">
      <w:pPr>
        <w:pStyle w:val="MText"/>
        <w:rPr>
          <w:lang w:val="en-US"/>
        </w:rPr>
      </w:pPr>
    </w:p>
    <w:p w14:paraId="62796514" w14:textId="5B1B3814" w:rsidR="00B86382" w:rsidRPr="00CB4DE5" w:rsidRDefault="00301DCA" w:rsidP="00B86382">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B86382" w:rsidRPr="00CB4DE5">
        <w:rPr>
          <w:rFonts w:ascii="Calibri" w:eastAsia="Times New Roman" w:hAnsi="Calibri" w:cs="Times New Roman"/>
          <w:b/>
          <w:bCs/>
          <w:color w:val="4A4A4A"/>
          <w:sz w:val="21"/>
          <w:szCs w:val="21"/>
          <w:lang w:val="en-US" w:eastAsia="en-GB"/>
        </w:rPr>
        <w:t>and area:</w:t>
      </w:r>
    </w:p>
    <w:p w14:paraId="315793DB" w14:textId="12E1D880" w:rsidR="00FA022F" w:rsidRPr="00301DCA" w:rsidRDefault="007B3F17" w:rsidP="00B86382">
      <w:pPr>
        <w:shd w:val="clear" w:color="auto" w:fill="FFFFFF"/>
        <w:spacing w:after="0"/>
        <w:contextualSpacing/>
        <w:rPr>
          <w:rFonts w:ascii="Calibri" w:eastAsia="Times New Roman" w:hAnsi="Calibri" w:cs="Times New Roman"/>
          <w:color w:val="4A4A4A"/>
          <w:sz w:val="21"/>
          <w:szCs w:val="21"/>
          <w:lang w:val="en-US" w:eastAsia="en-GB"/>
        </w:rPr>
      </w:pPr>
      <w:r w:rsidRPr="00301DCA">
        <w:rPr>
          <w:rFonts w:ascii="Calibri" w:eastAsia="Times New Roman" w:hAnsi="Calibri" w:cs="Times New Roman"/>
          <w:color w:val="4A4A4A"/>
          <w:sz w:val="21"/>
          <w:szCs w:val="21"/>
          <w:lang w:val="en-US" w:eastAsia="en-GB"/>
        </w:rPr>
        <w:t xml:space="preserve">The FAO Land Use, Irrigation and Agricultural Practices questionnaire is part of the joint dispatch of </w:t>
      </w:r>
      <w:r w:rsidR="00FA022F" w:rsidRPr="00301DCA">
        <w:rPr>
          <w:rFonts w:ascii="Calibri" w:eastAsia="Times New Roman" w:hAnsi="Calibri" w:cs="Times New Roman"/>
          <w:color w:val="4A4A4A"/>
          <w:sz w:val="21"/>
          <w:szCs w:val="21"/>
          <w:lang w:val="en-US" w:eastAsia="en-GB"/>
        </w:rPr>
        <w:t>three</w:t>
      </w:r>
      <w:r w:rsidRPr="00301DCA">
        <w:rPr>
          <w:rFonts w:ascii="Calibri" w:eastAsia="Times New Roman" w:hAnsi="Calibri" w:cs="Times New Roman"/>
          <w:color w:val="4A4A4A"/>
          <w:sz w:val="21"/>
          <w:szCs w:val="21"/>
          <w:lang w:val="en-US" w:eastAsia="en-GB"/>
        </w:rPr>
        <w:t xml:space="preserve"> </w:t>
      </w:r>
      <w:r w:rsidR="00FA022F" w:rsidRPr="00301DCA">
        <w:rPr>
          <w:rFonts w:ascii="Calibri" w:eastAsia="Times New Roman" w:hAnsi="Calibri" w:cs="Times New Roman"/>
          <w:color w:val="4A4A4A"/>
          <w:sz w:val="21"/>
          <w:szCs w:val="21"/>
          <w:lang w:val="en-US" w:eastAsia="en-GB"/>
        </w:rPr>
        <w:t xml:space="preserve">questionnaires on </w:t>
      </w:r>
      <w:proofErr w:type="spellStart"/>
      <w:r w:rsidRPr="00301DCA">
        <w:rPr>
          <w:rFonts w:ascii="Calibri" w:eastAsia="Times New Roman" w:hAnsi="Calibri" w:cs="Times New Roman"/>
          <w:color w:val="4A4A4A"/>
          <w:sz w:val="21"/>
          <w:szCs w:val="21"/>
          <w:lang w:val="en-US" w:eastAsia="en-GB"/>
        </w:rPr>
        <w:t>agr</w:t>
      </w:r>
      <w:r w:rsidR="00FA022F" w:rsidRPr="00301DCA">
        <w:rPr>
          <w:rFonts w:ascii="Calibri" w:eastAsia="Times New Roman" w:hAnsi="Calibri" w:cs="Times New Roman"/>
          <w:color w:val="4A4A4A"/>
          <w:sz w:val="21"/>
          <w:szCs w:val="21"/>
          <w:lang w:val="en-US" w:eastAsia="en-GB"/>
        </w:rPr>
        <w:t>i</w:t>
      </w:r>
      <w:proofErr w:type="spellEnd"/>
      <w:r w:rsidRPr="00301DCA">
        <w:rPr>
          <w:rFonts w:ascii="Calibri" w:eastAsia="Times New Roman" w:hAnsi="Calibri" w:cs="Times New Roman"/>
          <w:color w:val="4A4A4A"/>
          <w:sz w:val="21"/>
          <w:szCs w:val="21"/>
          <w:lang w:val="en-US" w:eastAsia="en-GB"/>
        </w:rPr>
        <w:t>-environmental</w:t>
      </w:r>
      <w:r w:rsidR="00FA022F" w:rsidRPr="00301DCA">
        <w:rPr>
          <w:rFonts w:ascii="Calibri" w:eastAsia="Times New Roman" w:hAnsi="Calibri" w:cs="Times New Roman"/>
          <w:color w:val="4A4A4A"/>
          <w:sz w:val="21"/>
          <w:szCs w:val="21"/>
          <w:lang w:val="en-US" w:eastAsia="en-GB"/>
        </w:rPr>
        <w:t xml:space="preserve"> statistics. </w:t>
      </w:r>
      <w:r w:rsidRPr="00301DCA">
        <w:rPr>
          <w:rFonts w:ascii="Calibri" w:eastAsia="Times New Roman" w:hAnsi="Calibri" w:cs="Times New Roman"/>
          <w:color w:val="4A4A4A"/>
          <w:sz w:val="21"/>
          <w:szCs w:val="21"/>
          <w:lang w:val="en-US" w:eastAsia="en-GB"/>
        </w:rPr>
        <w:t xml:space="preserve">Questionnaires are dispatched </w:t>
      </w:r>
      <w:r w:rsidR="00FA022F" w:rsidRPr="00301DCA">
        <w:rPr>
          <w:rFonts w:ascii="Calibri" w:eastAsia="Times New Roman" w:hAnsi="Calibri" w:cs="Times New Roman"/>
          <w:color w:val="4A4A4A"/>
          <w:sz w:val="21"/>
          <w:szCs w:val="21"/>
          <w:lang w:val="en-US" w:eastAsia="en-GB"/>
        </w:rPr>
        <w:t xml:space="preserve">annually </w:t>
      </w:r>
      <w:r w:rsidRPr="00301DCA">
        <w:rPr>
          <w:rFonts w:ascii="Calibri" w:eastAsia="Times New Roman" w:hAnsi="Calibri" w:cs="Times New Roman"/>
          <w:color w:val="4A4A4A"/>
          <w:sz w:val="21"/>
          <w:szCs w:val="21"/>
          <w:lang w:val="en-US" w:eastAsia="en-GB"/>
        </w:rPr>
        <w:t>on 4th October</w:t>
      </w:r>
      <w:r w:rsidR="00FA022F" w:rsidRPr="00301DCA">
        <w:rPr>
          <w:rFonts w:ascii="Calibri" w:eastAsia="Times New Roman" w:hAnsi="Calibri" w:cs="Times New Roman"/>
          <w:color w:val="4A4A4A"/>
          <w:sz w:val="21"/>
          <w:szCs w:val="21"/>
          <w:lang w:val="en-US" w:eastAsia="en-GB"/>
        </w:rPr>
        <w:t xml:space="preserve"> with deadline after 4 weeks; first and second follow-ups are sent within 5 and 10 weeks </w:t>
      </w:r>
      <w:r w:rsidR="00301DCA" w:rsidRPr="00301DCA">
        <w:rPr>
          <w:rFonts w:ascii="Calibri" w:eastAsia="Times New Roman" w:hAnsi="Calibri" w:cs="Times New Roman"/>
          <w:color w:val="4A4A4A"/>
          <w:sz w:val="21"/>
          <w:szCs w:val="21"/>
          <w:lang w:val="en-US" w:eastAsia="en-GB"/>
        </w:rPr>
        <w:t>respectively from</w:t>
      </w:r>
      <w:r w:rsidR="00FA022F" w:rsidRPr="00301DCA">
        <w:rPr>
          <w:rFonts w:ascii="Calibri" w:eastAsia="Times New Roman" w:hAnsi="Calibri" w:cs="Times New Roman"/>
          <w:color w:val="4A4A4A"/>
          <w:sz w:val="21"/>
          <w:szCs w:val="21"/>
          <w:lang w:val="en-US" w:eastAsia="en-GB"/>
        </w:rPr>
        <w:t xml:space="preserve"> the dispatch date. </w:t>
      </w:r>
    </w:p>
    <w:p w14:paraId="101DA7C2" w14:textId="77777777" w:rsidR="00B86382" w:rsidRPr="00C866C3" w:rsidRDefault="00B86382" w:rsidP="00576CFA">
      <w:pPr>
        <w:pStyle w:val="MText"/>
        <w:rPr>
          <w:lang w:val="en-US"/>
        </w:rPr>
      </w:pPr>
    </w:p>
    <w:p w14:paraId="7D466604" w14:textId="674844F0" w:rsidR="00E46D96" w:rsidRPr="00C866C3" w:rsidRDefault="00E46D96" w:rsidP="00F719A8">
      <w:pPr>
        <w:pStyle w:val="MHeader2"/>
        <w:rPr>
          <w:lang w:val="en-US"/>
        </w:rPr>
      </w:pPr>
      <w:r w:rsidRPr="00C866C3">
        <w:rPr>
          <w:lang w:val="en-US"/>
        </w:rPr>
        <w:lastRenderedPageBreak/>
        <w:t>3.d. Data release calendar</w:t>
      </w:r>
    </w:p>
    <w:p w14:paraId="387C6DE2" w14:textId="77777777" w:rsidR="00B86382" w:rsidRPr="00CB4DE5" w:rsidRDefault="00B86382" w:rsidP="00886510">
      <w:pPr>
        <w:shd w:val="clear" w:color="auto" w:fill="FFFFFF"/>
        <w:spacing w:after="0"/>
        <w:contextualSpacing/>
        <w:rPr>
          <w:rFonts w:ascii="Calibri" w:eastAsia="Times New Roman" w:hAnsi="Calibri" w:cs="Times New Roman"/>
          <w:b/>
          <w:bCs/>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504B7A63" w14:textId="77A9C154"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Data with updated time series and including year 2020 </w:t>
      </w:r>
      <w:r w:rsidR="00B86382" w:rsidRPr="00CB4DE5">
        <w:rPr>
          <w:rFonts w:ascii="Calibri" w:eastAsia="Times New Roman" w:hAnsi="Calibri" w:cs="Times New Roman"/>
          <w:color w:val="4A4A4A"/>
          <w:sz w:val="21"/>
          <w:szCs w:val="21"/>
          <w:lang w:val="en-US" w:eastAsia="en-GB"/>
        </w:rPr>
        <w:t>was</w:t>
      </w:r>
      <w:r w:rsidRPr="00C866C3">
        <w:rPr>
          <w:rFonts w:ascii="Calibri" w:hAnsi="Calibri"/>
          <w:color w:val="4A4A4A"/>
          <w:sz w:val="21"/>
          <w:lang w:val="en-US"/>
        </w:rPr>
        <w:t xml:space="preserve"> released </w:t>
      </w:r>
      <w:r w:rsidR="00E379D2" w:rsidRPr="00CB4DE5">
        <w:rPr>
          <w:rFonts w:ascii="Calibri" w:eastAsia="Times New Roman" w:hAnsi="Calibri" w:cs="Times New Roman"/>
          <w:color w:val="4A4A4A"/>
          <w:sz w:val="21"/>
          <w:szCs w:val="21"/>
          <w:lang w:val="en-US" w:eastAsia="en-GB"/>
        </w:rPr>
        <w:t>July</w:t>
      </w:r>
      <w:r w:rsidR="00E379D2" w:rsidRPr="00C866C3">
        <w:rPr>
          <w:rFonts w:ascii="Calibri" w:hAnsi="Calibri"/>
          <w:color w:val="4A4A4A"/>
          <w:sz w:val="21"/>
          <w:lang w:val="en-US"/>
        </w:rPr>
        <w:t xml:space="preserve"> </w:t>
      </w:r>
      <w:r w:rsidRPr="00C866C3">
        <w:rPr>
          <w:rFonts w:ascii="Calibri" w:hAnsi="Calibri"/>
          <w:color w:val="4A4A4A"/>
          <w:sz w:val="21"/>
          <w:lang w:val="en-US"/>
        </w:rPr>
        <w:t>2020.</w:t>
      </w:r>
      <w:r w:rsidRPr="00CB4DE5">
        <w:rPr>
          <w:rFonts w:ascii="Calibri" w:eastAsia="Times New Roman" w:hAnsi="Calibri" w:cs="Times New Roman"/>
          <w:color w:val="4A4A4A"/>
          <w:sz w:val="21"/>
          <w:szCs w:val="21"/>
          <w:lang w:val="en-US" w:eastAsia="en-GB"/>
        </w:rPr>
        <w:t xml:space="preserve"> </w:t>
      </w:r>
      <w:bookmarkStart w:id="7" w:name="_Hlk64276684"/>
      <w:r w:rsidR="00B86382" w:rsidRPr="00CB4DE5">
        <w:rPr>
          <w:rFonts w:ascii="Calibri" w:eastAsia="Times New Roman" w:hAnsi="Calibri" w:cs="Times New Roman"/>
          <w:color w:val="4A4A4A"/>
          <w:sz w:val="21"/>
          <w:szCs w:val="21"/>
          <w:lang w:val="en-US" w:eastAsia="en-GB"/>
        </w:rPr>
        <w:t>Next release of a complete FRA dataset is scheduled for 2025.</w:t>
      </w:r>
      <w:r w:rsidR="00B86382" w:rsidRPr="00C866C3">
        <w:rPr>
          <w:rFonts w:ascii="Calibri" w:hAnsi="Calibri"/>
          <w:color w:val="4A4A4A"/>
          <w:sz w:val="21"/>
          <w:lang w:val="en-US"/>
        </w:rPr>
        <w:t xml:space="preserve"> </w:t>
      </w:r>
      <w:bookmarkEnd w:id="7"/>
      <w:r w:rsidRPr="00C866C3">
        <w:rPr>
          <w:rFonts w:ascii="Calibri" w:hAnsi="Calibri"/>
          <w:color w:val="4A4A4A"/>
          <w:sz w:val="21"/>
          <w:lang w:val="en-US"/>
        </w:rPr>
        <w:t>The possibilities of a more frequent reporting on forest area and other key indicators are currently being evaluated</w:t>
      </w:r>
      <w:bookmarkStart w:id="8" w:name="_Hlk64276697"/>
      <w:r w:rsidR="00B86382" w:rsidRPr="00CB4DE5">
        <w:rPr>
          <w:rFonts w:ascii="Calibri" w:eastAsia="Times New Roman" w:hAnsi="Calibri" w:cs="Times New Roman"/>
          <w:color w:val="4A4A4A"/>
          <w:sz w:val="21"/>
          <w:szCs w:val="21"/>
          <w:lang w:val="en-US" w:eastAsia="en-GB"/>
        </w:rPr>
        <w:t>, and some countries may provide updates on forest area before 2025</w:t>
      </w:r>
      <w:r w:rsidRPr="00CB4DE5">
        <w:rPr>
          <w:rFonts w:ascii="Calibri" w:eastAsia="Times New Roman" w:hAnsi="Calibri" w:cs="Times New Roman"/>
          <w:color w:val="4A4A4A"/>
          <w:sz w:val="21"/>
          <w:szCs w:val="21"/>
          <w:lang w:val="en-US" w:eastAsia="en-GB"/>
        </w:rPr>
        <w:t>.</w:t>
      </w:r>
      <w:r w:rsidR="00B86382" w:rsidRPr="00CB4DE5">
        <w:rPr>
          <w:rFonts w:ascii="Calibri" w:eastAsia="Times New Roman" w:hAnsi="Calibri" w:cs="Times New Roman"/>
          <w:color w:val="4A4A4A"/>
          <w:sz w:val="21"/>
          <w:szCs w:val="21"/>
          <w:lang w:val="en-US" w:eastAsia="en-GB"/>
        </w:rPr>
        <w:t xml:space="preserve"> </w:t>
      </w:r>
    </w:p>
    <w:bookmarkEnd w:id="8"/>
    <w:p w14:paraId="371BB106" w14:textId="40085E34" w:rsidR="00B86382" w:rsidRPr="00CB4DE5" w:rsidRDefault="00B86382" w:rsidP="00886510">
      <w:pPr>
        <w:shd w:val="clear" w:color="auto" w:fill="FFFFFF"/>
        <w:spacing w:after="0"/>
        <w:contextualSpacing/>
        <w:rPr>
          <w:rFonts w:ascii="Calibri" w:eastAsia="Times New Roman" w:hAnsi="Calibri" w:cs="Times New Roman"/>
          <w:color w:val="4A4A4A"/>
          <w:sz w:val="21"/>
          <w:szCs w:val="21"/>
          <w:lang w:val="en-US" w:eastAsia="en-GB"/>
        </w:rPr>
      </w:pPr>
    </w:p>
    <w:p w14:paraId="16B927F7" w14:textId="7F8E3CAE" w:rsidR="00B86382" w:rsidRPr="00CB4DE5" w:rsidRDefault="00996DD3" w:rsidP="00B86382">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B86382" w:rsidRPr="00CB4DE5">
        <w:rPr>
          <w:rFonts w:ascii="Calibri" w:eastAsia="Times New Roman" w:hAnsi="Calibri" w:cs="Times New Roman"/>
          <w:b/>
          <w:bCs/>
          <w:color w:val="4A4A4A"/>
          <w:sz w:val="21"/>
          <w:szCs w:val="21"/>
          <w:lang w:val="en-US" w:eastAsia="en-GB"/>
        </w:rPr>
        <w:t>and area:</w:t>
      </w:r>
    </w:p>
    <w:p w14:paraId="2DDDF336" w14:textId="6E41BE58" w:rsidR="00FA022F" w:rsidRPr="00CB4DE5" w:rsidRDefault="00FA022F" w:rsidP="00B86382">
      <w:pPr>
        <w:shd w:val="clear" w:color="auto" w:fill="FFFFFF"/>
        <w:spacing w:after="0"/>
        <w:contextualSpacing/>
        <w:rPr>
          <w:rFonts w:ascii="Calibri" w:eastAsia="Times New Roman" w:hAnsi="Calibri" w:cs="Times New Roman"/>
          <w:color w:val="4A4A4A"/>
          <w:sz w:val="21"/>
          <w:szCs w:val="21"/>
          <w:lang w:val="en-US" w:eastAsia="en-GB"/>
        </w:rPr>
      </w:pPr>
      <w:r>
        <w:rPr>
          <w:rFonts w:ascii="Calibri" w:eastAsia="Times New Roman" w:hAnsi="Calibri" w:cs="Times New Roman"/>
          <w:color w:val="4A4A4A"/>
          <w:sz w:val="21"/>
          <w:szCs w:val="21"/>
          <w:lang w:val="en-US" w:eastAsia="en-GB"/>
        </w:rPr>
        <w:t xml:space="preserve">Data release </w:t>
      </w:r>
      <w:r w:rsidR="00996DD3">
        <w:rPr>
          <w:rFonts w:ascii="Calibri" w:eastAsia="Times New Roman" w:hAnsi="Calibri" w:cs="Times New Roman"/>
          <w:color w:val="4A4A4A"/>
          <w:sz w:val="21"/>
          <w:szCs w:val="21"/>
          <w:lang w:val="en-US" w:eastAsia="en-GB"/>
        </w:rPr>
        <w:t xml:space="preserve">in </w:t>
      </w:r>
      <w:r>
        <w:rPr>
          <w:rFonts w:ascii="Calibri" w:eastAsia="Times New Roman" w:hAnsi="Calibri" w:cs="Times New Roman"/>
          <w:color w:val="4A4A4A"/>
          <w:sz w:val="21"/>
          <w:szCs w:val="21"/>
          <w:lang w:val="en-US" w:eastAsia="en-GB"/>
        </w:rPr>
        <w:t>year 2021 is planned for 30 June 2021</w:t>
      </w:r>
      <w:r w:rsidR="00F40F94">
        <w:rPr>
          <w:rFonts w:ascii="Calibri" w:eastAsia="Times New Roman" w:hAnsi="Calibri" w:cs="Times New Roman"/>
          <w:color w:val="4A4A4A"/>
          <w:sz w:val="21"/>
          <w:szCs w:val="21"/>
          <w:lang w:val="en-US" w:eastAsia="en-GB"/>
        </w:rPr>
        <w:t>.</w:t>
      </w:r>
    </w:p>
    <w:p w14:paraId="64C749BD" w14:textId="77777777" w:rsidR="00EC2915" w:rsidRPr="00C866C3" w:rsidRDefault="00EC2915" w:rsidP="00576CFA">
      <w:pPr>
        <w:pStyle w:val="MText"/>
        <w:rPr>
          <w:lang w:val="en-US"/>
        </w:rPr>
      </w:pPr>
    </w:p>
    <w:p w14:paraId="3A4F3065" w14:textId="3AD52F9D" w:rsidR="00E46D96" w:rsidRPr="00C866C3" w:rsidRDefault="00E46D96" w:rsidP="00F719A8">
      <w:pPr>
        <w:pStyle w:val="MHeader2"/>
        <w:rPr>
          <w:lang w:val="en-US"/>
        </w:rPr>
      </w:pPr>
      <w:r w:rsidRPr="00C866C3">
        <w:rPr>
          <w:lang w:val="en-US"/>
        </w:rPr>
        <w:t>3.e. Data providers</w:t>
      </w:r>
    </w:p>
    <w:p w14:paraId="7B002CD5" w14:textId="01140327" w:rsidR="00B86382" w:rsidRPr="00CB4DE5" w:rsidRDefault="00B86382" w:rsidP="00886510">
      <w:pPr>
        <w:shd w:val="clear" w:color="auto" w:fill="FFFFFF"/>
        <w:spacing w:after="0"/>
        <w:contextualSpacing/>
        <w:rPr>
          <w:rFonts w:ascii="Calibri" w:eastAsia="Times New Roman" w:hAnsi="Calibri" w:cs="Times New Roman"/>
          <w:b/>
          <w:bCs/>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2A7CBFA3" w14:textId="77C993CE" w:rsidR="00886510" w:rsidRPr="00C866C3" w:rsidRDefault="00B86382" w:rsidP="00886510">
      <w:pPr>
        <w:shd w:val="clear" w:color="auto" w:fill="FFFFFF"/>
        <w:spacing w:after="0"/>
        <w:contextualSpacing/>
        <w:rPr>
          <w:rFonts w:ascii="Calibri" w:hAnsi="Calibri"/>
          <w:color w:val="4A4A4A"/>
          <w:sz w:val="21"/>
          <w:lang w:val="en-US"/>
        </w:rPr>
      </w:pPr>
      <w:r w:rsidRPr="00CB4DE5">
        <w:rPr>
          <w:rFonts w:ascii="Calibri" w:eastAsia="Times New Roman" w:hAnsi="Calibri" w:cs="Times New Roman"/>
          <w:color w:val="4A4A4A"/>
          <w:sz w:val="21"/>
          <w:szCs w:val="21"/>
          <w:lang w:val="en-US" w:eastAsia="en-GB"/>
        </w:rPr>
        <w:t>D</w:t>
      </w:r>
      <w:r w:rsidR="00886510" w:rsidRPr="00CB4DE5">
        <w:rPr>
          <w:rFonts w:ascii="Calibri" w:eastAsia="Times New Roman" w:hAnsi="Calibri" w:cs="Times New Roman"/>
          <w:color w:val="4A4A4A"/>
          <w:sz w:val="21"/>
          <w:szCs w:val="21"/>
          <w:lang w:val="en-US" w:eastAsia="en-GB"/>
        </w:rPr>
        <w:t xml:space="preserve">ata </w:t>
      </w:r>
      <w:r w:rsidRPr="00CB4DE5">
        <w:rPr>
          <w:rFonts w:ascii="Calibri" w:eastAsia="Times New Roman" w:hAnsi="Calibri" w:cs="Times New Roman"/>
          <w:color w:val="4A4A4A"/>
          <w:sz w:val="21"/>
          <w:szCs w:val="21"/>
          <w:lang w:val="en-US" w:eastAsia="en-GB"/>
        </w:rPr>
        <w:t>on forest area</w:t>
      </w:r>
      <w:r w:rsidRPr="00C866C3">
        <w:rPr>
          <w:rFonts w:ascii="Calibri" w:hAnsi="Calibri"/>
          <w:color w:val="4A4A4A"/>
          <w:sz w:val="21"/>
          <w:lang w:val="en-US"/>
        </w:rPr>
        <w:t xml:space="preserve"> </w:t>
      </w:r>
      <w:r w:rsidR="00886510" w:rsidRPr="00C866C3">
        <w:rPr>
          <w:rFonts w:ascii="Calibri" w:hAnsi="Calibri"/>
          <w:color w:val="4A4A4A"/>
          <w:sz w:val="21"/>
          <w:lang w:val="en-US"/>
        </w:rPr>
        <w:t>are provided by the countries</w:t>
      </w:r>
      <w:r w:rsidR="00886510" w:rsidRPr="00CB4DE5">
        <w:rPr>
          <w:rFonts w:ascii="Calibri" w:eastAsia="Times New Roman" w:hAnsi="Calibri" w:cs="Times New Roman"/>
          <w:color w:val="4A4A4A"/>
          <w:sz w:val="21"/>
          <w:szCs w:val="21"/>
          <w:lang w:val="en-US" w:eastAsia="en-GB"/>
        </w:rPr>
        <w:t xml:space="preserve"> </w:t>
      </w:r>
      <w:r w:rsidRPr="00CB4DE5">
        <w:rPr>
          <w:rFonts w:ascii="Calibri" w:eastAsia="Times New Roman" w:hAnsi="Calibri" w:cs="Times New Roman"/>
          <w:color w:val="4A4A4A"/>
          <w:sz w:val="21"/>
          <w:szCs w:val="21"/>
          <w:lang w:val="en-US" w:eastAsia="en-GB"/>
        </w:rPr>
        <w:t>and reported to FAO</w:t>
      </w:r>
      <w:r w:rsidRPr="00C866C3">
        <w:rPr>
          <w:rFonts w:ascii="Calibri" w:hAnsi="Calibri"/>
          <w:color w:val="4A4A4A"/>
          <w:sz w:val="21"/>
          <w:lang w:val="en-US"/>
        </w:rPr>
        <w:t xml:space="preserve"> </w:t>
      </w:r>
      <w:r w:rsidR="00886510" w:rsidRPr="00C866C3">
        <w:rPr>
          <w:rFonts w:ascii="Calibri" w:hAnsi="Calibri"/>
          <w:color w:val="4A4A4A"/>
          <w:sz w:val="21"/>
          <w:lang w:val="en-US"/>
        </w:rPr>
        <w:t xml:space="preserve">through a global network of officially nominated national correspondents. For the countries and territories which do not have a national correspondent, a </w:t>
      </w:r>
      <w:r w:rsidR="00F40F94">
        <w:rPr>
          <w:rFonts w:ascii="Calibri" w:eastAsia="Times New Roman" w:hAnsi="Calibri" w:cs="Times New Roman"/>
          <w:color w:val="4A4A4A"/>
          <w:sz w:val="21"/>
          <w:szCs w:val="21"/>
          <w:lang w:val="en-US" w:eastAsia="en-GB"/>
        </w:rPr>
        <w:t>desk study</w:t>
      </w:r>
      <w:r w:rsidR="00886510" w:rsidRPr="00C866C3">
        <w:rPr>
          <w:rFonts w:ascii="Calibri" w:hAnsi="Calibri"/>
          <w:color w:val="4A4A4A"/>
          <w:sz w:val="21"/>
          <w:lang w:val="en-US"/>
        </w:rPr>
        <w:t xml:space="preserve"> is prepared by FAO using previously reported information, literature search, remote sensing or their combination.</w:t>
      </w:r>
    </w:p>
    <w:p w14:paraId="18BBDA14" w14:textId="79AA00E9" w:rsidR="00B86382" w:rsidRPr="00CB4DE5" w:rsidRDefault="00B86382" w:rsidP="00886510">
      <w:pPr>
        <w:shd w:val="clear" w:color="auto" w:fill="FFFFFF"/>
        <w:spacing w:after="0"/>
        <w:contextualSpacing/>
        <w:rPr>
          <w:rFonts w:ascii="Calibri" w:eastAsia="Times New Roman" w:hAnsi="Calibri" w:cs="Times New Roman"/>
          <w:color w:val="4A4A4A"/>
          <w:sz w:val="21"/>
          <w:szCs w:val="21"/>
          <w:lang w:val="en-US" w:eastAsia="en-GB"/>
        </w:rPr>
      </w:pPr>
    </w:p>
    <w:p w14:paraId="2146F318" w14:textId="3622C66D" w:rsidR="00B86382" w:rsidRPr="00CB4DE5" w:rsidRDefault="00A1093D" w:rsidP="00B86382">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B86382" w:rsidRPr="00CB4DE5">
        <w:rPr>
          <w:rFonts w:ascii="Calibri" w:eastAsia="Times New Roman" w:hAnsi="Calibri" w:cs="Times New Roman"/>
          <w:b/>
          <w:bCs/>
          <w:color w:val="4A4A4A"/>
          <w:sz w:val="21"/>
          <w:szCs w:val="21"/>
          <w:lang w:val="en-US" w:eastAsia="en-GB"/>
        </w:rPr>
        <w:t>and area:</w:t>
      </w:r>
    </w:p>
    <w:p w14:paraId="09F1EE13" w14:textId="2E17D133" w:rsidR="00B86382" w:rsidRPr="00CB4DE5" w:rsidRDefault="000D2F2F" w:rsidP="00886510">
      <w:pPr>
        <w:shd w:val="clear" w:color="auto" w:fill="FFFFFF"/>
        <w:spacing w:after="0"/>
        <w:contextualSpacing/>
        <w:rPr>
          <w:rFonts w:ascii="Calibri" w:eastAsia="Times New Roman" w:hAnsi="Calibri" w:cs="Times New Roman"/>
          <w:color w:val="4A4A4A"/>
          <w:sz w:val="21"/>
          <w:szCs w:val="21"/>
          <w:lang w:val="en-US" w:eastAsia="en-GB"/>
        </w:rPr>
      </w:pPr>
      <w:r w:rsidRPr="000D2F2F">
        <w:rPr>
          <w:rFonts w:ascii="Calibri" w:eastAsia="Times New Roman" w:hAnsi="Calibri" w:cs="Times New Roman"/>
          <w:color w:val="4A4A4A"/>
          <w:sz w:val="21"/>
          <w:szCs w:val="21"/>
          <w:lang w:val="en-US" w:eastAsia="en-GB"/>
        </w:rPr>
        <w:t>Data are provided by the National Focal Points in National Institutions, typically National Statistical Offices, Ministries of Agriculture or other relevant Agencies.</w:t>
      </w:r>
      <w:r w:rsidR="00996DD3">
        <w:rPr>
          <w:rFonts w:ascii="Calibri" w:eastAsia="Times New Roman" w:hAnsi="Calibri" w:cs="Times New Roman"/>
          <w:color w:val="4A4A4A"/>
          <w:sz w:val="21"/>
          <w:szCs w:val="21"/>
          <w:lang w:val="en-US" w:eastAsia="en-GB"/>
        </w:rPr>
        <w:t xml:space="preserve"> </w:t>
      </w:r>
      <w:r>
        <w:rPr>
          <w:rFonts w:ascii="Calibri" w:eastAsia="Times New Roman" w:hAnsi="Calibri" w:cs="Times New Roman"/>
          <w:color w:val="4A4A4A"/>
          <w:sz w:val="21"/>
          <w:szCs w:val="21"/>
          <w:lang w:val="en-US" w:eastAsia="en-GB"/>
        </w:rPr>
        <w:t>Records of National Focal Points is maintained up to date through the questionnaire cover where countr</w:t>
      </w:r>
      <w:r w:rsidR="00A1093D">
        <w:rPr>
          <w:rFonts w:ascii="Calibri" w:eastAsia="Times New Roman" w:hAnsi="Calibri" w:cs="Times New Roman"/>
          <w:color w:val="4A4A4A"/>
          <w:sz w:val="21"/>
          <w:szCs w:val="21"/>
          <w:lang w:val="en-US" w:eastAsia="en-GB"/>
        </w:rPr>
        <w:t>ies</w:t>
      </w:r>
      <w:r>
        <w:rPr>
          <w:rFonts w:ascii="Calibri" w:eastAsia="Times New Roman" w:hAnsi="Calibri" w:cs="Times New Roman"/>
          <w:color w:val="4A4A4A"/>
          <w:sz w:val="21"/>
          <w:szCs w:val="21"/>
          <w:lang w:val="en-US" w:eastAsia="en-GB"/>
        </w:rPr>
        <w:t xml:space="preserve"> </w:t>
      </w:r>
      <w:r w:rsidR="00A1093D">
        <w:rPr>
          <w:rFonts w:ascii="Calibri" w:eastAsia="Times New Roman" w:hAnsi="Calibri" w:cs="Times New Roman"/>
          <w:color w:val="4A4A4A"/>
          <w:sz w:val="21"/>
          <w:szCs w:val="21"/>
          <w:lang w:val="en-US" w:eastAsia="en-GB"/>
        </w:rPr>
        <w:t>are</w:t>
      </w:r>
      <w:r>
        <w:rPr>
          <w:rFonts w:ascii="Calibri" w:eastAsia="Times New Roman" w:hAnsi="Calibri" w:cs="Times New Roman"/>
          <w:color w:val="4A4A4A"/>
          <w:sz w:val="21"/>
          <w:szCs w:val="21"/>
          <w:lang w:val="en-US" w:eastAsia="en-GB"/>
        </w:rPr>
        <w:t xml:space="preserve"> requested to confirm the focal point contact detail (e.g. </w:t>
      </w:r>
      <w:r w:rsidRPr="000D2F2F">
        <w:rPr>
          <w:rFonts w:ascii="Calibri" w:eastAsia="Times New Roman" w:hAnsi="Calibri" w:cs="Times New Roman"/>
          <w:color w:val="4A4A4A"/>
          <w:sz w:val="21"/>
          <w:szCs w:val="21"/>
          <w:lang w:val="en-US" w:eastAsia="en-GB"/>
        </w:rPr>
        <w:t>Name</w:t>
      </w:r>
      <w:r>
        <w:rPr>
          <w:rFonts w:ascii="Calibri" w:eastAsia="Times New Roman" w:hAnsi="Calibri" w:cs="Times New Roman"/>
          <w:color w:val="4A4A4A"/>
          <w:sz w:val="21"/>
          <w:szCs w:val="21"/>
          <w:lang w:val="en-US" w:eastAsia="en-GB"/>
        </w:rPr>
        <w:t xml:space="preserve">, </w:t>
      </w:r>
      <w:r w:rsidRPr="000D2F2F">
        <w:rPr>
          <w:rFonts w:ascii="Calibri" w:eastAsia="Times New Roman" w:hAnsi="Calibri" w:cs="Times New Roman"/>
          <w:color w:val="4A4A4A"/>
          <w:sz w:val="21"/>
          <w:szCs w:val="21"/>
          <w:lang w:val="en-US" w:eastAsia="en-GB"/>
        </w:rPr>
        <w:t>Title</w:t>
      </w:r>
      <w:r>
        <w:rPr>
          <w:rFonts w:ascii="Calibri" w:eastAsia="Times New Roman" w:hAnsi="Calibri" w:cs="Times New Roman"/>
          <w:color w:val="4A4A4A"/>
          <w:sz w:val="21"/>
          <w:szCs w:val="21"/>
          <w:lang w:val="en-US" w:eastAsia="en-GB"/>
        </w:rPr>
        <w:t xml:space="preserve">, </w:t>
      </w:r>
      <w:r w:rsidRPr="000D2F2F">
        <w:rPr>
          <w:rFonts w:ascii="Calibri" w:eastAsia="Times New Roman" w:hAnsi="Calibri" w:cs="Times New Roman"/>
          <w:color w:val="4A4A4A"/>
          <w:sz w:val="21"/>
          <w:szCs w:val="21"/>
          <w:lang w:val="en-US" w:eastAsia="en-GB"/>
        </w:rPr>
        <w:t>Administration and Office</w:t>
      </w:r>
      <w:r>
        <w:rPr>
          <w:rFonts w:ascii="Calibri" w:eastAsia="Times New Roman" w:hAnsi="Calibri" w:cs="Times New Roman"/>
          <w:color w:val="4A4A4A"/>
          <w:sz w:val="21"/>
          <w:szCs w:val="21"/>
          <w:lang w:val="en-US" w:eastAsia="en-GB"/>
        </w:rPr>
        <w:t xml:space="preserve">, </w:t>
      </w:r>
      <w:r w:rsidRPr="000D2F2F">
        <w:rPr>
          <w:rFonts w:ascii="Calibri" w:eastAsia="Times New Roman" w:hAnsi="Calibri" w:cs="Times New Roman"/>
          <w:color w:val="4A4A4A"/>
          <w:sz w:val="21"/>
          <w:szCs w:val="21"/>
          <w:lang w:val="en-US" w:eastAsia="en-GB"/>
        </w:rPr>
        <w:t>Email</w:t>
      </w:r>
      <w:r>
        <w:rPr>
          <w:rFonts w:ascii="Calibri" w:eastAsia="Times New Roman" w:hAnsi="Calibri" w:cs="Times New Roman"/>
          <w:color w:val="4A4A4A"/>
          <w:sz w:val="21"/>
          <w:szCs w:val="21"/>
          <w:lang w:val="en-US" w:eastAsia="en-GB"/>
        </w:rPr>
        <w:t xml:space="preserve"> and </w:t>
      </w:r>
      <w:r w:rsidRPr="000D2F2F">
        <w:rPr>
          <w:rFonts w:ascii="Calibri" w:eastAsia="Times New Roman" w:hAnsi="Calibri" w:cs="Times New Roman"/>
          <w:color w:val="4A4A4A"/>
          <w:sz w:val="21"/>
          <w:szCs w:val="21"/>
          <w:lang w:val="en-US" w:eastAsia="en-GB"/>
        </w:rPr>
        <w:t>Web site address</w:t>
      </w:r>
      <w:r>
        <w:rPr>
          <w:rFonts w:ascii="Calibri" w:eastAsia="Times New Roman" w:hAnsi="Calibri" w:cs="Times New Roman"/>
          <w:color w:val="4A4A4A"/>
          <w:sz w:val="21"/>
          <w:szCs w:val="21"/>
          <w:lang w:val="en-US" w:eastAsia="en-GB"/>
        </w:rPr>
        <w:t>)</w:t>
      </w:r>
      <w:r w:rsidR="00F64F0B">
        <w:rPr>
          <w:rFonts w:ascii="Calibri" w:eastAsia="Times New Roman" w:hAnsi="Calibri" w:cs="Times New Roman"/>
          <w:color w:val="4A4A4A"/>
          <w:sz w:val="21"/>
          <w:szCs w:val="21"/>
          <w:lang w:val="en-US" w:eastAsia="en-GB"/>
        </w:rPr>
        <w:t xml:space="preserve"> as well as through </w:t>
      </w:r>
      <w:r w:rsidR="00A1093D">
        <w:rPr>
          <w:rFonts w:ascii="Calibri" w:eastAsia="Times New Roman" w:hAnsi="Calibri" w:cs="Times New Roman"/>
          <w:color w:val="4A4A4A"/>
          <w:sz w:val="21"/>
          <w:szCs w:val="21"/>
          <w:lang w:val="en-US" w:eastAsia="en-GB"/>
        </w:rPr>
        <w:t xml:space="preserve">official </w:t>
      </w:r>
      <w:r w:rsidR="00996DD3">
        <w:rPr>
          <w:rFonts w:ascii="Calibri" w:eastAsia="Times New Roman" w:hAnsi="Calibri" w:cs="Times New Roman"/>
          <w:color w:val="4A4A4A"/>
          <w:sz w:val="21"/>
          <w:szCs w:val="21"/>
          <w:lang w:val="en-US" w:eastAsia="en-GB"/>
        </w:rPr>
        <w:t xml:space="preserve">communications </w:t>
      </w:r>
      <w:r w:rsidR="00A1093D">
        <w:rPr>
          <w:rFonts w:ascii="Calibri" w:eastAsia="Times New Roman" w:hAnsi="Calibri" w:cs="Times New Roman"/>
          <w:color w:val="4A4A4A"/>
          <w:sz w:val="21"/>
          <w:szCs w:val="21"/>
          <w:lang w:val="en-US" w:eastAsia="en-GB"/>
        </w:rPr>
        <w:t>from</w:t>
      </w:r>
      <w:r>
        <w:rPr>
          <w:rFonts w:ascii="Calibri" w:eastAsia="Times New Roman" w:hAnsi="Calibri" w:cs="Times New Roman"/>
          <w:color w:val="4A4A4A"/>
          <w:sz w:val="21"/>
          <w:szCs w:val="21"/>
          <w:lang w:val="en-US" w:eastAsia="en-GB"/>
        </w:rPr>
        <w:t xml:space="preserve"> countr</w:t>
      </w:r>
      <w:r w:rsidR="00A1093D">
        <w:rPr>
          <w:rFonts w:ascii="Calibri" w:eastAsia="Times New Roman" w:hAnsi="Calibri" w:cs="Times New Roman"/>
          <w:color w:val="4A4A4A"/>
          <w:sz w:val="21"/>
          <w:szCs w:val="21"/>
          <w:lang w:val="en-US" w:eastAsia="en-GB"/>
        </w:rPr>
        <w:t>ies</w:t>
      </w:r>
      <w:r>
        <w:rPr>
          <w:rFonts w:ascii="Calibri" w:eastAsia="Times New Roman" w:hAnsi="Calibri" w:cs="Times New Roman"/>
          <w:color w:val="4A4A4A"/>
          <w:sz w:val="21"/>
          <w:szCs w:val="21"/>
          <w:lang w:val="en-US" w:eastAsia="en-GB"/>
        </w:rPr>
        <w:t xml:space="preserve"> to FAO</w:t>
      </w:r>
      <w:r w:rsidR="00A1093D">
        <w:rPr>
          <w:rFonts w:ascii="Calibri" w:eastAsia="Times New Roman" w:hAnsi="Calibri" w:cs="Times New Roman"/>
          <w:color w:val="4A4A4A"/>
          <w:sz w:val="21"/>
          <w:szCs w:val="21"/>
          <w:lang w:val="en-US" w:eastAsia="en-GB"/>
        </w:rPr>
        <w:t>,</w:t>
      </w:r>
      <w:r w:rsidR="00F64F0B">
        <w:rPr>
          <w:rFonts w:ascii="Calibri" w:eastAsia="Times New Roman" w:hAnsi="Calibri" w:cs="Times New Roman"/>
          <w:color w:val="4A4A4A"/>
          <w:sz w:val="21"/>
          <w:szCs w:val="21"/>
          <w:lang w:val="en-US" w:eastAsia="en-GB"/>
        </w:rPr>
        <w:t xml:space="preserve"> or </w:t>
      </w:r>
      <w:r w:rsidR="00A1093D">
        <w:rPr>
          <w:rFonts w:ascii="Calibri" w:eastAsia="Times New Roman" w:hAnsi="Calibri" w:cs="Times New Roman"/>
          <w:color w:val="4A4A4A"/>
          <w:sz w:val="21"/>
          <w:szCs w:val="21"/>
          <w:lang w:val="en-US" w:eastAsia="en-GB"/>
        </w:rPr>
        <w:t xml:space="preserve">information </w:t>
      </w:r>
      <w:r w:rsidR="00F64F0B">
        <w:rPr>
          <w:rFonts w:ascii="Calibri" w:eastAsia="Times New Roman" w:hAnsi="Calibri" w:cs="Times New Roman"/>
          <w:color w:val="4A4A4A"/>
          <w:sz w:val="21"/>
          <w:szCs w:val="21"/>
          <w:lang w:val="en-US" w:eastAsia="en-GB"/>
        </w:rPr>
        <w:t>provide</w:t>
      </w:r>
      <w:r w:rsidR="00704137">
        <w:rPr>
          <w:rFonts w:ascii="Calibri" w:eastAsia="Times New Roman" w:hAnsi="Calibri" w:cs="Times New Roman"/>
          <w:color w:val="4A4A4A"/>
          <w:sz w:val="21"/>
          <w:szCs w:val="21"/>
          <w:lang w:val="en-US" w:eastAsia="en-GB"/>
        </w:rPr>
        <w:t>d</w:t>
      </w:r>
      <w:r w:rsidR="00F64F0B">
        <w:rPr>
          <w:rFonts w:ascii="Calibri" w:eastAsia="Times New Roman" w:hAnsi="Calibri" w:cs="Times New Roman"/>
          <w:color w:val="4A4A4A"/>
          <w:sz w:val="21"/>
          <w:szCs w:val="21"/>
          <w:lang w:val="en-US" w:eastAsia="en-GB"/>
        </w:rPr>
        <w:t xml:space="preserve"> </w:t>
      </w:r>
      <w:r w:rsidR="00A1093D">
        <w:rPr>
          <w:rFonts w:ascii="Calibri" w:eastAsia="Times New Roman" w:hAnsi="Calibri" w:cs="Times New Roman"/>
          <w:color w:val="4A4A4A"/>
          <w:sz w:val="21"/>
          <w:szCs w:val="21"/>
          <w:lang w:val="en-US" w:eastAsia="en-GB"/>
        </w:rPr>
        <w:t xml:space="preserve">to FAO </w:t>
      </w:r>
      <w:r w:rsidR="00F64F0B">
        <w:rPr>
          <w:rFonts w:ascii="Calibri" w:eastAsia="Times New Roman" w:hAnsi="Calibri" w:cs="Times New Roman"/>
          <w:color w:val="4A4A4A"/>
          <w:sz w:val="21"/>
          <w:szCs w:val="21"/>
          <w:lang w:val="en-US" w:eastAsia="en-GB"/>
        </w:rPr>
        <w:t xml:space="preserve">during meetings, conferences or commissions. </w:t>
      </w:r>
    </w:p>
    <w:p w14:paraId="50A66E64" w14:textId="77777777" w:rsidR="00EC2915" w:rsidRPr="00C866C3" w:rsidRDefault="00EC2915" w:rsidP="00576CFA">
      <w:pPr>
        <w:pStyle w:val="MText"/>
        <w:rPr>
          <w:lang w:val="en-US"/>
        </w:rPr>
      </w:pPr>
    </w:p>
    <w:p w14:paraId="30DC8E05" w14:textId="484D6EC2" w:rsidR="00E46D96" w:rsidRPr="00C866C3" w:rsidRDefault="00E46D96" w:rsidP="00F719A8">
      <w:pPr>
        <w:pStyle w:val="MHeader2"/>
        <w:rPr>
          <w:lang w:val="en-US"/>
        </w:rPr>
      </w:pPr>
      <w:r w:rsidRPr="00C866C3">
        <w:rPr>
          <w:lang w:val="en-US"/>
        </w:rPr>
        <w:t>3.f. Data compilers</w:t>
      </w:r>
    </w:p>
    <w:p w14:paraId="7382EE35"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FAO</w:t>
      </w:r>
    </w:p>
    <w:p w14:paraId="5C43435B" w14:textId="77777777" w:rsidR="00EC2915" w:rsidRPr="00C866C3" w:rsidRDefault="00EC2915" w:rsidP="00576CFA">
      <w:pPr>
        <w:pStyle w:val="MText"/>
        <w:rPr>
          <w:lang w:val="en-US"/>
        </w:rPr>
      </w:pPr>
    </w:p>
    <w:p w14:paraId="5655E768" w14:textId="5429F32E" w:rsidR="00E46D96" w:rsidRPr="00C866C3" w:rsidRDefault="00E46D96" w:rsidP="00F719A8">
      <w:pPr>
        <w:pStyle w:val="MHeader2"/>
        <w:rPr>
          <w:lang w:val="en-US"/>
        </w:rPr>
      </w:pPr>
      <w:r w:rsidRPr="00C866C3">
        <w:rPr>
          <w:lang w:val="en-US"/>
        </w:rPr>
        <w:t>3.g. Institutional mandate</w:t>
      </w:r>
    </w:p>
    <w:p w14:paraId="7509593D" w14:textId="4A8A54A5" w:rsidR="00082092" w:rsidRPr="00CB4DE5" w:rsidRDefault="00082092" w:rsidP="00CB4DE5">
      <w:pPr>
        <w:pStyle w:val="MText"/>
        <w:rPr>
          <w:rFonts w:ascii="Calibri" w:hAnsi="Calibri" w:cs="Calibri"/>
          <w:lang w:val="en-US" w:eastAsia="en-US"/>
        </w:rPr>
      </w:pPr>
      <w:r w:rsidRPr="00CB4DE5">
        <w:rPr>
          <w:rFonts w:ascii="Calibri" w:hAnsi="Calibri" w:cs="Calibri"/>
          <w:lang w:val="en-US" w:eastAsia="en-US"/>
        </w:rPr>
        <w:t>Article 1 of FAO’s constitution specifies that, “The Organization shall collect, analyze, interpret, and disseminate information related to nutrition, food and agriculture.” In this regard, FAO collects national level data from member countries, which it then standardizes and disseminates through corporate statistical databases. FAO is the custodian UN agency for 21 SDG indicators, including 15.1.1.</w:t>
      </w:r>
    </w:p>
    <w:p w14:paraId="3D063F4C" w14:textId="563EA7ED" w:rsidR="00F719A8" w:rsidRPr="00C866C3" w:rsidRDefault="00F719A8" w:rsidP="00576CFA">
      <w:pPr>
        <w:pStyle w:val="MText"/>
        <w:rPr>
          <w:lang w:val="en-US"/>
        </w:rPr>
      </w:pPr>
    </w:p>
    <w:p w14:paraId="6149DC94" w14:textId="05781947" w:rsidR="00B31E2C" w:rsidRPr="00C866C3" w:rsidRDefault="00B31E2C" w:rsidP="00AF5ED1">
      <w:pPr>
        <w:pStyle w:val="MHeader"/>
        <w:rPr>
          <w:lang w:val="en-US"/>
        </w:rPr>
      </w:pPr>
      <w:r w:rsidRPr="00C866C3">
        <w:rPr>
          <w:lang w:val="en-US"/>
        </w:rPr>
        <w:t>4. Other methodological considerations</w:t>
      </w:r>
    </w:p>
    <w:p w14:paraId="1AFA5517" w14:textId="54FD9B10" w:rsidR="00AF5ED1" w:rsidRPr="00C866C3" w:rsidRDefault="00576CFA" w:rsidP="00F719A8">
      <w:pPr>
        <w:pStyle w:val="MHeader2"/>
        <w:rPr>
          <w:lang w:val="en-US"/>
        </w:rPr>
      </w:pPr>
      <w:r w:rsidRPr="00C866C3">
        <w:rPr>
          <w:lang w:val="en-US"/>
        </w:rPr>
        <w:t>4.a. Rationale</w:t>
      </w:r>
    </w:p>
    <w:p w14:paraId="1E362E1F" w14:textId="77777777" w:rsidR="00886510" w:rsidRPr="00C866C3" w:rsidRDefault="00886510" w:rsidP="00886510">
      <w:pPr>
        <w:shd w:val="clear" w:color="auto" w:fill="FFFFFF"/>
        <w:spacing w:after="0"/>
        <w:contextualSpacing/>
        <w:rPr>
          <w:rFonts w:ascii="Calibri" w:hAnsi="Calibri"/>
          <w:color w:val="4A4A4A"/>
          <w:sz w:val="21"/>
          <w:lang w:val="en-US"/>
        </w:rPr>
      </w:pPr>
      <w:bookmarkStart w:id="9" w:name="_GoBack"/>
      <w:bookmarkEnd w:id="9"/>
      <w:r w:rsidRPr="00C866C3">
        <w:rPr>
          <w:rFonts w:ascii="Calibri" w:hAnsi="Calibri"/>
          <w:color w:val="4A4A4A"/>
          <w:sz w:val="21"/>
          <w:lang w:val="en-US"/>
        </w:rPr>
        <w:t xml:space="preserve">Forests fulfil </w:t>
      </w:r>
      <w:proofErr w:type="gramStart"/>
      <w:r w:rsidRPr="00C866C3">
        <w:rPr>
          <w:rFonts w:ascii="Calibri" w:hAnsi="Calibri"/>
          <w:color w:val="4A4A4A"/>
          <w:sz w:val="21"/>
          <w:lang w:val="en-US"/>
        </w:rPr>
        <w:t>a number of</w:t>
      </w:r>
      <w:proofErr w:type="gramEnd"/>
      <w:r w:rsidRPr="00C866C3">
        <w:rPr>
          <w:rFonts w:ascii="Calibri" w:hAnsi="Calibri"/>
          <w:color w:val="4A4A4A"/>
          <w:sz w:val="21"/>
          <w:lang w:val="en-US"/>
        </w:rPr>
        <w:t xml:space="preserve"> functions that are vital for humanity, including the provision of goods (wood and non-wood forest products) and services such as habitats for biodiversity, carbon sequestration, coastal protection and soil and water conservation. </w:t>
      </w:r>
    </w:p>
    <w:p w14:paraId="1F9423CB" w14:textId="77777777" w:rsidR="00886510" w:rsidRPr="00C866C3" w:rsidRDefault="00886510" w:rsidP="00886510">
      <w:pPr>
        <w:shd w:val="clear" w:color="auto" w:fill="FFFFFF"/>
        <w:spacing w:after="0"/>
        <w:contextualSpacing/>
        <w:rPr>
          <w:rFonts w:ascii="Calibri" w:hAnsi="Calibri"/>
          <w:color w:val="4A4A4A"/>
          <w:sz w:val="21"/>
          <w:lang w:val="en-US"/>
        </w:rPr>
      </w:pPr>
    </w:p>
    <w:p w14:paraId="112DF5FF"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The indicator provides a measure of the relative extent of forest in a country. The availability of accurate data on a country's forest area is a key element for forest policy and planning within the context of sustainable development.</w:t>
      </w:r>
    </w:p>
    <w:p w14:paraId="2B42E38C" w14:textId="77777777" w:rsidR="00886510" w:rsidRPr="00C866C3" w:rsidRDefault="00886510" w:rsidP="00886510">
      <w:pPr>
        <w:shd w:val="clear" w:color="auto" w:fill="FFFFFF"/>
        <w:spacing w:after="0"/>
        <w:contextualSpacing/>
        <w:rPr>
          <w:rFonts w:ascii="Calibri" w:hAnsi="Calibri"/>
          <w:color w:val="4A4A4A"/>
          <w:sz w:val="21"/>
          <w:lang w:val="en-US"/>
        </w:rPr>
      </w:pPr>
    </w:p>
    <w:p w14:paraId="40203645"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Changes in forest area reflect the demand for land for other uses and may help identify unsustainable practices in the forestry and agricultural sector.</w:t>
      </w:r>
    </w:p>
    <w:p w14:paraId="2ECEC8B0" w14:textId="77777777" w:rsidR="00886510" w:rsidRPr="00C866C3" w:rsidRDefault="00886510" w:rsidP="00886510">
      <w:pPr>
        <w:shd w:val="clear" w:color="auto" w:fill="FFFFFF"/>
        <w:spacing w:after="0"/>
        <w:contextualSpacing/>
        <w:rPr>
          <w:rFonts w:ascii="Calibri" w:hAnsi="Calibri"/>
          <w:color w:val="4A4A4A"/>
          <w:sz w:val="21"/>
          <w:lang w:val="en-US"/>
        </w:rPr>
      </w:pPr>
    </w:p>
    <w:p w14:paraId="4DF5D6B0"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Forest area as percentage of total land area may be used as a rough proxy for the extent to which the forests in a country are being conserved or restored, but it is only partly a measure for the extent to which they are sustainably managed.</w:t>
      </w:r>
    </w:p>
    <w:p w14:paraId="6B39F41A" w14:textId="77777777" w:rsidR="00886510" w:rsidRPr="00C866C3" w:rsidRDefault="00886510" w:rsidP="00886510">
      <w:pPr>
        <w:shd w:val="clear" w:color="auto" w:fill="FFFFFF"/>
        <w:spacing w:after="0"/>
        <w:contextualSpacing/>
        <w:rPr>
          <w:rFonts w:ascii="Calibri" w:hAnsi="Calibri"/>
          <w:color w:val="4A4A4A"/>
          <w:sz w:val="21"/>
          <w:lang w:val="en-US"/>
        </w:rPr>
      </w:pPr>
    </w:p>
    <w:p w14:paraId="2956854E" w14:textId="791ACA78"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The indicator was included among the indicators for the Millennium Development Goals (MDG</w:t>
      </w:r>
      <w:r w:rsidR="00A1093D">
        <w:rPr>
          <w:rFonts w:ascii="Calibri" w:eastAsia="Times New Roman" w:hAnsi="Calibri" w:cs="Times New Roman"/>
          <w:color w:val="4A4A4A"/>
          <w:sz w:val="21"/>
          <w:szCs w:val="21"/>
          <w:lang w:val="en-US" w:eastAsia="en-GB"/>
        </w:rPr>
        <w:t xml:space="preserve"> </w:t>
      </w:r>
      <w:r w:rsidRPr="00C866C3">
        <w:rPr>
          <w:rFonts w:ascii="Calibri" w:hAnsi="Calibri"/>
          <w:color w:val="4A4A4A"/>
          <w:sz w:val="21"/>
          <w:lang w:val="en-US"/>
        </w:rPr>
        <w:t>indicator</w:t>
      </w:r>
    </w:p>
    <w:p w14:paraId="7744BE8D"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7.1 “Proportion of land covered by forest”).</w:t>
      </w:r>
    </w:p>
    <w:p w14:paraId="18EA7892" w14:textId="77777777" w:rsidR="00576CFA" w:rsidRPr="00C866C3" w:rsidRDefault="00576CFA" w:rsidP="00576CFA">
      <w:pPr>
        <w:pStyle w:val="MText"/>
        <w:rPr>
          <w:lang w:val="en-US"/>
        </w:rPr>
      </w:pPr>
    </w:p>
    <w:p w14:paraId="2529B069" w14:textId="618DCD10" w:rsidR="00E1050F" w:rsidRPr="00C866C3" w:rsidRDefault="00E1050F" w:rsidP="00F719A8">
      <w:pPr>
        <w:pStyle w:val="MHeader2"/>
        <w:rPr>
          <w:lang w:val="en-US"/>
        </w:rPr>
      </w:pPr>
      <w:r w:rsidRPr="00C866C3">
        <w:rPr>
          <w:lang w:val="en-US"/>
        </w:rPr>
        <w:t>4.b. Comment and limitations</w:t>
      </w:r>
    </w:p>
    <w:p w14:paraId="544CACF4" w14:textId="29F86D54"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Assessment of forest area is carried out at infrequent intervals in many countries. Although the improved access to remote sensing data can help some countries to update their forest area estimates more frequently, estimation of forest area using remote sensing techniques has certain challenges. </w:t>
      </w:r>
      <w:proofErr w:type="gramStart"/>
      <w:r w:rsidRPr="00C866C3">
        <w:rPr>
          <w:rFonts w:ascii="Calibri" w:hAnsi="Calibri"/>
          <w:color w:val="4A4A4A"/>
          <w:sz w:val="21"/>
          <w:lang w:val="en-US"/>
        </w:rPr>
        <w:t>In particular the</w:t>
      </w:r>
      <w:proofErr w:type="gramEnd"/>
      <w:r w:rsidR="00082092" w:rsidRPr="00C866C3">
        <w:rPr>
          <w:rFonts w:ascii="Calibri" w:hAnsi="Calibri"/>
          <w:color w:val="4A4A4A"/>
          <w:sz w:val="21"/>
          <w:lang w:val="en-US"/>
        </w:rPr>
        <w:t xml:space="preserve"> assessment of </w:t>
      </w:r>
      <w:r w:rsidR="00082092" w:rsidRPr="00CB4DE5">
        <w:rPr>
          <w:rFonts w:ascii="Calibri" w:eastAsia="Times New Roman" w:hAnsi="Calibri" w:cs="Times New Roman"/>
          <w:color w:val="4A4A4A"/>
          <w:sz w:val="21"/>
          <w:szCs w:val="21"/>
          <w:lang w:val="en-US" w:eastAsia="en-GB"/>
        </w:rPr>
        <w:t xml:space="preserve">forest area </w:t>
      </w:r>
      <w:r w:rsidRPr="00CB4DE5">
        <w:rPr>
          <w:rFonts w:ascii="Calibri" w:eastAsia="Times New Roman" w:hAnsi="Calibri" w:cs="Times New Roman"/>
          <w:color w:val="4A4A4A"/>
          <w:sz w:val="21"/>
          <w:szCs w:val="21"/>
          <w:lang w:val="en-US" w:eastAsia="en-GB"/>
        </w:rPr>
        <w:t>relate</w:t>
      </w:r>
      <w:r w:rsidR="00F40F94">
        <w:rPr>
          <w:rFonts w:ascii="Calibri" w:eastAsia="Times New Roman" w:hAnsi="Calibri" w:cs="Times New Roman"/>
          <w:color w:val="4A4A4A"/>
          <w:sz w:val="21"/>
          <w:szCs w:val="21"/>
          <w:lang w:val="en-US" w:eastAsia="en-GB"/>
        </w:rPr>
        <w:t>s</w:t>
      </w:r>
      <w:r w:rsidRPr="00CB4DE5">
        <w:rPr>
          <w:rFonts w:ascii="Calibri" w:eastAsia="Times New Roman" w:hAnsi="Calibri" w:cs="Times New Roman"/>
          <w:color w:val="4A4A4A"/>
          <w:sz w:val="21"/>
          <w:szCs w:val="21"/>
          <w:lang w:val="en-US" w:eastAsia="en-GB"/>
        </w:rPr>
        <w:t xml:space="preserve"> to </w:t>
      </w:r>
      <w:r w:rsidRPr="00C866C3">
        <w:rPr>
          <w:rFonts w:ascii="Calibri" w:hAnsi="Calibri"/>
          <w:color w:val="4A4A4A"/>
          <w:sz w:val="21"/>
          <w:lang w:val="en-US"/>
        </w:rPr>
        <w:t>land use</w:t>
      </w:r>
      <w:r w:rsidR="00082092" w:rsidRPr="00CB4DE5">
        <w:rPr>
          <w:rFonts w:ascii="Calibri" w:eastAsia="Times New Roman" w:hAnsi="Calibri" w:cs="Times New Roman"/>
          <w:color w:val="4A4A4A"/>
          <w:sz w:val="21"/>
          <w:szCs w:val="21"/>
          <w:lang w:val="en-US" w:eastAsia="en-GB"/>
        </w:rPr>
        <w:t>, while</w:t>
      </w:r>
      <w:r w:rsidRPr="00CB4DE5">
        <w:rPr>
          <w:rFonts w:ascii="Calibri" w:eastAsia="Times New Roman" w:hAnsi="Calibri" w:cs="Times New Roman"/>
          <w:color w:val="4A4A4A"/>
          <w:sz w:val="21"/>
          <w:szCs w:val="21"/>
          <w:lang w:val="en-US" w:eastAsia="en-GB"/>
        </w:rPr>
        <w:t xml:space="preserve"> </w:t>
      </w:r>
      <w:r w:rsidRPr="00C866C3">
        <w:rPr>
          <w:rFonts w:ascii="Calibri" w:hAnsi="Calibri"/>
          <w:color w:val="4A4A4A"/>
          <w:sz w:val="21"/>
          <w:lang w:val="en-US"/>
        </w:rPr>
        <w:t>remote sensing primarily assesses land cover</w:t>
      </w:r>
      <w:r w:rsidR="00082092" w:rsidRPr="00CB4DE5">
        <w:rPr>
          <w:rFonts w:ascii="Calibri" w:eastAsia="Times New Roman" w:hAnsi="Calibri" w:cs="Times New Roman"/>
          <w:color w:val="4A4A4A"/>
          <w:sz w:val="21"/>
          <w:szCs w:val="21"/>
          <w:lang w:val="en-US" w:eastAsia="en-GB"/>
        </w:rPr>
        <w:t>. Furthermore,</w:t>
      </w:r>
      <w:r w:rsidRPr="00C866C3">
        <w:rPr>
          <w:rFonts w:ascii="Calibri" w:hAnsi="Calibri"/>
          <w:color w:val="4A4A4A"/>
          <w:sz w:val="21"/>
          <w:lang w:val="en-US"/>
        </w:rPr>
        <w:t xml:space="preserve"> gradual changes, such as forest regrowth, require several years to become detectable</w:t>
      </w:r>
      <w:r w:rsidR="00046E5E" w:rsidRPr="00CB4DE5">
        <w:rPr>
          <w:rFonts w:ascii="Calibri" w:eastAsia="Times New Roman" w:hAnsi="Calibri" w:cs="Times New Roman"/>
          <w:color w:val="4A4A4A"/>
          <w:sz w:val="21"/>
          <w:szCs w:val="21"/>
          <w:lang w:val="en-US" w:eastAsia="en-GB"/>
        </w:rPr>
        <w:t xml:space="preserve"> in satellite imagery</w:t>
      </w:r>
      <w:r w:rsidRPr="00CB4DE5">
        <w:rPr>
          <w:rFonts w:ascii="Calibri" w:eastAsia="Times New Roman" w:hAnsi="Calibri" w:cs="Times New Roman"/>
          <w:color w:val="4A4A4A"/>
          <w:sz w:val="21"/>
          <w:szCs w:val="21"/>
          <w:lang w:val="en-US" w:eastAsia="en-GB"/>
        </w:rPr>
        <w:t>.</w:t>
      </w:r>
      <w:r w:rsidRPr="00C866C3">
        <w:rPr>
          <w:rFonts w:ascii="Calibri" w:hAnsi="Calibri"/>
          <w:color w:val="4A4A4A"/>
          <w:sz w:val="21"/>
          <w:lang w:val="en-US"/>
        </w:rPr>
        <w:t xml:space="preserve"> In addition, forest </w:t>
      </w:r>
      <w:r w:rsidRPr="00CB4DE5">
        <w:rPr>
          <w:rFonts w:ascii="Calibri" w:eastAsia="Times New Roman" w:hAnsi="Calibri" w:cs="Times New Roman"/>
          <w:color w:val="4A4A4A"/>
          <w:sz w:val="21"/>
          <w:szCs w:val="21"/>
          <w:lang w:val="en-US" w:eastAsia="en-GB"/>
        </w:rPr>
        <w:t>area</w:t>
      </w:r>
      <w:r w:rsidR="00082092" w:rsidRPr="00CB4DE5">
        <w:rPr>
          <w:rFonts w:ascii="Calibri" w:eastAsia="Times New Roman" w:hAnsi="Calibri" w:cs="Times New Roman"/>
          <w:color w:val="4A4A4A"/>
          <w:sz w:val="21"/>
          <w:szCs w:val="21"/>
          <w:lang w:val="en-US" w:eastAsia="en-GB"/>
        </w:rPr>
        <w:t>s</w:t>
      </w:r>
      <w:r w:rsidRPr="00C866C3">
        <w:rPr>
          <w:rFonts w:ascii="Calibri" w:hAnsi="Calibri"/>
          <w:color w:val="4A4A4A"/>
          <w:sz w:val="21"/>
          <w:lang w:val="en-US"/>
        </w:rPr>
        <w:t xml:space="preserve"> with low canopy cover density (e.g. 10-30%) are still difficult to detect at large scale with affordable remote sensing techniques.</w:t>
      </w:r>
    </w:p>
    <w:p w14:paraId="398C00AE" w14:textId="77777777" w:rsidR="00EC2915" w:rsidRPr="00C866C3" w:rsidRDefault="00EC2915" w:rsidP="00576CFA">
      <w:pPr>
        <w:pStyle w:val="MText"/>
        <w:rPr>
          <w:lang w:val="en-US"/>
        </w:rPr>
      </w:pPr>
    </w:p>
    <w:p w14:paraId="79EEEE38" w14:textId="75AB172D" w:rsidR="00E1050F" w:rsidRPr="00C866C3" w:rsidRDefault="00E1050F" w:rsidP="00F719A8">
      <w:pPr>
        <w:pStyle w:val="MHeader2"/>
        <w:rPr>
          <w:lang w:val="en-US"/>
        </w:rPr>
      </w:pPr>
      <w:r w:rsidRPr="00C866C3">
        <w:rPr>
          <w:lang w:val="en-US"/>
        </w:rPr>
        <w:t>4.c. Method of computation</w:t>
      </w:r>
    </w:p>
    <w:p w14:paraId="6776B899" w14:textId="3A87084E"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Forest area (reference year) / Land area (</w:t>
      </w:r>
      <w:r w:rsidR="00046E5E" w:rsidRPr="00CB4DE5">
        <w:rPr>
          <w:rFonts w:ascii="Calibri" w:eastAsia="Times New Roman" w:hAnsi="Calibri" w:cs="Times New Roman"/>
          <w:color w:val="4A4A4A"/>
          <w:sz w:val="21"/>
          <w:szCs w:val="21"/>
          <w:lang w:val="en-US" w:eastAsia="en-GB"/>
        </w:rPr>
        <w:t>reference year</w:t>
      </w:r>
      <w:r w:rsidRPr="00C866C3">
        <w:rPr>
          <w:rFonts w:ascii="Calibri" w:hAnsi="Calibri"/>
          <w:color w:val="4A4A4A"/>
          <w:sz w:val="21"/>
          <w:lang w:val="en-US"/>
        </w:rPr>
        <w:t>) * 100</w:t>
      </w:r>
    </w:p>
    <w:p w14:paraId="5094A7AA" w14:textId="77777777" w:rsidR="00886510" w:rsidRPr="00C866C3" w:rsidRDefault="00886510" w:rsidP="00886510">
      <w:pPr>
        <w:shd w:val="clear" w:color="auto" w:fill="FFFFFF"/>
        <w:spacing w:after="0"/>
        <w:contextualSpacing/>
        <w:rPr>
          <w:rFonts w:ascii="Calibri" w:hAnsi="Calibri"/>
          <w:color w:val="4A4A4A"/>
          <w:sz w:val="21"/>
          <w:lang w:val="en-US"/>
        </w:rPr>
      </w:pPr>
    </w:p>
    <w:p w14:paraId="6A89839E" w14:textId="77777777" w:rsidR="00576CFA" w:rsidRPr="00C866C3" w:rsidRDefault="00576CFA" w:rsidP="00576CFA">
      <w:pPr>
        <w:pStyle w:val="MText"/>
        <w:rPr>
          <w:lang w:val="en-US"/>
        </w:rPr>
      </w:pPr>
    </w:p>
    <w:p w14:paraId="514CE3C0" w14:textId="3F3F7A53" w:rsidR="00E1050F" w:rsidRPr="00C866C3" w:rsidRDefault="00576CFA" w:rsidP="00F719A8">
      <w:pPr>
        <w:pStyle w:val="MHeader2"/>
        <w:rPr>
          <w:lang w:val="en-US"/>
        </w:rPr>
      </w:pPr>
      <w:r w:rsidRPr="00C866C3">
        <w:rPr>
          <w:lang w:val="en-US"/>
        </w:rPr>
        <w:t>4.d. Validation</w:t>
      </w:r>
    </w:p>
    <w:p w14:paraId="37570642" w14:textId="4F71D2FB" w:rsidR="00BD2836" w:rsidRPr="00CB4DE5" w:rsidRDefault="00082092" w:rsidP="00BD2836">
      <w:pPr>
        <w:shd w:val="clear" w:color="auto" w:fill="FFFFFF"/>
        <w:spacing w:after="0"/>
        <w:contextualSpacing/>
        <w:rPr>
          <w:rFonts w:eastAsia="Times New Roman" w:cstheme="minorHAnsi"/>
          <w:color w:val="4A4A4A"/>
          <w:sz w:val="21"/>
          <w:szCs w:val="21"/>
          <w:lang w:val="en-US" w:eastAsia="en-GB"/>
        </w:rPr>
      </w:pPr>
      <w:bookmarkStart w:id="10" w:name="_Hlk64276847"/>
      <w:r w:rsidRPr="00CB4DE5">
        <w:rPr>
          <w:rFonts w:eastAsia="Times New Roman" w:cstheme="minorHAnsi"/>
          <w:color w:val="4A4A4A"/>
          <w:sz w:val="21"/>
          <w:szCs w:val="21"/>
          <w:lang w:val="en-US" w:eastAsia="en-GB"/>
        </w:rPr>
        <w:t xml:space="preserve">All data submitted by countries to FRA, including </w:t>
      </w:r>
      <w:r w:rsidR="001311A4" w:rsidRPr="00CB4DE5">
        <w:rPr>
          <w:rFonts w:eastAsia="Times New Roman" w:cstheme="minorHAnsi"/>
          <w:color w:val="4A4A4A"/>
          <w:sz w:val="21"/>
          <w:szCs w:val="21"/>
          <w:lang w:val="en-US" w:eastAsia="en-GB"/>
        </w:rPr>
        <w:t xml:space="preserve">the </w:t>
      </w:r>
      <w:r w:rsidRPr="00CB4DE5">
        <w:rPr>
          <w:rFonts w:eastAsia="Times New Roman" w:cstheme="minorHAnsi"/>
          <w:color w:val="4A4A4A"/>
          <w:sz w:val="21"/>
          <w:szCs w:val="21"/>
          <w:lang w:val="en-US" w:eastAsia="en-GB"/>
        </w:rPr>
        <w:t>FAO estimates made in case of desk studies, are available at the FRA on-line platform (</w:t>
      </w:r>
      <w:hyperlink r:id="rId12" w:history="1">
        <w:r w:rsidR="00F40F94" w:rsidRPr="004B254C">
          <w:rPr>
            <w:rStyle w:val="Hyperlink"/>
          </w:rPr>
          <w:t>https://fra-data.fao.org/</w:t>
        </w:r>
      </w:hyperlink>
      <w:r w:rsidRPr="00CB4DE5">
        <w:rPr>
          <w:rFonts w:eastAsia="Times New Roman" w:cstheme="minorHAnsi"/>
          <w:color w:val="4A4A4A"/>
          <w:sz w:val="21"/>
          <w:szCs w:val="21"/>
          <w:lang w:val="en-US" w:eastAsia="en-GB"/>
        </w:rPr>
        <w:t>).</w:t>
      </w:r>
      <w:r w:rsidR="001311A4" w:rsidRPr="00CB4DE5">
        <w:rPr>
          <w:rFonts w:eastAsia="Times New Roman" w:cstheme="minorHAnsi"/>
          <w:color w:val="4A4A4A"/>
          <w:sz w:val="21"/>
          <w:szCs w:val="21"/>
          <w:lang w:val="en-US" w:eastAsia="en-GB"/>
        </w:rPr>
        <w:t xml:space="preserve"> The platform also include</w:t>
      </w:r>
      <w:r w:rsidR="00996433" w:rsidRPr="00CB4DE5">
        <w:rPr>
          <w:rFonts w:eastAsia="Times New Roman" w:cstheme="minorHAnsi"/>
          <w:color w:val="4A4A4A"/>
          <w:sz w:val="21"/>
          <w:szCs w:val="21"/>
          <w:lang w:val="en-US" w:eastAsia="en-GB"/>
        </w:rPr>
        <w:t xml:space="preserve">s the calculated indicator for 15.1.1. A request </w:t>
      </w:r>
      <w:r w:rsidR="00E379D2" w:rsidRPr="00CB4DE5">
        <w:rPr>
          <w:rFonts w:eastAsia="Times New Roman" w:cstheme="minorHAnsi"/>
          <w:color w:val="4A4A4A"/>
          <w:sz w:val="21"/>
          <w:szCs w:val="21"/>
          <w:lang w:val="en-US" w:eastAsia="en-GB"/>
        </w:rPr>
        <w:t xml:space="preserve">for validation </w:t>
      </w:r>
      <w:r w:rsidR="00996433" w:rsidRPr="00CB4DE5">
        <w:rPr>
          <w:rFonts w:eastAsia="Times New Roman" w:cstheme="minorHAnsi"/>
          <w:color w:val="4A4A4A"/>
          <w:sz w:val="21"/>
          <w:szCs w:val="21"/>
          <w:lang w:val="en-US" w:eastAsia="en-GB"/>
        </w:rPr>
        <w:t xml:space="preserve">was </w:t>
      </w:r>
      <w:bookmarkEnd w:id="10"/>
      <w:r w:rsidR="00BD2836" w:rsidRPr="00CB4DE5">
        <w:rPr>
          <w:rFonts w:eastAsia="Times New Roman" w:cstheme="minorHAnsi"/>
          <w:color w:val="4A4A4A"/>
          <w:sz w:val="21"/>
          <w:szCs w:val="21"/>
          <w:lang w:val="en-US" w:eastAsia="en-GB"/>
        </w:rPr>
        <w:t>sent to the Head of Forestry</w:t>
      </w:r>
      <w:r w:rsidR="007830B9">
        <w:rPr>
          <w:rFonts w:eastAsia="Times New Roman" w:cstheme="minorHAnsi"/>
          <w:color w:val="4A4A4A"/>
          <w:sz w:val="21"/>
          <w:szCs w:val="21"/>
          <w:lang w:val="en-US" w:eastAsia="en-GB"/>
        </w:rPr>
        <w:t xml:space="preserve"> of each country</w:t>
      </w:r>
      <w:r w:rsidR="00BD2836" w:rsidRPr="00CB4DE5">
        <w:rPr>
          <w:rFonts w:eastAsia="Times New Roman" w:cstheme="minorHAnsi"/>
          <w:color w:val="4A4A4A"/>
          <w:sz w:val="21"/>
          <w:szCs w:val="21"/>
          <w:lang w:val="en-US" w:eastAsia="en-GB"/>
        </w:rPr>
        <w:t xml:space="preserve"> before finalization and publishing of data</w:t>
      </w:r>
      <w:r w:rsidR="00934EBC" w:rsidRPr="00CB4DE5">
        <w:rPr>
          <w:rFonts w:eastAsia="Times New Roman" w:cstheme="minorHAnsi"/>
          <w:color w:val="4A4A4A"/>
          <w:sz w:val="21"/>
          <w:szCs w:val="21"/>
          <w:lang w:val="en-US" w:eastAsia="en-GB"/>
        </w:rPr>
        <w:t>.</w:t>
      </w:r>
    </w:p>
    <w:p w14:paraId="0025F830" w14:textId="10CD0226" w:rsidR="00F719A8" w:rsidRPr="00F40F94" w:rsidRDefault="00F719A8" w:rsidP="00576CFA">
      <w:pPr>
        <w:pStyle w:val="MText"/>
        <w:rPr>
          <w:rFonts w:cstheme="minorHAnsi"/>
          <w:lang w:val="en-US"/>
        </w:rPr>
      </w:pPr>
    </w:p>
    <w:p w14:paraId="23D82D85" w14:textId="77777777" w:rsidR="00BD2836" w:rsidRPr="00C866C3" w:rsidRDefault="00BD2836" w:rsidP="00576CFA">
      <w:pPr>
        <w:pStyle w:val="MText"/>
        <w:rPr>
          <w:lang w:val="en-US"/>
        </w:rPr>
      </w:pPr>
    </w:p>
    <w:p w14:paraId="2CF2A343" w14:textId="0A7F0CBE" w:rsidR="00E1050F" w:rsidRPr="00C866C3" w:rsidRDefault="00E1050F" w:rsidP="00F719A8">
      <w:pPr>
        <w:pStyle w:val="MHeader2"/>
        <w:rPr>
          <w:lang w:val="en-US"/>
        </w:rPr>
      </w:pPr>
      <w:r w:rsidRPr="00C866C3">
        <w:rPr>
          <w:lang w:val="en-US"/>
        </w:rPr>
        <w:t>4.e. Adjustments</w:t>
      </w:r>
    </w:p>
    <w:p w14:paraId="221F7715" w14:textId="694DC854" w:rsidR="00996DD3" w:rsidRDefault="00996DD3" w:rsidP="00996DD3">
      <w:pPr>
        <w:pStyle w:val="CommentText"/>
      </w:pPr>
      <w:r w:rsidRPr="0010107D">
        <w:rPr>
          <w:rFonts w:ascii="Calibri" w:eastAsia="Times New Roman" w:hAnsi="Calibri" w:cs="Times New Roman"/>
          <w:color w:val="4A4A4A"/>
          <w:sz w:val="21"/>
          <w:szCs w:val="21"/>
          <w:lang w:eastAsia="en-GB"/>
        </w:rPr>
        <w:t xml:space="preserve">When FAOSTAT </w:t>
      </w:r>
      <w:r w:rsidR="007830B9">
        <w:rPr>
          <w:rFonts w:ascii="Calibri" w:eastAsia="Times New Roman" w:hAnsi="Calibri" w:cs="Times New Roman"/>
          <w:color w:val="4A4A4A"/>
          <w:sz w:val="21"/>
          <w:szCs w:val="21"/>
          <w:lang w:eastAsia="en-GB"/>
        </w:rPr>
        <w:t xml:space="preserve">land area </w:t>
      </w:r>
      <w:r w:rsidRPr="0010107D">
        <w:rPr>
          <w:rFonts w:ascii="Calibri" w:eastAsia="Times New Roman" w:hAnsi="Calibri" w:cs="Times New Roman"/>
          <w:color w:val="4A4A4A"/>
          <w:sz w:val="21"/>
          <w:szCs w:val="21"/>
          <w:lang w:eastAsia="en-GB"/>
        </w:rPr>
        <w:t xml:space="preserve">data indicate </w:t>
      </w:r>
      <w:r w:rsidR="007830B9">
        <w:rPr>
          <w:rFonts w:ascii="Calibri" w:eastAsia="Times New Roman" w:hAnsi="Calibri" w:cs="Times New Roman"/>
          <w:color w:val="4A4A4A"/>
          <w:sz w:val="21"/>
          <w:szCs w:val="21"/>
          <w:lang w:eastAsia="en-GB"/>
        </w:rPr>
        <w:t>variations</w:t>
      </w:r>
      <w:r w:rsidRPr="0010107D">
        <w:rPr>
          <w:rFonts w:ascii="Calibri" w:eastAsia="Times New Roman" w:hAnsi="Calibri" w:cs="Times New Roman"/>
          <w:color w:val="4A4A4A"/>
          <w:sz w:val="21"/>
          <w:szCs w:val="21"/>
          <w:lang w:eastAsia="en-GB"/>
        </w:rPr>
        <w:t xml:space="preserve"> in land area that are </w:t>
      </w:r>
      <w:r>
        <w:rPr>
          <w:rFonts w:ascii="Calibri" w:eastAsia="Times New Roman" w:hAnsi="Calibri" w:cs="Times New Roman"/>
          <w:color w:val="4A4A4A"/>
          <w:sz w:val="21"/>
          <w:szCs w:val="21"/>
          <w:lang w:eastAsia="en-GB"/>
        </w:rPr>
        <w:t xml:space="preserve">inconsistent and do </w:t>
      </w:r>
      <w:r w:rsidRPr="0010107D">
        <w:rPr>
          <w:rFonts w:ascii="Calibri" w:eastAsia="Times New Roman" w:hAnsi="Calibri" w:cs="Times New Roman"/>
          <w:color w:val="4A4A4A"/>
          <w:sz w:val="21"/>
          <w:szCs w:val="21"/>
          <w:lang w:eastAsia="en-GB"/>
        </w:rPr>
        <w:t xml:space="preserve">not </w:t>
      </w:r>
      <w:r>
        <w:rPr>
          <w:rFonts w:ascii="Calibri" w:eastAsia="Times New Roman" w:hAnsi="Calibri" w:cs="Times New Roman"/>
          <w:color w:val="4A4A4A"/>
          <w:sz w:val="21"/>
          <w:szCs w:val="21"/>
          <w:lang w:eastAsia="en-GB"/>
        </w:rPr>
        <w:t xml:space="preserve">reflect </w:t>
      </w:r>
      <w:r w:rsidRPr="0010107D">
        <w:rPr>
          <w:rFonts w:ascii="Calibri" w:eastAsia="Times New Roman" w:hAnsi="Calibri" w:cs="Times New Roman"/>
          <w:color w:val="4A4A4A"/>
          <w:sz w:val="21"/>
          <w:szCs w:val="21"/>
          <w:lang w:eastAsia="en-GB"/>
        </w:rPr>
        <w:t xml:space="preserve">real changes but </w:t>
      </w:r>
      <w:r w:rsidR="007830B9">
        <w:rPr>
          <w:rFonts w:ascii="Calibri" w:eastAsia="Times New Roman" w:hAnsi="Calibri" w:cs="Times New Roman"/>
          <w:color w:val="4A4A4A"/>
          <w:sz w:val="21"/>
          <w:szCs w:val="21"/>
          <w:lang w:eastAsia="en-GB"/>
        </w:rPr>
        <w:t>are</w:t>
      </w:r>
      <w:r>
        <w:rPr>
          <w:rFonts w:ascii="Calibri" w:eastAsia="Times New Roman" w:hAnsi="Calibri" w:cs="Times New Roman"/>
          <w:color w:val="4A4A4A"/>
          <w:sz w:val="21"/>
          <w:szCs w:val="21"/>
          <w:lang w:eastAsia="en-GB"/>
        </w:rPr>
        <w:t xml:space="preserve"> the effect of</w:t>
      </w:r>
      <w:r w:rsidRPr="0010107D">
        <w:rPr>
          <w:rFonts w:ascii="Calibri" w:eastAsia="Times New Roman" w:hAnsi="Calibri" w:cs="Times New Roman"/>
          <w:color w:val="4A4A4A"/>
          <w:sz w:val="21"/>
          <w:szCs w:val="21"/>
          <w:lang w:eastAsia="en-GB"/>
        </w:rPr>
        <w:t xml:space="preserve"> changes in </w:t>
      </w:r>
      <w:r>
        <w:rPr>
          <w:rFonts w:ascii="Calibri" w:eastAsia="Times New Roman" w:hAnsi="Calibri" w:cs="Times New Roman"/>
          <w:color w:val="4A4A4A"/>
          <w:sz w:val="21"/>
          <w:szCs w:val="21"/>
          <w:lang w:eastAsia="en-GB"/>
        </w:rPr>
        <w:t xml:space="preserve">assessment </w:t>
      </w:r>
      <w:r w:rsidRPr="0010107D">
        <w:rPr>
          <w:rFonts w:ascii="Calibri" w:eastAsia="Times New Roman" w:hAnsi="Calibri" w:cs="Times New Roman"/>
          <w:color w:val="4A4A4A"/>
          <w:sz w:val="21"/>
          <w:szCs w:val="21"/>
          <w:lang w:eastAsia="en-GB"/>
        </w:rPr>
        <w:t>methodology</w:t>
      </w:r>
      <w:r>
        <w:rPr>
          <w:rFonts w:ascii="Calibri" w:eastAsia="Times New Roman" w:hAnsi="Calibri" w:cs="Times New Roman"/>
          <w:color w:val="4A4A4A"/>
          <w:sz w:val="21"/>
          <w:szCs w:val="21"/>
          <w:lang w:eastAsia="en-GB"/>
        </w:rPr>
        <w:t xml:space="preserve"> or countries not having revised historical data points</w:t>
      </w:r>
      <w:r w:rsidRPr="0010107D">
        <w:rPr>
          <w:rFonts w:ascii="Calibri" w:eastAsia="Times New Roman" w:hAnsi="Calibri" w:cs="Times New Roman"/>
          <w:color w:val="4A4A4A"/>
          <w:sz w:val="21"/>
          <w:szCs w:val="21"/>
          <w:lang w:eastAsia="en-GB"/>
        </w:rPr>
        <w:t xml:space="preserve">, </w:t>
      </w:r>
      <w:r>
        <w:rPr>
          <w:rFonts w:ascii="Calibri" w:eastAsia="Times New Roman" w:hAnsi="Calibri" w:cs="Times New Roman"/>
          <w:color w:val="4A4A4A"/>
          <w:sz w:val="21"/>
          <w:szCs w:val="21"/>
          <w:lang w:eastAsia="en-GB"/>
        </w:rPr>
        <w:t>inconsistent data points are imputed by FAO.</w:t>
      </w:r>
    </w:p>
    <w:p w14:paraId="7FBAEBBA" w14:textId="77777777" w:rsidR="00EC2915" w:rsidRPr="00C866C3" w:rsidRDefault="00EC2915" w:rsidP="00576CFA">
      <w:pPr>
        <w:pStyle w:val="MText"/>
        <w:rPr>
          <w:lang w:val="en-US"/>
        </w:rPr>
      </w:pPr>
    </w:p>
    <w:p w14:paraId="17735630" w14:textId="3387C27D" w:rsidR="00E1050F" w:rsidRPr="00C866C3" w:rsidRDefault="00576CFA" w:rsidP="00F719A8">
      <w:pPr>
        <w:pStyle w:val="MHeader2"/>
        <w:rPr>
          <w:lang w:val="en-US"/>
        </w:rPr>
      </w:pPr>
      <w:r w:rsidRPr="00C866C3">
        <w:rPr>
          <w:lang w:val="en-US"/>
        </w:rPr>
        <w:t>4.f. Treatment of missing values (i) at country le</w:t>
      </w:r>
      <w:r w:rsidR="00E1050F" w:rsidRPr="00C866C3">
        <w:rPr>
          <w:lang w:val="en-US"/>
        </w:rPr>
        <w:t>vel and (ii) at regional level</w:t>
      </w:r>
    </w:p>
    <w:p w14:paraId="5A66FC1A" w14:textId="4D5F15EB" w:rsidR="00886510" w:rsidRPr="00C866C3" w:rsidRDefault="00886510" w:rsidP="000B6F91">
      <w:pPr>
        <w:numPr>
          <w:ilvl w:val="0"/>
          <w:numId w:val="6"/>
        </w:numPr>
        <w:shd w:val="clear" w:color="auto" w:fill="FFFFFF"/>
        <w:spacing w:after="0" w:line="240" w:lineRule="auto"/>
        <w:ind w:left="495"/>
        <w:contextualSpacing/>
        <w:outlineLvl w:val="4"/>
        <w:rPr>
          <w:rFonts w:ascii="Calibri" w:hAnsi="Calibri"/>
          <w:color w:val="1C75BC"/>
          <w:sz w:val="21"/>
          <w:lang w:val="en-US"/>
        </w:rPr>
      </w:pPr>
      <w:r w:rsidRPr="00C866C3">
        <w:rPr>
          <w:rFonts w:ascii="Calibri" w:hAnsi="Calibri"/>
          <w:color w:val="1C75BC"/>
          <w:sz w:val="21"/>
          <w:lang w:val="en-US"/>
        </w:rPr>
        <w:t>At country level</w:t>
      </w:r>
    </w:p>
    <w:p w14:paraId="3BE26390" w14:textId="2AF0531B" w:rsidR="00886510" w:rsidRPr="00C866C3" w:rsidRDefault="00886510" w:rsidP="00886510">
      <w:pPr>
        <w:shd w:val="clear" w:color="auto" w:fill="FFFFFF"/>
        <w:spacing w:after="0"/>
        <w:ind w:left="495"/>
        <w:contextualSpacing/>
        <w:rPr>
          <w:rFonts w:ascii="Calibri" w:hAnsi="Calibri"/>
          <w:color w:val="4A4A4A"/>
          <w:sz w:val="21"/>
          <w:lang w:val="en-US"/>
        </w:rPr>
      </w:pPr>
      <w:r w:rsidRPr="00C866C3">
        <w:rPr>
          <w:rFonts w:ascii="Calibri" w:hAnsi="Calibri"/>
          <w:color w:val="4A4A4A"/>
          <w:sz w:val="21"/>
          <w:lang w:val="en-US"/>
        </w:rPr>
        <w:t xml:space="preserve">For countries and territories where no information was provided to FAO for FRA 2020 (47 countries and territories representing 0.5 percent of the global forest area), FAO made estimates of forest area based on existing information from previous assessments, literature search, remote sensing or a combination of these data sources. </w:t>
      </w:r>
    </w:p>
    <w:p w14:paraId="60B0FC29" w14:textId="77777777" w:rsidR="00934EBC" w:rsidRPr="00C866C3" w:rsidRDefault="00934EBC" w:rsidP="00886510">
      <w:pPr>
        <w:shd w:val="clear" w:color="auto" w:fill="FFFFFF"/>
        <w:spacing w:after="0"/>
        <w:ind w:left="495"/>
        <w:contextualSpacing/>
        <w:rPr>
          <w:rFonts w:ascii="Calibri" w:hAnsi="Calibri"/>
          <w:color w:val="4A4A4A"/>
          <w:sz w:val="21"/>
          <w:lang w:val="en-US"/>
        </w:rPr>
      </w:pPr>
    </w:p>
    <w:p w14:paraId="4EBF089F" w14:textId="293F343A" w:rsidR="00934EBC" w:rsidRPr="00CB4DE5" w:rsidRDefault="00934EBC" w:rsidP="00886510">
      <w:pPr>
        <w:shd w:val="clear" w:color="auto" w:fill="FFFFFF"/>
        <w:spacing w:after="0"/>
        <w:ind w:left="495"/>
        <w:contextualSpacing/>
        <w:rPr>
          <w:rFonts w:ascii="Calibri" w:eastAsia="Times New Roman" w:hAnsi="Calibri" w:cs="Times New Roman"/>
          <w:color w:val="4A4A4A"/>
          <w:sz w:val="21"/>
          <w:szCs w:val="21"/>
          <w:lang w:val="en-US" w:eastAsia="en-GB"/>
        </w:rPr>
      </w:pPr>
      <w:r w:rsidRPr="00CB4DE5">
        <w:rPr>
          <w:rFonts w:ascii="Calibri" w:eastAsia="Times New Roman" w:hAnsi="Calibri" w:cs="Times New Roman"/>
          <w:color w:val="4A4A4A"/>
          <w:sz w:val="21"/>
          <w:szCs w:val="21"/>
          <w:lang w:val="en-US" w:eastAsia="en-GB"/>
        </w:rPr>
        <w:lastRenderedPageBreak/>
        <w:t xml:space="preserve">For countries/territories not included in FAOSTAT, land area </w:t>
      </w:r>
      <w:r w:rsidR="00046E5E" w:rsidRPr="00CB4DE5">
        <w:rPr>
          <w:rFonts w:ascii="Calibri" w:eastAsia="Times New Roman" w:hAnsi="Calibri" w:cs="Times New Roman"/>
          <w:color w:val="4A4A4A"/>
          <w:sz w:val="21"/>
          <w:szCs w:val="21"/>
          <w:lang w:val="en-US" w:eastAsia="en-GB"/>
        </w:rPr>
        <w:t xml:space="preserve">data </w:t>
      </w:r>
      <w:r w:rsidRPr="00CB4DE5">
        <w:rPr>
          <w:rFonts w:ascii="Calibri" w:eastAsia="Times New Roman" w:hAnsi="Calibri" w:cs="Times New Roman"/>
          <w:color w:val="4A4A4A"/>
          <w:sz w:val="21"/>
          <w:szCs w:val="21"/>
          <w:lang w:val="en-US" w:eastAsia="en-GB"/>
        </w:rPr>
        <w:t xml:space="preserve">is </w:t>
      </w:r>
      <w:r w:rsidR="00046E5E" w:rsidRPr="00CB4DE5">
        <w:rPr>
          <w:rFonts w:ascii="Calibri" w:eastAsia="Times New Roman" w:hAnsi="Calibri" w:cs="Times New Roman"/>
          <w:color w:val="4A4A4A"/>
          <w:sz w:val="21"/>
          <w:szCs w:val="21"/>
          <w:lang w:val="en-US" w:eastAsia="en-GB"/>
        </w:rPr>
        <w:t>collected</w:t>
      </w:r>
      <w:r w:rsidRPr="00CB4DE5">
        <w:rPr>
          <w:rFonts w:ascii="Calibri" w:eastAsia="Times New Roman" w:hAnsi="Calibri" w:cs="Times New Roman"/>
          <w:color w:val="4A4A4A"/>
          <w:sz w:val="21"/>
          <w:szCs w:val="21"/>
          <w:lang w:val="en-US" w:eastAsia="en-GB"/>
        </w:rPr>
        <w:t xml:space="preserve"> from other sources (national </w:t>
      </w:r>
      <w:r w:rsidR="00046E5E" w:rsidRPr="00CB4DE5">
        <w:rPr>
          <w:rFonts w:ascii="Calibri" w:eastAsia="Times New Roman" w:hAnsi="Calibri" w:cs="Times New Roman"/>
          <w:color w:val="4A4A4A"/>
          <w:sz w:val="21"/>
          <w:szCs w:val="21"/>
          <w:lang w:val="en-US" w:eastAsia="en-GB"/>
        </w:rPr>
        <w:t>W</w:t>
      </w:r>
      <w:r w:rsidRPr="00CB4DE5">
        <w:rPr>
          <w:rFonts w:ascii="Calibri" w:eastAsia="Times New Roman" w:hAnsi="Calibri" w:cs="Times New Roman"/>
          <w:color w:val="4A4A4A"/>
          <w:sz w:val="21"/>
          <w:szCs w:val="21"/>
          <w:lang w:val="en-US" w:eastAsia="en-GB"/>
        </w:rPr>
        <w:t>eb sites, etc.). In a few cases where land area for a specific reference year is not available in FAOSTAT, land area is imputed by using data for closest available reference year.</w:t>
      </w:r>
    </w:p>
    <w:p w14:paraId="2045634D" w14:textId="20FF447C" w:rsidR="00934EBC" w:rsidRPr="00CB4DE5" w:rsidRDefault="00934EBC" w:rsidP="00886510">
      <w:pPr>
        <w:shd w:val="clear" w:color="auto" w:fill="FFFFFF"/>
        <w:spacing w:after="0"/>
        <w:ind w:left="495"/>
        <w:contextualSpacing/>
        <w:rPr>
          <w:rFonts w:ascii="Calibri" w:eastAsia="Times New Roman" w:hAnsi="Calibri" w:cs="Times New Roman"/>
          <w:color w:val="4A4A4A"/>
          <w:sz w:val="21"/>
          <w:szCs w:val="21"/>
          <w:lang w:val="en-US" w:eastAsia="en-GB"/>
        </w:rPr>
      </w:pPr>
    </w:p>
    <w:p w14:paraId="722A3DCB" w14:textId="60AF25E1" w:rsidR="00886510" w:rsidRPr="00C866C3" w:rsidRDefault="00886510" w:rsidP="000B6F91">
      <w:pPr>
        <w:numPr>
          <w:ilvl w:val="0"/>
          <w:numId w:val="6"/>
        </w:numPr>
        <w:shd w:val="clear" w:color="auto" w:fill="FFFFFF"/>
        <w:spacing w:after="0" w:line="240" w:lineRule="auto"/>
        <w:ind w:left="495"/>
        <w:contextualSpacing/>
        <w:outlineLvl w:val="4"/>
        <w:rPr>
          <w:rFonts w:ascii="Calibri" w:hAnsi="Calibri"/>
          <w:color w:val="1C75BC"/>
          <w:sz w:val="21"/>
          <w:lang w:val="en-US"/>
        </w:rPr>
      </w:pPr>
      <w:r w:rsidRPr="00C866C3">
        <w:rPr>
          <w:rFonts w:ascii="Calibri" w:hAnsi="Calibri"/>
          <w:color w:val="1C75BC"/>
          <w:sz w:val="21"/>
          <w:lang w:val="en-US"/>
        </w:rPr>
        <w:t>At regional and global levels</w:t>
      </w:r>
    </w:p>
    <w:p w14:paraId="599197B8" w14:textId="77777777" w:rsidR="00886510" w:rsidRPr="00C866C3" w:rsidRDefault="00886510" w:rsidP="00886510">
      <w:pPr>
        <w:shd w:val="clear" w:color="auto" w:fill="FFFFFF"/>
        <w:spacing w:after="0"/>
        <w:ind w:left="495"/>
        <w:contextualSpacing/>
        <w:rPr>
          <w:rFonts w:ascii="Calibri" w:hAnsi="Calibri"/>
          <w:color w:val="4A4A4A"/>
          <w:sz w:val="21"/>
          <w:lang w:val="en-US"/>
        </w:rPr>
      </w:pPr>
      <w:r w:rsidRPr="00C866C3">
        <w:rPr>
          <w:rFonts w:ascii="Calibri" w:hAnsi="Calibri"/>
          <w:color w:val="4A4A4A"/>
          <w:sz w:val="21"/>
          <w:lang w:val="en-US"/>
        </w:rPr>
        <w:t>See above</w:t>
      </w:r>
    </w:p>
    <w:p w14:paraId="27033367" w14:textId="2746CA2E" w:rsidR="00EC2915" w:rsidRPr="00C866C3" w:rsidRDefault="00EC2915" w:rsidP="00576CFA">
      <w:pPr>
        <w:pStyle w:val="MText"/>
        <w:rPr>
          <w:lang w:val="en-US"/>
        </w:rPr>
      </w:pPr>
    </w:p>
    <w:p w14:paraId="51FCD280" w14:textId="0DAB30E3" w:rsidR="00E1050F" w:rsidRPr="00C866C3" w:rsidRDefault="00E1050F" w:rsidP="00F719A8">
      <w:pPr>
        <w:pStyle w:val="MHeader2"/>
        <w:rPr>
          <w:lang w:val="en-US"/>
        </w:rPr>
      </w:pPr>
      <w:r w:rsidRPr="00C866C3">
        <w:rPr>
          <w:lang w:val="en-US"/>
        </w:rPr>
        <w:t>4.g. Regional aggregations</w:t>
      </w:r>
    </w:p>
    <w:p w14:paraId="1D403F38" w14:textId="3AD23699" w:rsidR="00996433" w:rsidRPr="00CB4DE5" w:rsidRDefault="00886510" w:rsidP="00996433">
      <w:pPr>
        <w:shd w:val="clear" w:color="auto" w:fill="FFFFFF"/>
        <w:spacing w:after="0"/>
        <w:contextualSpacing/>
        <w:rPr>
          <w:rFonts w:eastAsia="Times New Roman" w:cstheme="minorHAnsi"/>
          <w:color w:val="4A4A4A"/>
          <w:sz w:val="21"/>
          <w:szCs w:val="21"/>
          <w:lang w:val="en-US" w:eastAsia="en-GB"/>
        </w:rPr>
      </w:pPr>
      <w:r w:rsidRPr="00C866C3">
        <w:rPr>
          <w:rFonts w:ascii="Calibri" w:hAnsi="Calibri"/>
          <w:color w:val="4A4A4A"/>
          <w:sz w:val="21"/>
          <w:lang w:val="en-US"/>
        </w:rPr>
        <w:t>Since information is available for all countries and territories, regional and global estimates are produced by aggregating country-level data.</w:t>
      </w:r>
      <w:r w:rsidR="00996433" w:rsidRPr="00CB4DE5">
        <w:rPr>
          <w:rFonts w:eastAsia="Times New Roman" w:cstheme="minorHAnsi"/>
          <w:color w:val="4A4A4A"/>
          <w:sz w:val="21"/>
          <w:szCs w:val="21"/>
          <w:lang w:val="en-US" w:eastAsia="en-GB"/>
        </w:rPr>
        <w:t xml:space="preserve"> </w:t>
      </w:r>
    </w:p>
    <w:p w14:paraId="29DE414D" w14:textId="44C615CB" w:rsidR="00886510" w:rsidRPr="00C866C3" w:rsidRDefault="00886510" w:rsidP="00886510">
      <w:pPr>
        <w:shd w:val="clear" w:color="auto" w:fill="FFFFFF"/>
        <w:spacing w:after="0"/>
        <w:contextualSpacing/>
        <w:rPr>
          <w:rFonts w:ascii="Calibri" w:hAnsi="Calibri"/>
          <w:color w:val="4A4A4A"/>
          <w:sz w:val="21"/>
          <w:lang w:val="en-US"/>
        </w:rPr>
      </w:pPr>
    </w:p>
    <w:p w14:paraId="2EA010B7" w14:textId="77777777" w:rsidR="00EC2915" w:rsidRPr="00C866C3" w:rsidRDefault="00EC2915" w:rsidP="00576CFA">
      <w:pPr>
        <w:pStyle w:val="MText"/>
        <w:rPr>
          <w:lang w:val="en-US"/>
        </w:rPr>
      </w:pPr>
    </w:p>
    <w:p w14:paraId="71213FF2" w14:textId="52980C15" w:rsidR="00E1050F" w:rsidRPr="00C866C3" w:rsidRDefault="00576CFA" w:rsidP="00F719A8">
      <w:pPr>
        <w:pStyle w:val="MHeader2"/>
        <w:rPr>
          <w:lang w:val="en-US"/>
        </w:rPr>
      </w:pPr>
      <w:r w:rsidRPr="00C866C3">
        <w:rPr>
          <w:lang w:val="en-US"/>
        </w:rPr>
        <w:t xml:space="preserve">4.h. Methods and guidance available to countries for the compilation of </w:t>
      </w:r>
      <w:r w:rsidR="00E1050F" w:rsidRPr="00C866C3">
        <w:rPr>
          <w:lang w:val="en-US"/>
        </w:rPr>
        <w:t>the data at the national level</w:t>
      </w:r>
    </w:p>
    <w:p w14:paraId="49781796" w14:textId="77777777" w:rsidR="00046E5E" w:rsidRPr="00CB4DE5" w:rsidRDefault="00046E5E" w:rsidP="0018642B">
      <w:pPr>
        <w:spacing w:after="0"/>
        <w:rPr>
          <w:rFonts w:eastAsia="Times New Roman" w:cstheme="minorHAnsi"/>
          <w:b/>
          <w:bCs/>
          <w:color w:val="4A4A4A"/>
          <w:sz w:val="21"/>
          <w:szCs w:val="21"/>
          <w:lang w:val="en-US" w:eastAsia="en-GB"/>
        </w:rPr>
      </w:pPr>
      <w:r w:rsidRPr="00CB4DE5">
        <w:rPr>
          <w:rFonts w:eastAsia="Times New Roman" w:cstheme="minorHAnsi"/>
          <w:b/>
          <w:bCs/>
          <w:color w:val="4A4A4A"/>
          <w:sz w:val="21"/>
          <w:szCs w:val="21"/>
          <w:lang w:val="en-US" w:eastAsia="en-GB"/>
        </w:rPr>
        <w:t>Forest area:</w:t>
      </w:r>
    </w:p>
    <w:p w14:paraId="2A092501" w14:textId="65550ADC" w:rsidR="00046E5E" w:rsidRPr="00CB4DE5" w:rsidRDefault="00886510" w:rsidP="00C866C3">
      <w:pPr>
        <w:spacing w:after="0"/>
        <w:rPr>
          <w:rFonts w:eastAsia="Times New Roman" w:cstheme="minorHAnsi"/>
          <w:color w:val="4A4A4A"/>
          <w:sz w:val="21"/>
          <w:szCs w:val="21"/>
          <w:lang w:val="en-US" w:eastAsia="en-GB"/>
        </w:rPr>
      </w:pPr>
      <w:bookmarkStart w:id="11" w:name="_Hlk64355609"/>
      <w:r w:rsidRPr="00CB4DE5">
        <w:rPr>
          <w:rFonts w:eastAsia="Times New Roman" w:cstheme="minorHAnsi"/>
          <w:color w:val="4A4A4A"/>
          <w:sz w:val="21"/>
          <w:szCs w:val="21"/>
          <w:lang w:val="en-US" w:eastAsia="en-GB"/>
        </w:rPr>
        <w:t xml:space="preserve">Detailed </w:t>
      </w:r>
      <w:bookmarkEnd w:id="11"/>
      <w:r w:rsidRPr="00CB4DE5">
        <w:rPr>
          <w:rFonts w:eastAsia="Times New Roman" w:cstheme="minorHAnsi"/>
          <w:color w:val="4A4A4A"/>
          <w:sz w:val="21"/>
          <w:szCs w:val="21"/>
          <w:lang w:val="en-US" w:eastAsia="en-GB"/>
        </w:rPr>
        <w:t xml:space="preserve">methodology and guidance on how to prepare the country reports through an online web platform and to convert national data according to national categories and definitions to FAO’s global categories and definitions is found in the </w:t>
      </w:r>
      <w:r w:rsidRPr="00CB4DE5">
        <w:rPr>
          <w:rFonts w:eastAsia="Times New Roman" w:cstheme="minorHAnsi"/>
          <w:color w:val="4A4A4A"/>
          <w:sz w:val="21"/>
          <w:szCs w:val="21"/>
          <w:lang w:val="en-US" w:eastAsia="en-GB"/>
        </w:rPr>
        <w:t>document</w:t>
      </w:r>
      <w:r w:rsidR="00F40F94">
        <w:rPr>
          <w:rFonts w:eastAsia="Times New Roman" w:cstheme="minorHAnsi"/>
          <w:color w:val="4A4A4A"/>
          <w:sz w:val="21"/>
          <w:szCs w:val="21"/>
          <w:lang w:val="en-US" w:eastAsia="en-GB"/>
        </w:rPr>
        <w:t xml:space="preserve"> </w:t>
      </w:r>
      <w:r w:rsidRPr="00CB4DE5">
        <w:rPr>
          <w:rFonts w:eastAsia="Times New Roman" w:cstheme="minorHAnsi"/>
          <w:color w:val="4A4A4A"/>
          <w:sz w:val="21"/>
          <w:szCs w:val="21"/>
          <w:lang w:val="en-US" w:eastAsia="en-GB"/>
        </w:rPr>
        <w:t>“</w:t>
      </w:r>
      <w:r w:rsidR="007830B9" w:rsidRPr="007830B9">
        <w:rPr>
          <w:rFonts w:eastAsia="Times New Roman" w:cstheme="minorHAnsi"/>
          <w:i/>
          <w:color w:val="4A4A4A"/>
          <w:sz w:val="21"/>
          <w:szCs w:val="21"/>
          <w:lang w:val="en-US" w:eastAsia="en-GB"/>
        </w:rPr>
        <w:t>FRA 2020</w:t>
      </w:r>
      <w:r w:rsidR="007830B9">
        <w:rPr>
          <w:rFonts w:eastAsia="Times New Roman" w:cstheme="minorHAnsi"/>
          <w:color w:val="4A4A4A"/>
          <w:sz w:val="21"/>
          <w:szCs w:val="21"/>
          <w:lang w:val="en-US" w:eastAsia="en-GB"/>
        </w:rPr>
        <w:t xml:space="preserve"> </w:t>
      </w:r>
      <w:r w:rsidRPr="00CB4DE5">
        <w:rPr>
          <w:rFonts w:eastAsia="Times New Roman" w:cstheme="minorHAnsi"/>
          <w:i/>
          <w:iCs/>
          <w:color w:val="4A4A4A"/>
          <w:sz w:val="21"/>
          <w:szCs w:val="21"/>
          <w:lang w:val="en-US" w:eastAsia="en-GB"/>
        </w:rPr>
        <w:t>Guidelines and Specifications</w:t>
      </w:r>
      <w:r w:rsidRPr="00CB4DE5">
        <w:rPr>
          <w:rFonts w:eastAsia="Times New Roman" w:cstheme="minorHAnsi"/>
          <w:color w:val="4A4A4A"/>
          <w:sz w:val="21"/>
          <w:szCs w:val="21"/>
          <w:lang w:val="en-US" w:eastAsia="en-GB"/>
        </w:rPr>
        <w:t>” (</w:t>
      </w:r>
      <w:hyperlink r:id="rId13" w:history="1">
        <w:r w:rsidRPr="00CB4DE5">
          <w:rPr>
            <w:rFonts w:eastAsia="Times New Roman" w:cstheme="minorHAnsi"/>
            <w:color w:val="0000FF" w:themeColor="hyperlink"/>
            <w:sz w:val="21"/>
            <w:szCs w:val="21"/>
            <w:u w:val="single"/>
            <w:lang w:val="en-US" w:eastAsia="en-GB"/>
          </w:rPr>
          <w:t>www.fao.org/3/I8699EN/i8699en.pdf</w:t>
        </w:r>
      </w:hyperlink>
      <w:proofErr w:type="gramStart"/>
      <w:r w:rsidRPr="00CB4DE5">
        <w:rPr>
          <w:rFonts w:eastAsia="Times New Roman" w:cstheme="minorHAnsi"/>
          <w:color w:val="4A4A4A"/>
          <w:sz w:val="21"/>
          <w:szCs w:val="21"/>
          <w:lang w:val="en-US" w:eastAsia="en-GB"/>
        </w:rPr>
        <w:t xml:space="preserve">) </w:t>
      </w:r>
      <w:r w:rsidR="00046E5E" w:rsidRPr="00CB4DE5">
        <w:rPr>
          <w:rFonts w:eastAsia="Times New Roman" w:cstheme="minorHAnsi"/>
          <w:color w:val="4A4A4A"/>
          <w:sz w:val="21"/>
          <w:szCs w:val="21"/>
          <w:lang w:val="en-US" w:eastAsia="en-GB"/>
        </w:rPr>
        <w:t>.</w:t>
      </w:r>
      <w:proofErr w:type="gramEnd"/>
    </w:p>
    <w:p w14:paraId="35D191A8" w14:textId="77777777" w:rsidR="00046E5E" w:rsidRPr="00CB4DE5" w:rsidRDefault="00046E5E" w:rsidP="0018642B">
      <w:pPr>
        <w:spacing w:after="0"/>
        <w:rPr>
          <w:rFonts w:eastAsia="Times New Roman" w:cstheme="minorHAnsi"/>
          <w:color w:val="4A4A4A"/>
          <w:sz w:val="21"/>
          <w:szCs w:val="21"/>
          <w:lang w:val="en-US" w:eastAsia="en-GB"/>
        </w:rPr>
      </w:pPr>
    </w:p>
    <w:p w14:paraId="0A5080FF" w14:textId="78B7AEA9" w:rsidR="00046E5E" w:rsidRPr="00CB4DE5" w:rsidRDefault="00996DD3" w:rsidP="0018642B">
      <w:pPr>
        <w:spacing w:after="0"/>
        <w:rPr>
          <w:rFonts w:eastAsia="Times New Roman" w:cstheme="minorHAnsi"/>
          <w:b/>
          <w:bCs/>
          <w:color w:val="4A4A4A"/>
          <w:sz w:val="21"/>
          <w:szCs w:val="21"/>
          <w:lang w:val="en-US" w:eastAsia="en-GB"/>
        </w:rPr>
      </w:pPr>
      <w:r>
        <w:rPr>
          <w:rFonts w:eastAsia="Times New Roman" w:cstheme="minorHAnsi"/>
          <w:b/>
          <w:bCs/>
          <w:color w:val="4A4A4A"/>
          <w:sz w:val="21"/>
          <w:szCs w:val="21"/>
          <w:lang w:val="en-US" w:eastAsia="en-GB"/>
        </w:rPr>
        <w:t>L</w:t>
      </w:r>
      <w:r w:rsidR="00046E5E" w:rsidRPr="00CB4DE5">
        <w:rPr>
          <w:rFonts w:eastAsia="Times New Roman" w:cstheme="minorHAnsi"/>
          <w:b/>
          <w:bCs/>
          <w:color w:val="4A4A4A"/>
          <w:sz w:val="21"/>
          <w:szCs w:val="21"/>
          <w:lang w:val="en-US" w:eastAsia="en-GB"/>
        </w:rPr>
        <w:t>and area:</w:t>
      </w:r>
    </w:p>
    <w:p w14:paraId="352C9CA1" w14:textId="2C22238C" w:rsidR="00886510" w:rsidRDefault="00F64F0B" w:rsidP="00CB4DE5">
      <w:pPr>
        <w:spacing w:after="0"/>
        <w:rPr>
          <w:rFonts w:eastAsia="Times New Roman" w:cstheme="minorHAnsi"/>
          <w:color w:val="4A4A4A"/>
          <w:sz w:val="21"/>
          <w:szCs w:val="21"/>
          <w:lang w:val="en-US" w:eastAsia="en-GB"/>
        </w:rPr>
      </w:pPr>
      <w:r w:rsidRPr="00F64F0B">
        <w:rPr>
          <w:rFonts w:eastAsia="Times New Roman" w:cstheme="minorHAnsi"/>
          <w:color w:val="4A4A4A"/>
          <w:sz w:val="21"/>
          <w:szCs w:val="21"/>
          <w:lang w:val="en-US" w:eastAsia="en-GB"/>
        </w:rPr>
        <w:t>Detailed</w:t>
      </w:r>
      <w:r>
        <w:rPr>
          <w:rFonts w:eastAsia="Times New Roman" w:cstheme="minorHAnsi"/>
          <w:color w:val="4A4A4A"/>
          <w:sz w:val="21"/>
          <w:szCs w:val="21"/>
          <w:lang w:val="en-US" w:eastAsia="en-GB"/>
        </w:rPr>
        <w:t xml:space="preserve"> classification and definition are provided in sections </w:t>
      </w:r>
      <w:r w:rsidR="007830B9">
        <w:rPr>
          <w:rFonts w:eastAsia="Times New Roman" w:cstheme="minorHAnsi"/>
          <w:color w:val="4A4A4A"/>
          <w:sz w:val="21"/>
          <w:szCs w:val="21"/>
          <w:lang w:val="en-US" w:eastAsia="en-GB"/>
        </w:rPr>
        <w:t>“</w:t>
      </w:r>
      <w:r w:rsidRPr="009F26F4">
        <w:rPr>
          <w:rFonts w:eastAsia="Times New Roman" w:cstheme="minorHAnsi"/>
          <w:i/>
          <w:color w:val="4A4A4A"/>
          <w:sz w:val="21"/>
          <w:szCs w:val="21"/>
          <w:lang w:val="en-US" w:eastAsia="en-GB"/>
        </w:rPr>
        <w:t>Instructions</w:t>
      </w:r>
      <w:r w:rsidR="007830B9">
        <w:rPr>
          <w:rFonts w:eastAsia="Times New Roman" w:cstheme="minorHAnsi"/>
          <w:color w:val="4A4A4A"/>
          <w:sz w:val="21"/>
          <w:szCs w:val="21"/>
          <w:lang w:val="en-US" w:eastAsia="en-GB"/>
        </w:rPr>
        <w:t>” and “</w:t>
      </w:r>
      <w:r w:rsidRPr="009F26F4">
        <w:rPr>
          <w:rFonts w:eastAsia="Times New Roman" w:cstheme="minorHAnsi"/>
          <w:i/>
          <w:color w:val="4A4A4A"/>
          <w:sz w:val="21"/>
          <w:szCs w:val="21"/>
          <w:lang w:val="en-US" w:eastAsia="en-GB"/>
        </w:rPr>
        <w:t>Definitions</w:t>
      </w:r>
      <w:r w:rsidR="007830B9">
        <w:rPr>
          <w:rFonts w:eastAsia="Times New Roman" w:cstheme="minorHAnsi"/>
          <w:color w:val="4A4A4A"/>
          <w:sz w:val="21"/>
          <w:szCs w:val="21"/>
          <w:lang w:val="en-US" w:eastAsia="en-GB"/>
        </w:rPr>
        <w:t>”</w:t>
      </w:r>
      <w:r>
        <w:rPr>
          <w:rFonts w:eastAsia="Times New Roman" w:cstheme="minorHAnsi"/>
          <w:color w:val="4A4A4A"/>
          <w:sz w:val="21"/>
          <w:szCs w:val="21"/>
          <w:lang w:val="en-US" w:eastAsia="en-GB"/>
        </w:rPr>
        <w:t xml:space="preserve">, of the FAO Land Use, Irrigation and Agricultural Practices Questionnaire of which a copy is available on the FAO </w:t>
      </w:r>
      <w:r w:rsidR="00FF4FFA" w:rsidRPr="00FF4FFA">
        <w:rPr>
          <w:rFonts w:eastAsia="Times New Roman" w:cstheme="minorHAnsi"/>
          <w:color w:val="4A4A4A"/>
          <w:sz w:val="21"/>
          <w:szCs w:val="21"/>
          <w:lang w:val="en-US" w:eastAsia="en-GB"/>
        </w:rPr>
        <w:t>Statistics</w:t>
      </w:r>
      <w:r w:rsidR="00FF4FFA">
        <w:rPr>
          <w:rFonts w:eastAsia="Times New Roman" w:cstheme="minorHAnsi"/>
          <w:color w:val="4A4A4A"/>
          <w:sz w:val="21"/>
          <w:szCs w:val="21"/>
          <w:lang w:val="en-US" w:eastAsia="en-GB"/>
        </w:rPr>
        <w:t xml:space="preserve"> </w:t>
      </w:r>
      <w:r>
        <w:rPr>
          <w:rFonts w:eastAsia="Times New Roman" w:cstheme="minorHAnsi"/>
          <w:color w:val="4A4A4A"/>
          <w:sz w:val="21"/>
          <w:szCs w:val="21"/>
          <w:lang w:val="en-US" w:eastAsia="en-GB"/>
        </w:rPr>
        <w:t>website</w:t>
      </w:r>
      <w:r w:rsidR="00FF4FFA">
        <w:rPr>
          <w:rFonts w:eastAsia="Times New Roman" w:cstheme="minorHAnsi"/>
          <w:color w:val="4A4A4A"/>
          <w:sz w:val="21"/>
          <w:szCs w:val="21"/>
          <w:lang w:val="en-US" w:eastAsia="en-GB"/>
        </w:rPr>
        <w:t>, D</w:t>
      </w:r>
      <w:r w:rsidR="00FF4FFA" w:rsidRPr="00FF4FFA">
        <w:rPr>
          <w:rFonts w:eastAsia="Times New Roman" w:cstheme="minorHAnsi"/>
          <w:color w:val="4A4A4A"/>
          <w:sz w:val="21"/>
          <w:szCs w:val="21"/>
          <w:lang w:val="en-US" w:eastAsia="en-GB"/>
        </w:rPr>
        <w:t>ata Collection subpage</w:t>
      </w:r>
      <w:r w:rsidR="00FF4FFA">
        <w:rPr>
          <w:rFonts w:eastAsia="Times New Roman" w:cstheme="minorHAnsi"/>
          <w:color w:val="4A4A4A"/>
          <w:sz w:val="21"/>
          <w:szCs w:val="21"/>
          <w:lang w:val="en-US" w:eastAsia="en-GB"/>
        </w:rPr>
        <w:t xml:space="preserve"> </w:t>
      </w:r>
      <w:r w:rsidR="00FF4FFA" w:rsidRPr="00FF4FFA">
        <w:rPr>
          <w:rFonts w:eastAsia="Times New Roman" w:cstheme="minorHAnsi"/>
          <w:color w:val="4A4A4A"/>
          <w:sz w:val="21"/>
          <w:szCs w:val="21"/>
          <w:lang w:val="en-US" w:eastAsia="en-GB"/>
        </w:rPr>
        <w:t>(</w:t>
      </w:r>
      <w:hyperlink r:id="rId14" w:history="1">
        <w:r w:rsidR="00996DD3" w:rsidRPr="006C4AAD">
          <w:rPr>
            <w:rStyle w:val="Hyperlink"/>
            <w:rFonts w:eastAsia="Times New Roman" w:cstheme="minorHAnsi"/>
            <w:sz w:val="21"/>
            <w:szCs w:val="21"/>
            <w:lang w:val="en-US" w:eastAsia="en-GB"/>
          </w:rPr>
          <w:t>http://www.fao.org/statistics/data-collection/en/</w:t>
        </w:r>
      </w:hyperlink>
      <w:r w:rsidR="00FF4FFA">
        <w:rPr>
          <w:rFonts w:eastAsia="Times New Roman" w:cstheme="minorHAnsi"/>
          <w:color w:val="4A4A4A"/>
          <w:sz w:val="21"/>
          <w:szCs w:val="21"/>
          <w:lang w:val="en-US" w:eastAsia="en-GB"/>
        </w:rPr>
        <w:t>)</w:t>
      </w:r>
      <w:r>
        <w:rPr>
          <w:rFonts w:eastAsia="Times New Roman" w:cstheme="minorHAnsi"/>
          <w:color w:val="4A4A4A"/>
          <w:sz w:val="21"/>
          <w:szCs w:val="21"/>
          <w:lang w:val="en-US" w:eastAsia="en-GB"/>
        </w:rPr>
        <w:t>.</w:t>
      </w:r>
      <w:r w:rsidR="00996DD3">
        <w:rPr>
          <w:rFonts w:eastAsia="Times New Roman" w:cstheme="minorHAnsi"/>
          <w:color w:val="4A4A4A"/>
          <w:sz w:val="21"/>
          <w:szCs w:val="21"/>
          <w:lang w:val="en-US" w:eastAsia="en-GB"/>
        </w:rPr>
        <w:t xml:space="preserve"> </w:t>
      </w:r>
    </w:p>
    <w:p w14:paraId="2A359C53" w14:textId="548D9E76" w:rsidR="00F64F0B" w:rsidRPr="00CB4DE5" w:rsidRDefault="00F64F0B" w:rsidP="00CB4DE5">
      <w:pPr>
        <w:spacing w:after="0"/>
        <w:rPr>
          <w:rFonts w:eastAsia="Times New Roman" w:cstheme="minorHAnsi"/>
          <w:color w:val="4A4A4A"/>
          <w:sz w:val="21"/>
          <w:szCs w:val="21"/>
          <w:lang w:val="en-US" w:eastAsia="en-GB"/>
        </w:rPr>
      </w:pPr>
      <w:r>
        <w:rPr>
          <w:rFonts w:eastAsia="Times New Roman" w:cstheme="minorHAnsi"/>
          <w:color w:val="4A4A4A"/>
          <w:sz w:val="21"/>
          <w:szCs w:val="21"/>
          <w:lang w:val="en-US" w:eastAsia="en-GB"/>
        </w:rPr>
        <w:t>Definitions are</w:t>
      </w:r>
      <w:r w:rsidR="00FF4FFA">
        <w:rPr>
          <w:rFonts w:eastAsia="Times New Roman" w:cstheme="minorHAnsi"/>
          <w:color w:val="4A4A4A"/>
          <w:sz w:val="21"/>
          <w:szCs w:val="21"/>
          <w:lang w:val="en-US" w:eastAsia="en-GB"/>
        </w:rPr>
        <w:t xml:space="preserve"> also</w:t>
      </w:r>
      <w:r>
        <w:rPr>
          <w:rFonts w:eastAsia="Times New Roman" w:cstheme="minorHAnsi"/>
          <w:color w:val="4A4A4A"/>
          <w:sz w:val="21"/>
          <w:szCs w:val="21"/>
          <w:lang w:val="en-US" w:eastAsia="en-GB"/>
        </w:rPr>
        <w:t xml:space="preserve"> provided together with data in the FAOSTAT Land Use domain in section </w:t>
      </w:r>
      <w:r w:rsidR="009F26F4">
        <w:rPr>
          <w:rFonts w:eastAsia="Times New Roman" w:cstheme="minorHAnsi"/>
          <w:color w:val="4A4A4A"/>
          <w:sz w:val="21"/>
          <w:szCs w:val="21"/>
          <w:lang w:val="en-US" w:eastAsia="en-GB"/>
        </w:rPr>
        <w:t>“</w:t>
      </w:r>
      <w:r w:rsidRPr="009F26F4">
        <w:rPr>
          <w:rFonts w:eastAsia="Times New Roman" w:cstheme="minorHAnsi"/>
          <w:i/>
          <w:color w:val="4A4A4A"/>
          <w:sz w:val="21"/>
          <w:szCs w:val="21"/>
          <w:lang w:val="en-US" w:eastAsia="en-GB"/>
        </w:rPr>
        <w:t>Definitions and Standard</w:t>
      </w:r>
      <w:r w:rsidR="009F26F4" w:rsidRPr="009F26F4">
        <w:rPr>
          <w:rFonts w:eastAsia="Times New Roman" w:cstheme="minorHAnsi"/>
          <w:i/>
          <w:color w:val="4A4A4A"/>
          <w:sz w:val="21"/>
          <w:szCs w:val="21"/>
          <w:lang w:val="en-US" w:eastAsia="en-GB"/>
        </w:rPr>
        <w:t>s</w:t>
      </w:r>
      <w:r w:rsidR="009F26F4">
        <w:rPr>
          <w:rFonts w:eastAsia="Times New Roman" w:cstheme="minorHAnsi"/>
          <w:color w:val="4A4A4A"/>
          <w:sz w:val="21"/>
          <w:szCs w:val="21"/>
          <w:lang w:val="en-US" w:eastAsia="en-GB"/>
        </w:rPr>
        <w:t>”</w:t>
      </w:r>
      <w:r w:rsidR="00FF4FFA">
        <w:rPr>
          <w:rFonts w:eastAsia="Times New Roman" w:cstheme="minorHAnsi"/>
          <w:color w:val="4A4A4A"/>
          <w:sz w:val="21"/>
          <w:szCs w:val="21"/>
          <w:lang w:val="en-US" w:eastAsia="en-GB"/>
        </w:rPr>
        <w:t xml:space="preserve"> (</w:t>
      </w:r>
      <w:hyperlink r:id="rId15" w:anchor="data/RL" w:history="1">
        <w:r w:rsidR="00996DD3" w:rsidRPr="006C4AAD">
          <w:rPr>
            <w:rStyle w:val="Hyperlink"/>
            <w:rFonts w:eastAsia="Times New Roman" w:cstheme="minorHAnsi"/>
            <w:sz w:val="21"/>
            <w:szCs w:val="21"/>
            <w:lang w:val="en-US" w:eastAsia="en-GB"/>
          </w:rPr>
          <w:t>http://www.fao.org/faostat/en/#data/RL</w:t>
        </w:r>
      </w:hyperlink>
      <w:r w:rsidR="00FF4FFA">
        <w:rPr>
          <w:rFonts w:eastAsia="Times New Roman" w:cstheme="minorHAnsi"/>
          <w:color w:val="4A4A4A"/>
          <w:sz w:val="21"/>
          <w:szCs w:val="21"/>
          <w:lang w:val="en-US" w:eastAsia="en-GB"/>
        </w:rPr>
        <w:t>).</w:t>
      </w:r>
      <w:r w:rsidR="00996DD3">
        <w:rPr>
          <w:rFonts w:eastAsia="Times New Roman" w:cstheme="minorHAnsi"/>
          <w:color w:val="4A4A4A"/>
          <w:sz w:val="21"/>
          <w:szCs w:val="21"/>
          <w:lang w:val="en-US" w:eastAsia="en-GB"/>
        </w:rPr>
        <w:t xml:space="preserve"> </w:t>
      </w:r>
    </w:p>
    <w:p w14:paraId="2939895F" w14:textId="77777777" w:rsidR="00EC2915" w:rsidRPr="00C866C3" w:rsidRDefault="00EC2915" w:rsidP="00576CFA">
      <w:pPr>
        <w:pStyle w:val="MText"/>
        <w:rPr>
          <w:lang w:val="en-US"/>
        </w:rPr>
      </w:pPr>
    </w:p>
    <w:p w14:paraId="494C36E8" w14:textId="22C3CD05" w:rsidR="00E1050F" w:rsidRPr="00C866C3" w:rsidRDefault="00576CFA" w:rsidP="00F719A8">
      <w:pPr>
        <w:pStyle w:val="MHeader2"/>
        <w:rPr>
          <w:lang w:val="en-US"/>
        </w:rPr>
      </w:pPr>
      <w:r w:rsidRPr="00C866C3">
        <w:rPr>
          <w:lang w:val="en-US"/>
        </w:rPr>
        <w:t xml:space="preserve">4.i. </w:t>
      </w:r>
      <w:r w:rsidR="00E1050F" w:rsidRPr="00C866C3">
        <w:rPr>
          <w:lang w:val="en-US"/>
        </w:rPr>
        <w:t>Quality management</w:t>
      </w:r>
    </w:p>
    <w:p w14:paraId="7FF47362" w14:textId="0C592B50" w:rsidR="0018642B" w:rsidRPr="00CB4DE5" w:rsidRDefault="00ED46A5" w:rsidP="00576CFA">
      <w:pPr>
        <w:pStyle w:val="MText"/>
        <w:rPr>
          <w:lang w:val="en-US"/>
        </w:rPr>
      </w:pPr>
      <w:bookmarkStart w:id="12" w:name="_Hlk64274982"/>
      <w:r w:rsidRPr="00CB4DE5">
        <w:rPr>
          <w:lang w:val="en-US"/>
        </w:rPr>
        <w:t xml:space="preserve">FAO is responsible for the quality of the internal statistical processes used to compile the published datasets. The FAO Statistics Quality Assurance Framework (SQAF), available at: </w:t>
      </w:r>
      <w:hyperlink r:id="rId16" w:history="1">
        <w:r w:rsidR="00996DD3" w:rsidRPr="006C4AAD">
          <w:rPr>
            <w:rStyle w:val="Hyperlink"/>
            <w:lang w:val="en-US"/>
          </w:rPr>
          <w:t>http://www.fao.org/docrep/019/i3664e/i3664e.pdf</w:t>
        </w:r>
      </w:hyperlink>
      <w:r w:rsidRPr="00CB4DE5">
        <w:rPr>
          <w:lang w:val="en-US"/>
        </w:rPr>
        <w:t>,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(e.g. quality reviews, self-assessments, compliance monitoring).</w:t>
      </w:r>
      <w:bookmarkEnd w:id="12"/>
    </w:p>
    <w:p w14:paraId="5484B16D" w14:textId="77777777" w:rsidR="00EC2915" w:rsidRPr="00C866C3" w:rsidRDefault="00EC2915" w:rsidP="00576CFA">
      <w:pPr>
        <w:pStyle w:val="MText"/>
        <w:rPr>
          <w:lang w:val="en-US"/>
        </w:rPr>
      </w:pPr>
    </w:p>
    <w:p w14:paraId="17B979CA" w14:textId="449C0153" w:rsidR="00E1050F" w:rsidRPr="00C866C3" w:rsidRDefault="00E1050F" w:rsidP="00F719A8">
      <w:pPr>
        <w:pStyle w:val="MHeader2"/>
        <w:rPr>
          <w:lang w:val="en-US"/>
        </w:rPr>
      </w:pPr>
      <w:r w:rsidRPr="00C866C3">
        <w:rPr>
          <w:lang w:val="en-US"/>
        </w:rPr>
        <w:t>4.j Quality assurance</w:t>
      </w:r>
    </w:p>
    <w:p w14:paraId="4100A637" w14:textId="431ACD59" w:rsidR="00886510" w:rsidRPr="00CB4DE5" w:rsidRDefault="0018642B" w:rsidP="00C866C3">
      <w:pPr>
        <w:spacing w:after="0"/>
        <w:rPr>
          <w:rFonts w:eastAsia="Times New Roman" w:cstheme="minorHAnsi"/>
          <w:color w:val="4A4A4A"/>
          <w:sz w:val="21"/>
          <w:szCs w:val="21"/>
          <w:lang w:val="en-US" w:eastAsia="en-GB"/>
        </w:rPr>
      </w:pPr>
      <w:r w:rsidRPr="00CB4DE5">
        <w:rPr>
          <w:rFonts w:eastAsia="Times New Roman" w:cstheme="minorHAnsi"/>
          <w:color w:val="4A4A4A"/>
          <w:sz w:val="21"/>
          <w:szCs w:val="21"/>
          <w:lang w:val="en-US" w:eastAsia="en-GB"/>
        </w:rPr>
        <w:t xml:space="preserve">Data </w:t>
      </w:r>
      <w:r w:rsidR="00046E5E" w:rsidRPr="00CB4DE5">
        <w:rPr>
          <w:rFonts w:eastAsia="Times New Roman" w:cstheme="minorHAnsi"/>
          <w:color w:val="4A4A4A"/>
          <w:sz w:val="21"/>
          <w:szCs w:val="21"/>
          <w:lang w:val="en-US" w:eastAsia="en-GB"/>
        </w:rPr>
        <w:t xml:space="preserve">on forest area </w:t>
      </w:r>
      <w:r w:rsidRPr="00CB4DE5">
        <w:rPr>
          <w:rFonts w:eastAsia="Times New Roman" w:cstheme="minorHAnsi"/>
          <w:color w:val="4A4A4A"/>
          <w:sz w:val="21"/>
          <w:szCs w:val="21"/>
          <w:lang w:val="en-US" w:eastAsia="en-GB"/>
        </w:rPr>
        <w:t>reported by countries to FAO are subject to</w:t>
      </w:r>
      <w:r w:rsidRPr="00CB4DE5">
        <w:rPr>
          <w:rFonts w:eastAsia="Times New Roman" w:cstheme="minorHAnsi"/>
          <w:color w:val="4A4A4A"/>
          <w:sz w:val="21"/>
          <w:szCs w:val="21"/>
          <w:lang w:val="en-US" w:eastAsia="en-GB"/>
        </w:rPr>
        <w:t xml:space="preserve"> </w:t>
      </w:r>
      <w:r w:rsidR="00886510" w:rsidRPr="00CB4DE5">
        <w:rPr>
          <w:rFonts w:eastAsia="Times New Roman" w:cstheme="minorHAnsi"/>
          <w:color w:val="4A4A4A"/>
          <w:sz w:val="21"/>
          <w:szCs w:val="21"/>
          <w:lang w:val="en-US" w:eastAsia="en-GB"/>
        </w:rPr>
        <w:t>a rigorous review process to ensure correct use of definitions and methodology as well as internal consistency. A comparison is made with past assessments and other existing data sources. Regular contacts between national correspondents and FAO staff by e-mail</w:t>
      </w:r>
      <w:r w:rsidR="009F26F4">
        <w:rPr>
          <w:rFonts w:eastAsia="Times New Roman" w:cstheme="minorHAnsi"/>
          <w:color w:val="4A4A4A"/>
          <w:sz w:val="21"/>
          <w:szCs w:val="21"/>
          <w:lang w:val="en-US" w:eastAsia="en-GB"/>
        </w:rPr>
        <w:t>, through the FRA online platform</w:t>
      </w:r>
      <w:r w:rsidR="00886510" w:rsidRPr="00CB4DE5">
        <w:rPr>
          <w:rFonts w:eastAsia="Times New Roman" w:cstheme="minorHAnsi"/>
          <w:color w:val="4A4A4A"/>
          <w:sz w:val="21"/>
          <w:szCs w:val="21"/>
          <w:lang w:val="en-US" w:eastAsia="en-GB"/>
        </w:rPr>
        <w:t xml:space="preserve"> and </w:t>
      </w:r>
      <w:r w:rsidR="009F26F4">
        <w:rPr>
          <w:rFonts w:eastAsia="Times New Roman" w:cstheme="minorHAnsi"/>
          <w:color w:val="4A4A4A"/>
          <w:sz w:val="21"/>
          <w:szCs w:val="21"/>
          <w:lang w:val="en-US" w:eastAsia="en-GB"/>
        </w:rPr>
        <w:t>during</w:t>
      </w:r>
      <w:r w:rsidR="009F26F4">
        <w:rPr>
          <w:rFonts w:eastAsia="Times New Roman" w:cstheme="minorHAnsi"/>
          <w:color w:val="4A4A4A"/>
          <w:sz w:val="21"/>
          <w:szCs w:val="21"/>
          <w:lang w:val="en-US" w:eastAsia="en-GB"/>
        </w:rPr>
        <w:t xml:space="preserve"> </w:t>
      </w:r>
      <w:r w:rsidR="00886510" w:rsidRPr="00CB4DE5">
        <w:rPr>
          <w:rFonts w:eastAsia="Times New Roman" w:cstheme="minorHAnsi"/>
          <w:color w:val="4A4A4A"/>
          <w:sz w:val="21"/>
          <w:szCs w:val="21"/>
          <w:lang w:val="en-US" w:eastAsia="en-GB"/>
        </w:rPr>
        <w:t>regional/sub-regional review workshops form part of this review process.</w:t>
      </w:r>
    </w:p>
    <w:p w14:paraId="50F5593B" w14:textId="3125EB72" w:rsidR="00886510" w:rsidRPr="00CB4DE5" w:rsidRDefault="00886510" w:rsidP="00886510">
      <w:pPr>
        <w:spacing w:after="0" w:line="240" w:lineRule="auto"/>
        <w:rPr>
          <w:rFonts w:eastAsia="Times New Roman" w:cstheme="minorHAnsi"/>
          <w:color w:val="4A4A4A"/>
          <w:sz w:val="21"/>
          <w:szCs w:val="21"/>
          <w:lang w:val="en-US" w:eastAsia="en-GB"/>
        </w:rPr>
      </w:pPr>
    </w:p>
    <w:p w14:paraId="50A9B376" w14:textId="0EAB4F4A" w:rsidR="0040193B" w:rsidRPr="00CB4DE5" w:rsidRDefault="0040193B" w:rsidP="0040193B">
      <w:pPr>
        <w:shd w:val="clear" w:color="auto" w:fill="FFFFFF"/>
        <w:spacing w:after="0"/>
        <w:contextualSpacing/>
        <w:rPr>
          <w:rFonts w:ascii="Calibri" w:eastAsia="Times New Roman" w:hAnsi="Calibri" w:cs="Times New Roman"/>
          <w:color w:val="4A4A4A"/>
          <w:sz w:val="21"/>
          <w:szCs w:val="21"/>
          <w:lang w:val="en-US" w:eastAsia="en-GB"/>
        </w:rPr>
      </w:pPr>
      <w:r>
        <w:rPr>
          <w:rFonts w:ascii="Calibri" w:eastAsia="Times New Roman" w:hAnsi="Calibri" w:cs="Times New Roman"/>
          <w:color w:val="4A4A4A"/>
          <w:sz w:val="21"/>
          <w:szCs w:val="21"/>
          <w:lang w:val="en-US" w:eastAsia="en-GB"/>
        </w:rPr>
        <w:t xml:space="preserve">Data </w:t>
      </w:r>
      <w:r w:rsidR="009F26F4">
        <w:rPr>
          <w:rFonts w:ascii="Calibri" w:eastAsia="Times New Roman" w:hAnsi="Calibri" w:cs="Times New Roman"/>
          <w:color w:val="4A4A4A"/>
          <w:sz w:val="21"/>
          <w:szCs w:val="21"/>
          <w:lang w:val="en-US" w:eastAsia="en-GB"/>
        </w:rPr>
        <w:t xml:space="preserve">on land area </w:t>
      </w:r>
      <w:r>
        <w:rPr>
          <w:rFonts w:ascii="Calibri" w:eastAsia="Times New Roman" w:hAnsi="Calibri" w:cs="Times New Roman"/>
          <w:color w:val="4A4A4A"/>
          <w:sz w:val="21"/>
          <w:szCs w:val="21"/>
          <w:lang w:val="en-US" w:eastAsia="en-GB"/>
        </w:rPr>
        <w:t>are reported by FAO members through the FAO Land Use, Irrigation and Agricultural Practices questionnaire.</w:t>
      </w:r>
      <w:r w:rsidR="00996DD3">
        <w:rPr>
          <w:rFonts w:ascii="Calibri" w:eastAsia="Times New Roman" w:hAnsi="Calibri" w:cs="Times New Roman"/>
          <w:color w:val="4A4A4A"/>
          <w:sz w:val="21"/>
          <w:szCs w:val="21"/>
          <w:lang w:val="en-US" w:eastAsia="en-GB"/>
        </w:rPr>
        <w:t xml:space="preserve"> </w:t>
      </w:r>
      <w:r w:rsidRPr="0040193B">
        <w:rPr>
          <w:rFonts w:ascii="Calibri" w:eastAsia="Times New Roman" w:hAnsi="Calibri" w:cs="Times New Roman"/>
          <w:color w:val="4A4A4A"/>
          <w:sz w:val="21"/>
          <w:szCs w:val="21"/>
          <w:lang w:val="en-US" w:eastAsia="en-GB"/>
        </w:rPr>
        <w:t xml:space="preserve">Collected data are routinely checked for internal consistency (e.g. outliers and significant variation in time series). </w:t>
      </w:r>
      <w:r w:rsidR="00FC1FC5">
        <w:rPr>
          <w:rFonts w:ascii="Calibri" w:eastAsia="Times New Roman" w:hAnsi="Calibri" w:cs="Times New Roman"/>
          <w:color w:val="4A4A4A"/>
          <w:sz w:val="21"/>
          <w:szCs w:val="21"/>
          <w:lang w:val="en-US" w:eastAsia="en-GB"/>
        </w:rPr>
        <w:t>O</w:t>
      </w:r>
      <w:r w:rsidRPr="0040193B">
        <w:rPr>
          <w:rFonts w:ascii="Calibri" w:eastAsia="Times New Roman" w:hAnsi="Calibri" w:cs="Times New Roman"/>
          <w:color w:val="4A4A4A"/>
          <w:sz w:val="21"/>
          <w:szCs w:val="21"/>
          <w:lang w:val="en-US" w:eastAsia="en-GB"/>
        </w:rPr>
        <w:t xml:space="preserve">bserved discrepancies are </w:t>
      </w:r>
      <w:r w:rsidR="00FC1FC5">
        <w:rPr>
          <w:rFonts w:ascii="Calibri" w:eastAsia="Times New Roman" w:hAnsi="Calibri" w:cs="Times New Roman"/>
          <w:color w:val="4A4A4A"/>
          <w:sz w:val="21"/>
          <w:szCs w:val="21"/>
          <w:lang w:val="en-US" w:eastAsia="en-GB"/>
        </w:rPr>
        <w:t xml:space="preserve">routinely </w:t>
      </w:r>
      <w:r w:rsidRPr="0040193B">
        <w:rPr>
          <w:rFonts w:ascii="Calibri" w:eastAsia="Times New Roman" w:hAnsi="Calibri" w:cs="Times New Roman"/>
          <w:color w:val="4A4A4A"/>
          <w:sz w:val="21"/>
          <w:szCs w:val="21"/>
          <w:lang w:val="en-US" w:eastAsia="en-GB"/>
        </w:rPr>
        <w:t>checked and validated with countries.</w:t>
      </w:r>
    </w:p>
    <w:p w14:paraId="16C64FAE" w14:textId="77777777" w:rsidR="00046E5E" w:rsidRPr="00CB4DE5" w:rsidRDefault="00046E5E" w:rsidP="00886510">
      <w:pPr>
        <w:spacing w:after="0" w:line="240" w:lineRule="auto"/>
        <w:rPr>
          <w:rFonts w:eastAsia="Times New Roman" w:cstheme="minorHAnsi"/>
          <w:color w:val="4A4A4A"/>
          <w:sz w:val="21"/>
          <w:szCs w:val="21"/>
          <w:lang w:val="en-US" w:eastAsia="en-GB"/>
        </w:rPr>
      </w:pPr>
    </w:p>
    <w:p w14:paraId="03EF3244" w14:textId="77777777" w:rsidR="00EC2915" w:rsidRPr="00C866C3" w:rsidRDefault="00EC2915" w:rsidP="00576CFA">
      <w:pPr>
        <w:pStyle w:val="MText"/>
        <w:rPr>
          <w:lang w:val="en-US"/>
        </w:rPr>
      </w:pPr>
    </w:p>
    <w:p w14:paraId="34ADD322" w14:textId="1A21C057" w:rsidR="00E1050F" w:rsidRPr="00C866C3" w:rsidRDefault="00576CFA" w:rsidP="00F719A8">
      <w:pPr>
        <w:pStyle w:val="MHeader2"/>
        <w:rPr>
          <w:lang w:val="en-US"/>
        </w:rPr>
      </w:pPr>
      <w:r w:rsidRPr="00C866C3">
        <w:rPr>
          <w:lang w:val="en-US"/>
        </w:rPr>
        <w:t>4.k Qua</w:t>
      </w:r>
      <w:r w:rsidR="00E1050F" w:rsidRPr="00C866C3">
        <w:rPr>
          <w:lang w:val="en-US"/>
        </w:rPr>
        <w:t>lity assessment</w:t>
      </w:r>
    </w:p>
    <w:p w14:paraId="5B7C52CE" w14:textId="6AC6A038" w:rsidR="00576CFA" w:rsidRPr="00C866C3" w:rsidRDefault="00576CFA" w:rsidP="00576CFA">
      <w:pPr>
        <w:pStyle w:val="MText"/>
        <w:rPr>
          <w:lang w:val="en-US"/>
        </w:rPr>
      </w:pPr>
    </w:p>
    <w:p w14:paraId="17787B3C" w14:textId="03FE81A9" w:rsidR="00E1050F" w:rsidRPr="00C866C3" w:rsidRDefault="00576CFA" w:rsidP="000412A0">
      <w:pPr>
        <w:pStyle w:val="MHeader"/>
        <w:spacing w:after="100"/>
        <w:rPr>
          <w:lang w:val="en-US"/>
        </w:rPr>
      </w:pPr>
      <w:r w:rsidRPr="00C866C3">
        <w:rPr>
          <w:lang w:val="en-US"/>
        </w:rPr>
        <w:t>5. Data availability and disaggregation</w:t>
      </w:r>
    </w:p>
    <w:p w14:paraId="464A8CCF" w14:textId="27C17D3B" w:rsidR="00576CFA" w:rsidRPr="00C866C3" w:rsidRDefault="00D51E7C" w:rsidP="00576CFA">
      <w:pPr>
        <w:pStyle w:val="MText"/>
        <w:rPr>
          <w:lang w:val="en-US"/>
        </w:rPr>
      </w:pPr>
      <w:r w:rsidRPr="00C866C3">
        <w:rPr>
          <w:lang w:val="en-US"/>
        </w:rPr>
        <w:t>Data availability:</w:t>
      </w:r>
    </w:p>
    <w:p w14:paraId="109CD68E" w14:textId="4EED0A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Forest area data are available for all 236 countries and territories included in FRA 2020</w:t>
      </w:r>
      <w:r w:rsidR="0018642B" w:rsidRPr="00CB4DE5">
        <w:rPr>
          <w:rFonts w:ascii="Calibri" w:eastAsia="Times New Roman" w:hAnsi="Calibri" w:cs="Times New Roman"/>
          <w:color w:val="4A4A4A"/>
          <w:sz w:val="21"/>
          <w:szCs w:val="21"/>
          <w:lang w:val="en-US" w:eastAsia="en-GB"/>
        </w:rPr>
        <w:t>, and for the following points in time:</w:t>
      </w:r>
      <w:r w:rsidR="00F40F94">
        <w:rPr>
          <w:rFonts w:ascii="Calibri" w:eastAsia="Times New Roman" w:hAnsi="Calibri" w:cs="Times New Roman"/>
          <w:color w:val="4A4A4A"/>
          <w:sz w:val="21"/>
          <w:szCs w:val="21"/>
          <w:lang w:val="en-US" w:eastAsia="en-GB"/>
        </w:rPr>
        <w:t xml:space="preserve"> </w:t>
      </w:r>
      <w:r w:rsidRPr="00C866C3">
        <w:rPr>
          <w:rFonts w:ascii="Calibri" w:hAnsi="Calibri"/>
          <w:color w:val="4A4A4A"/>
          <w:sz w:val="21"/>
          <w:lang w:val="en-US"/>
        </w:rPr>
        <w:t>1990, 2000, 201</w:t>
      </w:r>
      <w:r w:rsidR="009F26F4" w:rsidRPr="00C866C3">
        <w:rPr>
          <w:rFonts w:ascii="Calibri" w:hAnsi="Calibri"/>
          <w:color w:val="4A4A4A"/>
          <w:sz w:val="21"/>
          <w:lang w:val="en-US"/>
        </w:rPr>
        <w:t>0, 2015, 2016, 2017, 2018, 2019</w:t>
      </w:r>
      <w:r w:rsidR="009F26F4">
        <w:rPr>
          <w:rFonts w:ascii="Calibri" w:eastAsia="Times New Roman" w:hAnsi="Calibri" w:cs="Times New Roman"/>
          <w:color w:val="4A4A4A"/>
          <w:sz w:val="21"/>
          <w:szCs w:val="21"/>
          <w:lang w:val="en-US" w:eastAsia="en-GB"/>
        </w:rPr>
        <w:t xml:space="preserve"> and</w:t>
      </w:r>
      <w:r w:rsidRPr="00C866C3">
        <w:rPr>
          <w:rFonts w:ascii="Calibri" w:hAnsi="Calibri"/>
          <w:color w:val="4A4A4A"/>
          <w:sz w:val="21"/>
          <w:lang w:val="en-US"/>
        </w:rPr>
        <w:t xml:space="preserve"> 2020</w:t>
      </w:r>
      <w:r w:rsidR="0018642B" w:rsidRPr="00CB4DE5">
        <w:rPr>
          <w:rFonts w:ascii="Calibri" w:eastAsia="Times New Roman" w:hAnsi="Calibri" w:cs="Times New Roman"/>
          <w:color w:val="4A4A4A"/>
          <w:sz w:val="21"/>
          <w:szCs w:val="21"/>
          <w:lang w:val="en-US" w:eastAsia="en-GB"/>
        </w:rPr>
        <w:t>.</w:t>
      </w:r>
    </w:p>
    <w:p w14:paraId="1417FEA0" w14:textId="7790014F" w:rsidR="00046E5E" w:rsidRPr="00CB4DE5" w:rsidRDefault="00046E5E" w:rsidP="00886510">
      <w:pPr>
        <w:shd w:val="clear" w:color="auto" w:fill="FFFFFF"/>
        <w:spacing w:after="0"/>
        <w:contextualSpacing/>
        <w:rPr>
          <w:rFonts w:ascii="Calibri" w:eastAsia="Times New Roman" w:hAnsi="Calibri" w:cs="Times New Roman"/>
          <w:color w:val="4A4A4A"/>
          <w:sz w:val="21"/>
          <w:szCs w:val="21"/>
          <w:lang w:val="en-US" w:eastAsia="en-GB"/>
        </w:rPr>
      </w:pPr>
    </w:p>
    <w:p w14:paraId="6A8F34F3" w14:textId="1E0E65BF" w:rsidR="00046E5E" w:rsidRPr="00996DD3" w:rsidRDefault="00FC1FC5" w:rsidP="00886510">
      <w:pPr>
        <w:shd w:val="clear" w:color="auto" w:fill="FFFFFF"/>
        <w:spacing w:after="0"/>
        <w:contextualSpacing/>
        <w:rPr>
          <w:rFonts w:ascii="Calibri" w:eastAsia="Times New Roman" w:hAnsi="Calibri" w:cs="Times New Roman"/>
          <w:color w:val="4A4A4A"/>
          <w:sz w:val="21"/>
          <w:szCs w:val="21"/>
          <w:lang w:val="en-US" w:eastAsia="en-GB"/>
        </w:rPr>
      </w:pPr>
      <w:r w:rsidRPr="009F26F4">
        <w:rPr>
          <w:rFonts w:ascii="Calibri" w:eastAsia="Times New Roman" w:hAnsi="Calibri" w:cs="Times New Roman"/>
          <w:color w:val="4A4A4A"/>
          <w:sz w:val="21"/>
          <w:szCs w:val="21"/>
          <w:lang w:val="en-US" w:eastAsia="en-GB"/>
        </w:rPr>
        <w:t xml:space="preserve">Land area </w:t>
      </w:r>
      <w:r w:rsidR="00996DD3" w:rsidRPr="009F26F4">
        <w:rPr>
          <w:rFonts w:ascii="Calibri" w:eastAsia="Times New Roman" w:hAnsi="Calibri" w:cs="Times New Roman"/>
          <w:color w:val="4A4A4A"/>
          <w:sz w:val="21"/>
          <w:szCs w:val="21"/>
          <w:lang w:val="en-US" w:eastAsia="en-GB"/>
        </w:rPr>
        <w:t>d</w:t>
      </w:r>
      <w:r w:rsidRPr="009F26F4">
        <w:rPr>
          <w:rFonts w:ascii="Calibri" w:eastAsia="Times New Roman" w:hAnsi="Calibri" w:cs="Times New Roman"/>
          <w:color w:val="4A4A4A"/>
          <w:sz w:val="21"/>
          <w:szCs w:val="21"/>
          <w:lang w:val="en-US" w:eastAsia="en-GB"/>
        </w:rPr>
        <w:t>ata are update</w:t>
      </w:r>
      <w:r w:rsidR="009F26F4" w:rsidRPr="009F26F4">
        <w:rPr>
          <w:rFonts w:ascii="Calibri" w:eastAsia="Times New Roman" w:hAnsi="Calibri" w:cs="Times New Roman"/>
          <w:color w:val="4A4A4A"/>
          <w:sz w:val="21"/>
          <w:szCs w:val="21"/>
          <w:lang w:val="en-US" w:eastAsia="en-GB"/>
        </w:rPr>
        <w:t>d</w:t>
      </w:r>
      <w:r w:rsidRPr="009F26F4">
        <w:rPr>
          <w:rFonts w:ascii="Calibri" w:eastAsia="Times New Roman" w:hAnsi="Calibri" w:cs="Times New Roman"/>
          <w:color w:val="4A4A4A"/>
          <w:sz w:val="21"/>
          <w:szCs w:val="21"/>
          <w:lang w:val="en-US" w:eastAsia="en-GB"/>
        </w:rPr>
        <w:t xml:space="preserve"> annually and are available by country and year, covering up to 246 countries and territories for the period 1961-2018.</w:t>
      </w:r>
    </w:p>
    <w:p w14:paraId="760C013A" w14:textId="0900B4FC" w:rsidR="00D51E7C" w:rsidRPr="00C866C3" w:rsidRDefault="00D51E7C" w:rsidP="00576CFA">
      <w:pPr>
        <w:pStyle w:val="MText"/>
        <w:rPr>
          <w:highlight w:val="cyan"/>
          <w:lang w:val="en-US"/>
        </w:rPr>
      </w:pPr>
    </w:p>
    <w:p w14:paraId="72C7C370" w14:textId="526E5454" w:rsidR="00D51E7C" w:rsidRPr="00C866C3" w:rsidRDefault="00D51E7C" w:rsidP="00576CFA">
      <w:pPr>
        <w:pStyle w:val="MText"/>
        <w:rPr>
          <w:lang w:val="en-US"/>
        </w:rPr>
      </w:pPr>
      <w:r w:rsidRPr="00C866C3">
        <w:rPr>
          <w:lang w:val="en-US"/>
        </w:rPr>
        <w:t>Disaggregation:</w:t>
      </w:r>
    </w:p>
    <w:p w14:paraId="5E510933" w14:textId="70402A61"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No further disaggregation of this indicator</w:t>
      </w:r>
      <w:r w:rsidR="0018642B" w:rsidRPr="00CB4DE5">
        <w:rPr>
          <w:rFonts w:ascii="Calibri" w:eastAsia="Times New Roman" w:hAnsi="Calibri" w:cs="Times New Roman"/>
          <w:color w:val="4A4A4A"/>
          <w:sz w:val="21"/>
          <w:szCs w:val="21"/>
          <w:lang w:val="en-US" w:eastAsia="en-GB"/>
        </w:rPr>
        <w:t>.</w:t>
      </w:r>
    </w:p>
    <w:p w14:paraId="42E8CA56" w14:textId="2ADB63F1" w:rsidR="00D51E7C" w:rsidRPr="00C866C3" w:rsidRDefault="00D51E7C" w:rsidP="00576CFA">
      <w:pPr>
        <w:pStyle w:val="MText"/>
        <w:rPr>
          <w:lang w:val="en-US"/>
        </w:rPr>
      </w:pPr>
    </w:p>
    <w:p w14:paraId="4D0520F7" w14:textId="11F0E737" w:rsidR="00382CF3" w:rsidRPr="00C866C3" w:rsidRDefault="00B31E2C" w:rsidP="000412A0">
      <w:pPr>
        <w:pStyle w:val="MHeader"/>
        <w:spacing w:after="100"/>
        <w:rPr>
          <w:lang w:val="en-US"/>
        </w:rPr>
      </w:pPr>
      <w:r w:rsidRPr="00C866C3">
        <w:rPr>
          <w:lang w:val="en-US"/>
        </w:rPr>
        <w:t>6. Comparability / d</w:t>
      </w:r>
      <w:r w:rsidR="00576CFA" w:rsidRPr="00C866C3">
        <w:rPr>
          <w:lang w:val="en-US"/>
        </w:rPr>
        <w:t>eviatio</w:t>
      </w:r>
      <w:r w:rsidR="00382CF3" w:rsidRPr="00C866C3">
        <w:rPr>
          <w:lang w:val="en-US"/>
        </w:rPr>
        <w:t>n from international standards</w:t>
      </w:r>
    </w:p>
    <w:p w14:paraId="3595E072" w14:textId="2BCE8AC4" w:rsidR="00D51E7C" w:rsidRPr="00C866C3" w:rsidRDefault="00D51E7C" w:rsidP="00576CFA">
      <w:pPr>
        <w:pStyle w:val="MText"/>
        <w:rPr>
          <w:lang w:val="en-US"/>
        </w:rPr>
      </w:pPr>
      <w:r w:rsidRPr="00C866C3">
        <w:rPr>
          <w:lang w:val="en-US"/>
        </w:rPr>
        <w:t>Sources of discrepancies:</w:t>
      </w:r>
    </w:p>
    <w:p w14:paraId="3BD9F6DE"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The national figures in the database are reported by the countries themselves following standardized format, definitions and reporting years, thus eliminating any discrepancies between global and national figures. The reporting template requests that countries provide the full reference for original data sources as well as national definitions and terminology. Separate sections in the template 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w:t>
      </w:r>
    </w:p>
    <w:p w14:paraId="5AB6DD91" w14:textId="5E3A8D33" w:rsidR="00F719A8" w:rsidRPr="00C866C3" w:rsidRDefault="00F719A8" w:rsidP="00576CFA">
      <w:pPr>
        <w:pStyle w:val="MText"/>
        <w:rPr>
          <w:lang w:val="en-US"/>
        </w:rPr>
      </w:pPr>
    </w:p>
    <w:p w14:paraId="76DF099C" w14:textId="703C09F1" w:rsidR="00382CF3" w:rsidRPr="00C866C3" w:rsidRDefault="00576CFA" w:rsidP="000412A0">
      <w:pPr>
        <w:pStyle w:val="MHeader"/>
        <w:spacing w:after="100"/>
        <w:rPr>
          <w:lang w:val="en-US"/>
        </w:rPr>
      </w:pPr>
      <w:r w:rsidRPr="00C866C3">
        <w:rPr>
          <w:lang w:val="en-US"/>
        </w:rPr>
        <w:t>7</w:t>
      </w:r>
      <w:r w:rsidR="00382CF3" w:rsidRPr="00C866C3">
        <w:rPr>
          <w:lang w:val="en-US"/>
        </w:rPr>
        <w:t>. References and Documentation</w:t>
      </w:r>
    </w:p>
    <w:p w14:paraId="18BB931D"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b/>
          <w:color w:val="4A4A4A"/>
          <w:sz w:val="21"/>
          <w:lang w:val="en-US"/>
        </w:rPr>
        <w:t>URL:</w:t>
      </w:r>
    </w:p>
    <w:p w14:paraId="6F078A63" w14:textId="77777777" w:rsidR="00886510" w:rsidRPr="00C866C3" w:rsidRDefault="00886510" w:rsidP="00886510">
      <w:pPr>
        <w:shd w:val="clear" w:color="auto" w:fill="FFFFFF"/>
        <w:spacing w:after="0"/>
        <w:contextualSpacing/>
        <w:rPr>
          <w:rFonts w:ascii="Calibri" w:hAnsi="Calibri"/>
          <w:color w:val="4A4A4A"/>
          <w:sz w:val="21"/>
          <w:lang w:val="en-US"/>
        </w:rPr>
      </w:pPr>
    </w:p>
    <w:p w14:paraId="47F2B7E2" w14:textId="54A2EE33" w:rsidR="009F26F4" w:rsidRDefault="00C866C3" w:rsidP="00886510">
      <w:pPr>
        <w:shd w:val="clear" w:color="auto" w:fill="FFFFFF"/>
        <w:spacing w:after="0"/>
        <w:contextualSpacing/>
        <w:rPr>
          <w:rStyle w:val="Hyperlink"/>
          <w:rFonts w:ascii="Calibri" w:eastAsia="Times New Roman" w:hAnsi="Calibri" w:cs="Times New Roman"/>
          <w:sz w:val="21"/>
          <w:szCs w:val="21"/>
          <w:lang w:val="en-US" w:eastAsia="en-GB"/>
        </w:rPr>
      </w:pPr>
      <w:hyperlink r:id="rId17" w:history="1">
        <w:r w:rsidR="009F26F4" w:rsidRPr="004B254C">
          <w:rPr>
            <w:rStyle w:val="Hyperlink"/>
            <w:rFonts w:ascii="Calibri" w:eastAsia="Times New Roman" w:hAnsi="Calibri" w:cs="Times New Roman"/>
            <w:sz w:val="21"/>
            <w:szCs w:val="21"/>
            <w:lang w:val="en-US" w:eastAsia="en-GB"/>
          </w:rPr>
          <w:t>http://www.fao.org/forest-resources-assessment/</w:t>
        </w:r>
      </w:hyperlink>
    </w:p>
    <w:p w14:paraId="46A51F44" w14:textId="5D42B490" w:rsidR="00886510" w:rsidRPr="00CB4DE5" w:rsidRDefault="00886510" w:rsidP="00886510">
      <w:pPr>
        <w:shd w:val="clear" w:color="auto" w:fill="FFFFFF"/>
        <w:spacing w:after="0"/>
        <w:contextualSpacing/>
        <w:rPr>
          <w:rFonts w:ascii="Calibri" w:eastAsia="Times New Roman" w:hAnsi="Calibri" w:cs="Times New Roman"/>
          <w:b/>
          <w:bCs/>
          <w:color w:val="4A4A4A"/>
          <w:sz w:val="21"/>
          <w:szCs w:val="21"/>
          <w:lang w:val="en-US" w:eastAsia="en-GB"/>
        </w:rPr>
      </w:pPr>
    </w:p>
    <w:p w14:paraId="6315D213" w14:textId="4E75AC90" w:rsidR="0018642B" w:rsidRPr="00CB4DE5" w:rsidRDefault="00C866C3" w:rsidP="00886510">
      <w:pPr>
        <w:shd w:val="clear" w:color="auto" w:fill="FFFFFF"/>
        <w:spacing w:after="0"/>
        <w:contextualSpacing/>
        <w:rPr>
          <w:rFonts w:ascii="Calibri" w:eastAsia="Times New Roman" w:hAnsi="Calibri" w:cs="Times New Roman"/>
          <w:color w:val="4A4A4A"/>
          <w:sz w:val="21"/>
          <w:szCs w:val="21"/>
          <w:lang w:val="en-US" w:eastAsia="en-GB"/>
        </w:rPr>
      </w:pPr>
      <w:hyperlink r:id="rId18" w:history="1">
        <w:r w:rsidR="0018642B" w:rsidRPr="00CB4DE5">
          <w:rPr>
            <w:rStyle w:val="Hyperlink"/>
            <w:rFonts w:ascii="Calibri" w:eastAsia="Times New Roman" w:hAnsi="Calibri" w:cs="Times New Roman"/>
            <w:sz w:val="21"/>
            <w:szCs w:val="21"/>
            <w:lang w:val="en-US" w:eastAsia="en-GB"/>
          </w:rPr>
          <w:t>http://www.fao.org/faostat</w:t>
        </w:r>
      </w:hyperlink>
    </w:p>
    <w:p w14:paraId="3D7F6571" w14:textId="4B7CC9E0" w:rsidR="0018642B" w:rsidRPr="00CB4DE5" w:rsidRDefault="0018642B" w:rsidP="00886510">
      <w:pPr>
        <w:shd w:val="clear" w:color="auto" w:fill="FFFFFF"/>
        <w:spacing w:after="0"/>
        <w:contextualSpacing/>
        <w:rPr>
          <w:rFonts w:ascii="Calibri" w:eastAsia="Times New Roman" w:hAnsi="Calibri" w:cs="Times New Roman"/>
          <w:b/>
          <w:bCs/>
          <w:color w:val="4A4A4A"/>
          <w:sz w:val="21"/>
          <w:szCs w:val="21"/>
          <w:lang w:val="en-US" w:eastAsia="en-GB"/>
        </w:rPr>
      </w:pPr>
    </w:p>
    <w:p w14:paraId="0D5981E7" w14:textId="77777777" w:rsidR="0018642B" w:rsidRPr="00C866C3" w:rsidRDefault="0018642B" w:rsidP="00886510">
      <w:pPr>
        <w:shd w:val="clear" w:color="auto" w:fill="FFFFFF"/>
        <w:spacing w:after="0"/>
        <w:contextualSpacing/>
        <w:rPr>
          <w:rFonts w:ascii="Calibri" w:hAnsi="Calibri"/>
          <w:b/>
          <w:color w:val="4A4A4A"/>
          <w:sz w:val="21"/>
          <w:lang w:val="en-US"/>
        </w:rPr>
      </w:pPr>
    </w:p>
    <w:p w14:paraId="47AD51AA"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b/>
          <w:color w:val="4A4A4A"/>
          <w:sz w:val="21"/>
          <w:lang w:val="en-US"/>
        </w:rPr>
        <w:t>References:</w:t>
      </w:r>
    </w:p>
    <w:p w14:paraId="5F22B80E" w14:textId="77777777" w:rsidR="00886510" w:rsidRPr="00C866C3" w:rsidRDefault="00886510" w:rsidP="00886510">
      <w:pPr>
        <w:shd w:val="clear" w:color="auto" w:fill="FFFFFF"/>
        <w:spacing w:after="0"/>
        <w:contextualSpacing/>
        <w:rPr>
          <w:rFonts w:ascii="Calibri" w:hAnsi="Calibri"/>
          <w:color w:val="4A4A4A"/>
          <w:sz w:val="21"/>
          <w:lang w:val="en-US"/>
        </w:rPr>
      </w:pPr>
    </w:p>
    <w:p w14:paraId="384B0992" w14:textId="36889691" w:rsidR="00186795" w:rsidRPr="00C866C3" w:rsidRDefault="00186795">
      <w:pPr>
        <w:rPr>
          <w:lang w:val="en-US"/>
        </w:rPr>
      </w:pPr>
    </w:p>
    <w:sectPr w:rsidR="00186795" w:rsidRPr="00C866C3">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9D610" w14:textId="77777777" w:rsidR="004D7D8C" w:rsidRDefault="004D7D8C" w:rsidP="00573C0B">
      <w:pPr>
        <w:spacing w:after="0" w:line="240" w:lineRule="auto"/>
      </w:pPr>
      <w:r>
        <w:separator/>
      </w:r>
    </w:p>
  </w:endnote>
  <w:endnote w:type="continuationSeparator" w:id="0">
    <w:p w14:paraId="3DF4A01F" w14:textId="77777777" w:rsidR="004D7D8C" w:rsidRDefault="004D7D8C" w:rsidP="00573C0B">
      <w:pPr>
        <w:spacing w:after="0" w:line="240" w:lineRule="auto"/>
      </w:pPr>
      <w:r>
        <w:continuationSeparator/>
      </w:r>
    </w:p>
  </w:endnote>
  <w:endnote w:type="continuationNotice" w:id="1">
    <w:p w14:paraId="25E8179B" w14:textId="77777777" w:rsidR="004D7D8C" w:rsidRDefault="004D7D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8AA3" w14:textId="77777777" w:rsidR="004D7D8C" w:rsidRDefault="004D7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BF6C1" w14:textId="77777777" w:rsidR="004D7D8C" w:rsidRDefault="004D7D8C" w:rsidP="00573C0B">
      <w:pPr>
        <w:spacing w:after="0" w:line="240" w:lineRule="auto"/>
      </w:pPr>
      <w:r>
        <w:separator/>
      </w:r>
    </w:p>
  </w:footnote>
  <w:footnote w:type="continuationSeparator" w:id="0">
    <w:p w14:paraId="39EF7DE5" w14:textId="77777777" w:rsidR="004D7D8C" w:rsidRDefault="004D7D8C" w:rsidP="00573C0B">
      <w:pPr>
        <w:spacing w:after="0" w:line="240" w:lineRule="auto"/>
      </w:pPr>
      <w:r>
        <w:continuationSeparator/>
      </w:r>
    </w:p>
  </w:footnote>
  <w:footnote w:type="continuationNotice" w:id="1">
    <w:p w14:paraId="0C20FA5B" w14:textId="77777777" w:rsidR="004D7D8C" w:rsidRDefault="004D7D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769CFF7" w:rsidR="00077F46" w:rsidRPr="00757E8A" w:rsidRDefault="00077F46" w:rsidP="00077F46">
    <w:pPr>
      <w:pStyle w:val="Header"/>
      <w:jc w:val="right"/>
      <w:rPr>
        <w:color w:val="404040" w:themeColor="text1" w:themeTint="BF"/>
        <w:sz w:val="18"/>
        <w:szCs w:val="18"/>
      </w:rPr>
    </w:pPr>
    <w:bookmarkStart w:id="13" w:name="_Hlk506197003"/>
    <w:bookmarkStart w:id="14" w:name="_Hlk506197004"/>
    <w:bookmarkStart w:id="15" w:name="_Hlk506197005"/>
    <w:bookmarkStart w:id="16" w:name="_Hlk516233502"/>
    <w:bookmarkStart w:id="17" w:name="_Hlk516233503"/>
    <w:bookmarkStart w:id="18" w:name="_Hlk516233504"/>
    <w:r w:rsidRPr="00757E8A">
      <w:rPr>
        <w:color w:val="404040" w:themeColor="text1" w:themeTint="BF"/>
        <w:sz w:val="18"/>
        <w:szCs w:val="18"/>
      </w:rPr>
      <w:t>Last updated:</w:t>
    </w:r>
    <w:bookmarkEnd w:id="13"/>
    <w:bookmarkEnd w:id="14"/>
    <w:bookmarkEnd w:id="15"/>
    <w:bookmarkEnd w:id="16"/>
    <w:bookmarkEnd w:id="17"/>
    <w:bookmarkEnd w:id="18"/>
    <w:r w:rsidR="00AF5552">
      <w:rPr>
        <w:color w:val="404040" w:themeColor="text1" w:themeTint="BF"/>
        <w:sz w:val="18"/>
        <w:szCs w:val="18"/>
      </w:rPr>
      <w:t xml:space="preserve"> </w:t>
    </w:r>
    <w:r w:rsidR="0018642B">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611C"/>
    <w:multiLevelType w:val="hybridMultilevel"/>
    <w:tmpl w:val="523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E2AB4"/>
    <w:multiLevelType w:val="hybridMultilevel"/>
    <w:tmpl w:val="EC8C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44FAF"/>
    <w:multiLevelType w:val="hybridMultilevel"/>
    <w:tmpl w:val="527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A640C"/>
    <w:multiLevelType w:val="multilevel"/>
    <w:tmpl w:val="C1CE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C1A1A"/>
    <w:multiLevelType w:val="multilevel"/>
    <w:tmpl w:val="2D46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6"/>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6E5E"/>
    <w:rsid w:val="00047DDA"/>
    <w:rsid w:val="00052E54"/>
    <w:rsid w:val="0005455A"/>
    <w:rsid w:val="00071F07"/>
    <w:rsid w:val="0007759D"/>
    <w:rsid w:val="000777AB"/>
    <w:rsid w:val="00077F46"/>
    <w:rsid w:val="00082092"/>
    <w:rsid w:val="00090FB1"/>
    <w:rsid w:val="00096186"/>
    <w:rsid w:val="000A72E4"/>
    <w:rsid w:val="000B0E2F"/>
    <w:rsid w:val="000B2430"/>
    <w:rsid w:val="000B6F91"/>
    <w:rsid w:val="000D0B30"/>
    <w:rsid w:val="000D2F2F"/>
    <w:rsid w:val="000E21F1"/>
    <w:rsid w:val="000F703E"/>
    <w:rsid w:val="0010745E"/>
    <w:rsid w:val="00116BBF"/>
    <w:rsid w:val="00120E86"/>
    <w:rsid w:val="00125DE9"/>
    <w:rsid w:val="001311A4"/>
    <w:rsid w:val="001332E0"/>
    <w:rsid w:val="00134DE7"/>
    <w:rsid w:val="00142798"/>
    <w:rsid w:val="00172642"/>
    <w:rsid w:val="00185354"/>
    <w:rsid w:val="001854DC"/>
    <w:rsid w:val="0018642B"/>
    <w:rsid w:val="00186795"/>
    <w:rsid w:val="00194D09"/>
    <w:rsid w:val="001A7D5C"/>
    <w:rsid w:val="001B60AA"/>
    <w:rsid w:val="001B63C8"/>
    <w:rsid w:val="001C1972"/>
    <w:rsid w:val="001C421F"/>
    <w:rsid w:val="001D360D"/>
    <w:rsid w:val="0021257D"/>
    <w:rsid w:val="00261A8D"/>
    <w:rsid w:val="00283C1C"/>
    <w:rsid w:val="00291A00"/>
    <w:rsid w:val="00291A11"/>
    <w:rsid w:val="002A315C"/>
    <w:rsid w:val="002A3342"/>
    <w:rsid w:val="002A64BA"/>
    <w:rsid w:val="002B4989"/>
    <w:rsid w:val="002C2510"/>
    <w:rsid w:val="002D714E"/>
    <w:rsid w:val="002E53C3"/>
    <w:rsid w:val="002F1468"/>
    <w:rsid w:val="002F3680"/>
    <w:rsid w:val="002F5F0C"/>
    <w:rsid w:val="00301DCA"/>
    <w:rsid w:val="003265EB"/>
    <w:rsid w:val="0034329E"/>
    <w:rsid w:val="00343FAA"/>
    <w:rsid w:val="00347F5E"/>
    <w:rsid w:val="00353C98"/>
    <w:rsid w:val="00371A20"/>
    <w:rsid w:val="003821B4"/>
    <w:rsid w:val="00382CF3"/>
    <w:rsid w:val="00387D52"/>
    <w:rsid w:val="003A7CEA"/>
    <w:rsid w:val="003F0BD3"/>
    <w:rsid w:val="003F278A"/>
    <w:rsid w:val="003F7A02"/>
    <w:rsid w:val="0040193B"/>
    <w:rsid w:val="00422EA5"/>
    <w:rsid w:val="00422EFA"/>
    <w:rsid w:val="0042791F"/>
    <w:rsid w:val="004456ED"/>
    <w:rsid w:val="0048045A"/>
    <w:rsid w:val="004841B8"/>
    <w:rsid w:val="004930F2"/>
    <w:rsid w:val="004B0F1C"/>
    <w:rsid w:val="004D7D8C"/>
    <w:rsid w:val="004F2EE6"/>
    <w:rsid w:val="004F64AD"/>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D1BF4"/>
    <w:rsid w:val="005E54BD"/>
    <w:rsid w:val="005F6CCA"/>
    <w:rsid w:val="006104AF"/>
    <w:rsid w:val="00621893"/>
    <w:rsid w:val="006351E1"/>
    <w:rsid w:val="006447B1"/>
    <w:rsid w:val="00662775"/>
    <w:rsid w:val="006852FC"/>
    <w:rsid w:val="006B40AB"/>
    <w:rsid w:val="006B5DC5"/>
    <w:rsid w:val="006C4BFD"/>
    <w:rsid w:val="006C7D30"/>
    <w:rsid w:val="006D445A"/>
    <w:rsid w:val="006E3C08"/>
    <w:rsid w:val="00700ACF"/>
    <w:rsid w:val="00704137"/>
    <w:rsid w:val="00712487"/>
    <w:rsid w:val="00716DFE"/>
    <w:rsid w:val="007340B4"/>
    <w:rsid w:val="007530CA"/>
    <w:rsid w:val="00756D68"/>
    <w:rsid w:val="007578D9"/>
    <w:rsid w:val="00757E8A"/>
    <w:rsid w:val="00763E43"/>
    <w:rsid w:val="00764EB5"/>
    <w:rsid w:val="00777A95"/>
    <w:rsid w:val="00782416"/>
    <w:rsid w:val="007830B9"/>
    <w:rsid w:val="007B0364"/>
    <w:rsid w:val="007B3F17"/>
    <w:rsid w:val="007D0981"/>
    <w:rsid w:val="007D1929"/>
    <w:rsid w:val="00803CF1"/>
    <w:rsid w:val="008104BB"/>
    <w:rsid w:val="00816495"/>
    <w:rsid w:val="008249C5"/>
    <w:rsid w:val="008526F9"/>
    <w:rsid w:val="0085285E"/>
    <w:rsid w:val="00853023"/>
    <w:rsid w:val="008534D4"/>
    <w:rsid w:val="00866446"/>
    <w:rsid w:val="008803E9"/>
    <w:rsid w:val="00881E28"/>
    <w:rsid w:val="00886510"/>
    <w:rsid w:val="00894C4B"/>
    <w:rsid w:val="00897F78"/>
    <w:rsid w:val="008A12E3"/>
    <w:rsid w:val="008A42FA"/>
    <w:rsid w:val="008B0AC7"/>
    <w:rsid w:val="008C2335"/>
    <w:rsid w:val="008C67C1"/>
    <w:rsid w:val="008D1D39"/>
    <w:rsid w:val="008F07D2"/>
    <w:rsid w:val="00917851"/>
    <w:rsid w:val="00917F65"/>
    <w:rsid w:val="009311E7"/>
    <w:rsid w:val="00934EBC"/>
    <w:rsid w:val="00942694"/>
    <w:rsid w:val="00996433"/>
    <w:rsid w:val="00996DD3"/>
    <w:rsid w:val="009A7E3A"/>
    <w:rsid w:val="009B1265"/>
    <w:rsid w:val="009B4A15"/>
    <w:rsid w:val="009B5693"/>
    <w:rsid w:val="009C61A2"/>
    <w:rsid w:val="009C78E4"/>
    <w:rsid w:val="009D687E"/>
    <w:rsid w:val="009E205E"/>
    <w:rsid w:val="009F26F4"/>
    <w:rsid w:val="009F6DE7"/>
    <w:rsid w:val="00A03C7B"/>
    <w:rsid w:val="00A10583"/>
    <w:rsid w:val="00A1093D"/>
    <w:rsid w:val="00A20099"/>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34CFA"/>
    <w:rsid w:val="00B402D8"/>
    <w:rsid w:val="00B4237C"/>
    <w:rsid w:val="00B42FE8"/>
    <w:rsid w:val="00B52AFD"/>
    <w:rsid w:val="00B54077"/>
    <w:rsid w:val="00B8087E"/>
    <w:rsid w:val="00B86382"/>
    <w:rsid w:val="00BB646E"/>
    <w:rsid w:val="00BD1BA1"/>
    <w:rsid w:val="00BD2836"/>
    <w:rsid w:val="00BD621E"/>
    <w:rsid w:val="00C019E5"/>
    <w:rsid w:val="00C35BC4"/>
    <w:rsid w:val="00C43F5B"/>
    <w:rsid w:val="00C71C07"/>
    <w:rsid w:val="00C866C3"/>
    <w:rsid w:val="00CB4371"/>
    <w:rsid w:val="00CB4DE5"/>
    <w:rsid w:val="00CC516D"/>
    <w:rsid w:val="00CE0E77"/>
    <w:rsid w:val="00D24330"/>
    <w:rsid w:val="00D40056"/>
    <w:rsid w:val="00D51E7C"/>
    <w:rsid w:val="00D54F29"/>
    <w:rsid w:val="00D7020C"/>
    <w:rsid w:val="00D70AD9"/>
    <w:rsid w:val="00D72152"/>
    <w:rsid w:val="00D94BA5"/>
    <w:rsid w:val="00D9510F"/>
    <w:rsid w:val="00D96471"/>
    <w:rsid w:val="00DA615C"/>
    <w:rsid w:val="00DD1BC6"/>
    <w:rsid w:val="00DE5DC3"/>
    <w:rsid w:val="00DF563F"/>
    <w:rsid w:val="00E00D8A"/>
    <w:rsid w:val="00E1050F"/>
    <w:rsid w:val="00E11604"/>
    <w:rsid w:val="00E11D92"/>
    <w:rsid w:val="00E124DB"/>
    <w:rsid w:val="00E130A0"/>
    <w:rsid w:val="00E210C4"/>
    <w:rsid w:val="00E23DB7"/>
    <w:rsid w:val="00E379D2"/>
    <w:rsid w:val="00E46D96"/>
    <w:rsid w:val="00E52CCA"/>
    <w:rsid w:val="00E66409"/>
    <w:rsid w:val="00E81D5B"/>
    <w:rsid w:val="00E976B9"/>
    <w:rsid w:val="00EA05D3"/>
    <w:rsid w:val="00EB19AD"/>
    <w:rsid w:val="00EB2F31"/>
    <w:rsid w:val="00EB6493"/>
    <w:rsid w:val="00EC2915"/>
    <w:rsid w:val="00ED05A9"/>
    <w:rsid w:val="00ED1BA0"/>
    <w:rsid w:val="00ED30E5"/>
    <w:rsid w:val="00ED46A5"/>
    <w:rsid w:val="00F17257"/>
    <w:rsid w:val="00F34D24"/>
    <w:rsid w:val="00F40F94"/>
    <w:rsid w:val="00F4130B"/>
    <w:rsid w:val="00F556A2"/>
    <w:rsid w:val="00F64F0B"/>
    <w:rsid w:val="00F719A8"/>
    <w:rsid w:val="00F878B9"/>
    <w:rsid w:val="00FA022F"/>
    <w:rsid w:val="00FB24E8"/>
    <w:rsid w:val="00FB3B2B"/>
    <w:rsid w:val="00FC18DA"/>
    <w:rsid w:val="00FC1FC5"/>
    <w:rsid w:val="00FC3917"/>
    <w:rsid w:val="00FD4BBF"/>
    <w:rsid w:val="00FD60DA"/>
    <w:rsid w:val="00FF07B4"/>
    <w:rsid w:val="00FF1B75"/>
    <w:rsid w:val="00FF4F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E5E"/>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zionenonrisolta1">
    <w:name w:val="Menzione non risolta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1">
    <w:name w:val="Unresolved Mention1"/>
    <w:basedOn w:val="DefaultParagraphFont"/>
    <w:uiPriority w:val="99"/>
    <w:semiHidden/>
    <w:unhideWhenUsed/>
    <w:rsid w:val="00301DCA"/>
    <w:rPr>
      <w:color w:val="605E5C"/>
      <w:shd w:val="clear" w:color="auto" w:fill="E1DFDD"/>
    </w:rPr>
  </w:style>
  <w:style w:type="character" w:styleId="UnresolvedMention">
    <w:name w:val="Unresolved Mention"/>
    <w:basedOn w:val="DefaultParagraphFont"/>
    <w:uiPriority w:val="99"/>
    <w:semiHidden/>
    <w:unhideWhenUsed/>
    <w:rsid w:val="004D7D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398">
      <w:bodyDiv w:val="1"/>
      <w:marLeft w:val="0"/>
      <w:marRight w:val="0"/>
      <w:marTop w:val="0"/>
      <w:marBottom w:val="0"/>
      <w:divBdr>
        <w:top w:val="none" w:sz="0" w:space="0" w:color="auto"/>
        <w:left w:val="none" w:sz="0" w:space="0" w:color="auto"/>
        <w:bottom w:val="none" w:sz="0" w:space="0" w:color="auto"/>
        <w:right w:val="none" w:sz="0" w:space="0" w:color="auto"/>
      </w:divBdr>
      <w:divsChild>
        <w:div w:id="725449410">
          <w:marLeft w:val="0"/>
          <w:marRight w:val="0"/>
          <w:marTop w:val="0"/>
          <w:marBottom w:val="0"/>
          <w:divBdr>
            <w:top w:val="none" w:sz="0" w:space="0" w:color="auto"/>
            <w:left w:val="none" w:sz="0" w:space="0" w:color="auto"/>
            <w:bottom w:val="none" w:sz="0" w:space="0" w:color="auto"/>
            <w:right w:val="none" w:sz="0" w:space="0" w:color="auto"/>
          </w:divBdr>
        </w:div>
      </w:divsChild>
    </w:div>
    <w:div w:id="46103264">
      <w:bodyDiv w:val="1"/>
      <w:marLeft w:val="0"/>
      <w:marRight w:val="0"/>
      <w:marTop w:val="0"/>
      <w:marBottom w:val="0"/>
      <w:divBdr>
        <w:top w:val="none" w:sz="0" w:space="0" w:color="auto"/>
        <w:left w:val="none" w:sz="0" w:space="0" w:color="auto"/>
        <w:bottom w:val="none" w:sz="0" w:space="0" w:color="auto"/>
        <w:right w:val="none" w:sz="0" w:space="0" w:color="auto"/>
      </w:divBdr>
    </w:div>
    <w:div w:id="49888445">
      <w:bodyDiv w:val="1"/>
      <w:marLeft w:val="0"/>
      <w:marRight w:val="0"/>
      <w:marTop w:val="0"/>
      <w:marBottom w:val="0"/>
      <w:divBdr>
        <w:top w:val="none" w:sz="0" w:space="0" w:color="auto"/>
        <w:left w:val="none" w:sz="0" w:space="0" w:color="auto"/>
        <w:bottom w:val="none" w:sz="0" w:space="0" w:color="auto"/>
        <w:right w:val="none" w:sz="0" w:space="0" w:color="auto"/>
      </w:divBdr>
    </w:div>
    <w:div w:id="87048957">
      <w:bodyDiv w:val="1"/>
      <w:marLeft w:val="0"/>
      <w:marRight w:val="0"/>
      <w:marTop w:val="0"/>
      <w:marBottom w:val="0"/>
      <w:divBdr>
        <w:top w:val="none" w:sz="0" w:space="0" w:color="auto"/>
        <w:left w:val="none" w:sz="0" w:space="0" w:color="auto"/>
        <w:bottom w:val="none" w:sz="0" w:space="0" w:color="auto"/>
        <w:right w:val="none" w:sz="0" w:space="0" w:color="auto"/>
      </w:divBdr>
    </w:div>
    <w:div w:id="189497302">
      <w:bodyDiv w:val="1"/>
      <w:marLeft w:val="0"/>
      <w:marRight w:val="0"/>
      <w:marTop w:val="0"/>
      <w:marBottom w:val="0"/>
      <w:divBdr>
        <w:top w:val="none" w:sz="0" w:space="0" w:color="auto"/>
        <w:left w:val="none" w:sz="0" w:space="0" w:color="auto"/>
        <w:bottom w:val="none" w:sz="0" w:space="0" w:color="auto"/>
        <w:right w:val="none" w:sz="0" w:space="0" w:color="auto"/>
      </w:divBdr>
    </w:div>
    <w:div w:id="232392122">
      <w:bodyDiv w:val="1"/>
      <w:marLeft w:val="0"/>
      <w:marRight w:val="0"/>
      <w:marTop w:val="0"/>
      <w:marBottom w:val="0"/>
      <w:divBdr>
        <w:top w:val="none" w:sz="0" w:space="0" w:color="auto"/>
        <w:left w:val="none" w:sz="0" w:space="0" w:color="auto"/>
        <w:bottom w:val="none" w:sz="0" w:space="0" w:color="auto"/>
        <w:right w:val="none" w:sz="0" w:space="0" w:color="auto"/>
      </w:divBdr>
    </w:div>
    <w:div w:id="298072859">
      <w:bodyDiv w:val="1"/>
      <w:marLeft w:val="0"/>
      <w:marRight w:val="0"/>
      <w:marTop w:val="0"/>
      <w:marBottom w:val="0"/>
      <w:divBdr>
        <w:top w:val="none" w:sz="0" w:space="0" w:color="auto"/>
        <w:left w:val="none" w:sz="0" w:space="0" w:color="auto"/>
        <w:bottom w:val="none" w:sz="0" w:space="0" w:color="auto"/>
        <w:right w:val="none" w:sz="0" w:space="0" w:color="auto"/>
      </w:divBdr>
    </w:div>
    <w:div w:id="332924867">
      <w:bodyDiv w:val="1"/>
      <w:marLeft w:val="0"/>
      <w:marRight w:val="0"/>
      <w:marTop w:val="0"/>
      <w:marBottom w:val="0"/>
      <w:divBdr>
        <w:top w:val="none" w:sz="0" w:space="0" w:color="auto"/>
        <w:left w:val="none" w:sz="0" w:space="0" w:color="auto"/>
        <w:bottom w:val="none" w:sz="0" w:space="0" w:color="auto"/>
        <w:right w:val="none" w:sz="0" w:space="0" w:color="auto"/>
      </w:divBdr>
    </w:div>
    <w:div w:id="527186842">
      <w:bodyDiv w:val="1"/>
      <w:marLeft w:val="0"/>
      <w:marRight w:val="0"/>
      <w:marTop w:val="0"/>
      <w:marBottom w:val="0"/>
      <w:divBdr>
        <w:top w:val="none" w:sz="0" w:space="0" w:color="auto"/>
        <w:left w:val="none" w:sz="0" w:space="0" w:color="auto"/>
        <w:bottom w:val="none" w:sz="0" w:space="0" w:color="auto"/>
        <w:right w:val="none" w:sz="0" w:space="0" w:color="auto"/>
      </w:divBdr>
    </w:div>
    <w:div w:id="764766797">
      <w:bodyDiv w:val="1"/>
      <w:marLeft w:val="0"/>
      <w:marRight w:val="0"/>
      <w:marTop w:val="0"/>
      <w:marBottom w:val="0"/>
      <w:divBdr>
        <w:top w:val="none" w:sz="0" w:space="0" w:color="auto"/>
        <w:left w:val="none" w:sz="0" w:space="0" w:color="auto"/>
        <w:bottom w:val="none" w:sz="0" w:space="0" w:color="auto"/>
        <w:right w:val="none" w:sz="0" w:space="0" w:color="auto"/>
      </w:divBdr>
    </w:div>
    <w:div w:id="830683954">
      <w:bodyDiv w:val="1"/>
      <w:marLeft w:val="0"/>
      <w:marRight w:val="0"/>
      <w:marTop w:val="0"/>
      <w:marBottom w:val="0"/>
      <w:divBdr>
        <w:top w:val="none" w:sz="0" w:space="0" w:color="auto"/>
        <w:left w:val="none" w:sz="0" w:space="0" w:color="auto"/>
        <w:bottom w:val="none" w:sz="0" w:space="0" w:color="auto"/>
        <w:right w:val="none" w:sz="0" w:space="0" w:color="auto"/>
      </w:divBdr>
    </w:div>
    <w:div w:id="847060344">
      <w:bodyDiv w:val="1"/>
      <w:marLeft w:val="0"/>
      <w:marRight w:val="0"/>
      <w:marTop w:val="0"/>
      <w:marBottom w:val="0"/>
      <w:divBdr>
        <w:top w:val="none" w:sz="0" w:space="0" w:color="auto"/>
        <w:left w:val="none" w:sz="0" w:space="0" w:color="auto"/>
        <w:bottom w:val="none" w:sz="0" w:space="0" w:color="auto"/>
        <w:right w:val="none" w:sz="0" w:space="0" w:color="auto"/>
      </w:divBdr>
    </w:div>
    <w:div w:id="863059617">
      <w:bodyDiv w:val="1"/>
      <w:marLeft w:val="0"/>
      <w:marRight w:val="0"/>
      <w:marTop w:val="0"/>
      <w:marBottom w:val="0"/>
      <w:divBdr>
        <w:top w:val="none" w:sz="0" w:space="0" w:color="auto"/>
        <w:left w:val="none" w:sz="0" w:space="0" w:color="auto"/>
        <w:bottom w:val="none" w:sz="0" w:space="0" w:color="auto"/>
        <w:right w:val="none" w:sz="0" w:space="0" w:color="auto"/>
      </w:divBdr>
    </w:div>
    <w:div w:id="863636781">
      <w:bodyDiv w:val="1"/>
      <w:marLeft w:val="0"/>
      <w:marRight w:val="0"/>
      <w:marTop w:val="0"/>
      <w:marBottom w:val="0"/>
      <w:divBdr>
        <w:top w:val="none" w:sz="0" w:space="0" w:color="auto"/>
        <w:left w:val="none" w:sz="0" w:space="0" w:color="auto"/>
        <w:bottom w:val="none" w:sz="0" w:space="0" w:color="auto"/>
        <w:right w:val="none" w:sz="0" w:space="0" w:color="auto"/>
      </w:divBdr>
    </w:div>
    <w:div w:id="937448565">
      <w:bodyDiv w:val="1"/>
      <w:marLeft w:val="0"/>
      <w:marRight w:val="0"/>
      <w:marTop w:val="0"/>
      <w:marBottom w:val="0"/>
      <w:divBdr>
        <w:top w:val="none" w:sz="0" w:space="0" w:color="auto"/>
        <w:left w:val="none" w:sz="0" w:space="0" w:color="auto"/>
        <w:bottom w:val="none" w:sz="0" w:space="0" w:color="auto"/>
        <w:right w:val="none" w:sz="0" w:space="0" w:color="auto"/>
      </w:divBdr>
    </w:div>
    <w:div w:id="99020988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151083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49074958">
      <w:bodyDiv w:val="1"/>
      <w:marLeft w:val="0"/>
      <w:marRight w:val="0"/>
      <w:marTop w:val="0"/>
      <w:marBottom w:val="0"/>
      <w:divBdr>
        <w:top w:val="none" w:sz="0" w:space="0" w:color="auto"/>
        <w:left w:val="none" w:sz="0" w:space="0" w:color="auto"/>
        <w:bottom w:val="none" w:sz="0" w:space="0" w:color="auto"/>
        <w:right w:val="none" w:sz="0" w:space="0" w:color="auto"/>
      </w:divBdr>
    </w:div>
    <w:div w:id="1307127150">
      <w:bodyDiv w:val="1"/>
      <w:marLeft w:val="0"/>
      <w:marRight w:val="0"/>
      <w:marTop w:val="0"/>
      <w:marBottom w:val="0"/>
      <w:divBdr>
        <w:top w:val="none" w:sz="0" w:space="0" w:color="auto"/>
        <w:left w:val="none" w:sz="0" w:space="0" w:color="auto"/>
        <w:bottom w:val="none" w:sz="0" w:space="0" w:color="auto"/>
        <w:right w:val="none" w:sz="0" w:space="0" w:color="auto"/>
      </w:divBdr>
    </w:div>
    <w:div w:id="1334798885">
      <w:bodyDiv w:val="1"/>
      <w:marLeft w:val="0"/>
      <w:marRight w:val="0"/>
      <w:marTop w:val="0"/>
      <w:marBottom w:val="0"/>
      <w:divBdr>
        <w:top w:val="none" w:sz="0" w:space="0" w:color="auto"/>
        <w:left w:val="none" w:sz="0" w:space="0" w:color="auto"/>
        <w:bottom w:val="none" w:sz="0" w:space="0" w:color="auto"/>
        <w:right w:val="none" w:sz="0" w:space="0" w:color="auto"/>
      </w:divBdr>
    </w:div>
    <w:div w:id="1506166042">
      <w:bodyDiv w:val="1"/>
      <w:marLeft w:val="0"/>
      <w:marRight w:val="0"/>
      <w:marTop w:val="0"/>
      <w:marBottom w:val="0"/>
      <w:divBdr>
        <w:top w:val="none" w:sz="0" w:space="0" w:color="auto"/>
        <w:left w:val="none" w:sz="0" w:space="0" w:color="auto"/>
        <w:bottom w:val="none" w:sz="0" w:space="0" w:color="auto"/>
        <w:right w:val="none" w:sz="0" w:space="0" w:color="auto"/>
      </w:divBdr>
    </w:div>
    <w:div w:id="1526821232">
      <w:bodyDiv w:val="1"/>
      <w:marLeft w:val="0"/>
      <w:marRight w:val="0"/>
      <w:marTop w:val="0"/>
      <w:marBottom w:val="0"/>
      <w:divBdr>
        <w:top w:val="none" w:sz="0" w:space="0" w:color="auto"/>
        <w:left w:val="none" w:sz="0" w:space="0" w:color="auto"/>
        <w:bottom w:val="none" w:sz="0" w:space="0" w:color="auto"/>
        <w:right w:val="none" w:sz="0" w:space="0" w:color="auto"/>
      </w:divBdr>
    </w:div>
    <w:div w:id="1795252280">
      <w:bodyDiv w:val="1"/>
      <w:marLeft w:val="0"/>
      <w:marRight w:val="0"/>
      <w:marTop w:val="0"/>
      <w:marBottom w:val="0"/>
      <w:divBdr>
        <w:top w:val="none" w:sz="0" w:space="0" w:color="auto"/>
        <w:left w:val="none" w:sz="0" w:space="0" w:color="auto"/>
        <w:bottom w:val="none" w:sz="0" w:space="0" w:color="auto"/>
        <w:right w:val="none" w:sz="0" w:space="0" w:color="auto"/>
      </w:divBdr>
    </w:div>
    <w:div w:id="1849128584">
      <w:bodyDiv w:val="1"/>
      <w:marLeft w:val="0"/>
      <w:marRight w:val="0"/>
      <w:marTop w:val="0"/>
      <w:marBottom w:val="0"/>
      <w:divBdr>
        <w:top w:val="none" w:sz="0" w:space="0" w:color="auto"/>
        <w:left w:val="none" w:sz="0" w:space="0" w:color="auto"/>
        <w:bottom w:val="none" w:sz="0" w:space="0" w:color="auto"/>
        <w:right w:val="none" w:sz="0" w:space="0" w:color="auto"/>
      </w:divBdr>
    </w:div>
    <w:div w:id="1878543997">
      <w:bodyDiv w:val="1"/>
      <w:marLeft w:val="0"/>
      <w:marRight w:val="0"/>
      <w:marTop w:val="0"/>
      <w:marBottom w:val="0"/>
      <w:divBdr>
        <w:top w:val="none" w:sz="0" w:space="0" w:color="auto"/>
        <w:left w:val="none" w:sz="0" w:space="0" w:color="auto"/>
        <w:bottom w:val="none" w:sz="0" w:space="0" w:color="auto"/>
        <w:right w:val="none" w:sz="0" w:space="0" w:color="auto"/>
      </w:divBdr>
    </w:div>
    <w:div w:id="1911578278">
      <w:bodyDiv w:val="1"/>
      <w:marLeft w:val="0"/>
      <w:marRight w:val="0"/>
      <w:marTop w:val="0"/>
      <w:marBottom w:val="0"/>
      <w:divBdr>
        <w:top w:val="none" w:sz="0" w:space="0" w:color="auto"/>
        <w:left w:val="none" w:sz="0" w:space="0" w:color="auto"/>
        <w:bottom w:val="none" w:sz="0" w:space="0" w:color="auto"/>
        <w:right w:val="none" w:sz="0" w:space="0" w:color="auto"/>
      </w:divBdr>
    </w:div>
    <w:div w:id="209462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I8699EN/i8699en.pdf" TargetMode="External"/><Relationship Id="rId18" Type="http://schemas.openxmlformats.org/officeDocument/2006/relationships/hyperlink" Target="http://www.fao.org/faosta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fra-data.fao.org/" TargetMode="External"/><Relationship Id="rId17" Type="http://schemas.openxmlformats.org/officeDocument/2006/relationships/hyperlink" Target="http://www.fao.org/forest-resources-assessment/" TargetMode="External"/><Relationship Id="rId2" Type="http://schemas.openxmlformats.org/officeDocument/2006/relationships/customXml" Target="../customXml/item2.xml"/><Relationship Id="rId16" Type="http://schemas.openxmlformats.org/officeDocument/2006/relationships/hyperlink" Target="http://www.fao.org/docrep/019/i3664e/i3664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economic/ess/ess-home/questionnaires/en/" TargetMode="External"/><Relationship Id="rId5" Type="http://schemas.openxmlformats.org/officeDocument/2006/relationships/numbering" Target="numbering.xml"/><Relationship Id="rId15" Type="http://schemas.openxmlformats.org/officeDocument/2006/relationships/hyperlink" Target="http://www.fao.org/faostat/en/"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statistics/data-collection/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DD_x002f_NFM_x0020_category xmlns="cc7ce8ca-8f52-44ec-9496-3c41d0f5ad18"/>
    <TaxKeywordTaxHTField xmlns="cc7ce8ca-8f52-44ec-9496-3c41d0f5ad18">
      <Terms xmlns="http://schemas.microsoft.com/office/infopath/2007/PartnerControls"/>
    </TaxKeywordTaxHTField>
    <TaxCatchAll xmlns="cc7ce8ca-8f52-44ec-9496-3c41d0f5ad18"/>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cc7ce8ca-8f52-44ec-9496-3c41d0f5ad1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2302deb-32b0-442b-bedc-ba64a9aa8ccd"/>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D98195-1419-4530-BCA1-C81E0BE9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2593</Words>
  <Characters>14784</Characters>
  <Application>Microsoft Office Word</Application>
  <DocSecurity>0</DocSecurity>
  <Lines>123</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United Nations</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2021-03-28T03:43:00Z</dcterms:created>
  <dcterms:modified xsi:type="dcterms:W3CDTF">2021-03-28T03:43:00Z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TaxKeyword">
    <vt:lpwstr/>
  </property>
</Properties>
</file>