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957524" w:rsidRDefault="006C4BFD" w:rsidP="006C4BFD">
      <w:pPr>
        <w:spacing w:after="0"/>
        <w:jc w:val="center"/>
        <w:rPr>
          <w:lang w:val="sv-SE"/>
        </w:rPr>
      </w:pPr>
      <w:r w:rsidRPr="00957524">
        <w:rPr>
          <w:color w:val="1C75BC"/>
          <w:sz w:val="36"/>
          <w:lang w:val="sv-SE"/>
        </w:rPr>
        <w:t>SDG indicator metadata</w:t>
      </w:r>
    </w:p>
    <w:p w14:paraId="129054E9" w14:textId="2E583254" w:rsidR="006C4BFD" w:rsidRPr="00957524" w:rsidRDefault="002C2510" w:rsidP="006C4BFD">
      <w:pPr>
        <w:spacing w:after="0"/>
        <w:jc w:val="center"/>
        <w:rPr>
          <w:b/>
          <w:color w:val="4A4A4A"/>
          <w:sz w:val="21"/>
          <w:lang w:val="sv-SE"/>
        </w:rPr>
      </w:pPr>
      <w:r w:rsidRPr="00957524">
        <w:rPr>
          <w:b/>
          <w:color w:val="4A4A4A"/>
          <w:sz w:val="21"/>
          <w:lang w:val="sv-SE"/>
        </w:rPr>
        <w:t xml:space="preserve">(Harmonized </w:t>
      </w:r>
      <w:r w:rsidR="00942694" w:rsidRPr="00957524">
        <w:rPr>
          <w:b/>
          <w:color w:val="4A4A4A"/>
          <w:sz w:val="21"/>
          <w:lang w:val="sv-SE"/>
        </w:rPr>
        <w:t xml:space="preserve">metadata </w:t>
      </w:r>
      <w:r w:rsidRPr="00957524">
        <w:rPr>
          <w:b/>
          <w:color w:val="4A4A4A"/>
          <w:sz w:val="21"/>
          <w:lang w:val="sv-SE"/>
        </w:rPr>
        <w:t>template - format version 1.0)</w:t>
      </w:r>
    </w:p>
    <w:p w14:paraId="773F63CF" w14:textId="77777777" w:rsidR="006C4BFD" w:rsidRPr="00957524" w:rsidRDefault="006C4BFD" w:rsidP="006C4BFD">
      <w:pPr>
        <w:spacing w:after="0"/>
        <w:rPr>
          <w:b/>
          <w:color w:val="4A4A4A"/>
          <w:sz w:val="21"/>
          <w:lang w:val="sv-SE"/>
        </w:rPr>
      </w:pPr>
    </w:p>
    <w:p w14:paraId="6AEAC6DA" w14:textId="6C7C2D3A" w:rsidR="00B31E2C" w:rsidRPr="00E43CC4" w:rsidRDefault="00B31E2C" w:rsidP="00EA05D3">
      <w:pPr>
        <w:pStyle w:val="MIndHeader2"/>
        <w:rPr>
          <w:rFonts w:cstheme="minorHAnsi"/>
        </w:rPr>
      </w:pPr>
      <w:r w:rsidRPr="00E43CC4">
        <w:rPr>
          <w:rFonts w:cstheme="minorHAnsi"/>
        </w:rPr>
        <w:t>0. Indicator information</w:t>
      </w:r>
    </w:p>
    <w:p w14:paraId="043ED752" w14:textId="28D7692E" w:rsidR="00D24330" w:rsidRPr="00E43CC4" w:rsidRDefault="00D24330" w:rsidP="00EA05D3">
      <w:pPr>
        <w:pStyle w:val="MIndHeader"/>
        <w:rPr>
          <w:rFonts w:cstheme="minorHAnsi"/>
        </w:rPr>
      </w:pPr>
      <w:r w:rsidRPr="00E43CC4">
        <w:rPr>
          <w:rFonts w:cstheme="minorHAnsi"/>
        </w:rPr>
        <w:t>0.a. Goal</w:t>
      </w:r>
    </w:p>
    <w:p w14:paraId="29BF91DB" w14:textId="77777777" w:rsidR="008D1DD3" w:rsidRPr="00E43CC4" w:rsidRDefault="008D1DD3" w:rsidP="008D1DD3">
      <w:pPr>
        <w:shd w:val="clear" w:color="auto" w:fill="F5F5F5"/>
        <w:spacing w:after="0"/>
        <w:outlineLvl w:val="4"/>
        <w:rPr>
          <w:rFonts w:eastAsia="Times New Roman" w:cstheme="minorHAnsi"/>
          <w:bCs/>
          <w:color w:val="333333"/>
          <w:sz w:val="21"/>
          <w:szCs w:val="21"/>
          <w:lang w:eastAsia="en-GB"/>
        </w:rPr>
      </w:pPr>
      <w:r w:rsidRPr="00E43CC4">
        <w:rPr>
          <w:rFonts w:eastAsia="Times New Roman" w:cstheme="minorHAnsi"/>
          <w:bCs/>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084142D2" w14:textId="77777777" w:rsidR="00D24330" w:rsidRPr="00E43CC4" w:rsidRDefault="00D24330" w:rsidP="00D24330">
      <w:pPr>
        <w:pStyle w:val="MIndHeader"/>
        <w:rPr>
          <w:rFonts w:cstheme="minorHAnsi"/>
        </w:rPr>
      </w:pPr>
      <w:r w:rsidRPr="00E43CC4">
        <w:rPr>
          <w:rFonts w:cstheme="minorHAnsi"/>
        </w:rPr>
        <w:t>0.b. Target</w:t>
      </w:r>
    </w:p>
    <w:p w14:paraId="6CB773D8" w14:textId="77777777" w:rsidR="008D1DD3" w:rsidRPr="00E43CC4" w:rsidRDefault="008D1DD3" w:rsidP="008D1DD3">
      <w:pPr>
        <w:shd w:val="clear" w:color="auto" w:fill="F5F5F5"/>
        <w:spacing w:after="0"/>
        <w:outlineLvl w:val="4"/>
        <w:rPr>
          <w:rFonts w:eastAsia="Times New Roman" w:cstheme="minorHAnsi"/>
          <w:bCs/>
          <w:color w:val="333333"/>
          <w:sz w:val="21"/>
          <w:szCs w:val="21"/>
          <w:lang w:eastAsia="en-GB"/>
        </w:rPr>
      </w:pPr>
      <w:r w:rsidRPr="00E43CC4">
        <w:rPr>
          <w:rFonts w:eastAsia="Times New Roman" w:cstheme="minorHAnsi"/>
          <w:bCs/>
          <w:color w:val="333333"/>
          <w:sz w:val="21"/>
          <w:szCs w:val="21"/>
          <w:lang w:eastAsia="en-GB"/>
        </w:rPr>
        <w:t>Target 15.2: By 2020, promote the implementation of sustainable management of all types of forests, halt deforestation, restore degraded forests and substantially increase afforestation and reforestation globally</w:t>
      </w:r>
    </w:p>
    <w:p w14:paraId="3E67E7E0" w14:textId="77777777" w:rsidR="00D24330" w:rsidRPr="00E43CC4" w:rsidRDefault="00D24330" w:rsidP="00D24330">
      <w:pPr>
        <w:pStyle w:val="MIndHeader"/>
        <w:rPr>
          <w:rFonts w:cstheme="minorHAnsi"/>
        </w:rPr>
      </w:pPr>
      <w:r w:rsidRPr="00E43CC4">
        <w:rPr>
          <w:rFonts w:cstheme="minorHAnsi"/>
        </w:rPr>
        <w:t>0.c. Indicator</w:t>
      </w:r>
    </w:p>
    <w:p w14:paraId="1D989E1E" w14:textId="77777777" w:rsidR="008D1DD3" w:rsidRPr="00E43CC4" w:rsidRDefault="008D1DD3" w:rsidP="00D24330">
      <w:pPr>
        <w:pStyle w:val="MIndHeader"/>
        <w:rPr>
          <w:rFonts w:cstheme="minorHAnsi"/>
          <w:color w:val="333333"/>
          <w:sz w:val="21"/>
          <w:szCs w:val="21"/>
        </w:rPr>
      </w:pPr>
      <w:r w:rsidRPr="00E43CC4">
        <w:rPr>
          <w:rFonts w:cstheme="minorHAnsi"/>
          <w:color w:val="333333"/>
          <w:sz w:val="21"/>
          <w:szCs w:val="21"/>
        </w:rPr>
        <w:t xml:space="preserve">Indicator 15.2.1: Progress towards sustainable forest management </w:t>
      </w:r>
    </w:p>
    <w:p w14:paraId="37E5E4F6" w14:textId="0D344F4C" w:rsidR="00D24330" w:rsidRDefault="00D24330" w:rsidP="00D24330">
      <w:pPr>
        <w:pStyle w:val="MIndHeader"/>
        <w:rPr>
          <w:rFonts w:cstheme="minorHAnsi"/>
        </w:rPr>
      </w:pPr>
      <w:r w:rsidRPr="00E43CC4">
        <w:rPr>
          <w:rFonts w:cstheme="minorHAnsi"/>
        </w:rPr>
        <w:t>0.d. Series</w:t>
      </w:r>
    </w:p>
    <w:p w14:paraId="2AD2DBD8" w14:textId="77777777" w:rsidR="00957524" w:rsidRPr="00E43CC4" w:rsidRDefault="00957524" w:rsidP="00957524">
      <w:pPr>
        <w:pStyle w:val="MGTHeader"/>
      </w:pPr>
      <w:bookmarkStart w:id="0" w:name="_GoBack"/>
      <w:bookmarkEnd w:id="0"/>
    </w:p>
    <w:p w14:paraId="157DACE7" w14:textId="77777777" w:rsidR="00D24330" w:rsidRPr="00E43CC4" w:rsidRDefault="00D24330" w:rsidP="00D24330">
      <w:pPr>
        <w:pStyle w:val="MIndHeader"/>
        <w:rPr>
          <w:rFonts w:cstheme="minorHAnsi"/>
        </w:rPr>
      </w:pPr>
      <w:r w:rsidRPr="00E43CC4">
        <w:rPr>
          <w:rFonts w:cstheme="minorHAnsi"/>
        </w:rPr>
        <w:t>0.e. Metadata update</w:t>
      </w:r>
    </w:p>
    <w:p w14:paraId="03424B60" w14:textId="6224C442" w:rsidR="00D24330" w:rsidRPr="00E43CC4" w:rsidRDefault="00EF3766" w:rsidP="00D24330">
      <w:pPr>
        <w:pStyle w:val="MGTHeader"/>
        <w:rPr>
          <w:rFonts w:cstheme="minorHAnsi"/>
        </w:rPr>
      </w:pPr>
      <w:r>
        <w:rPr>
          <w:rFonts w:cstheme="minorHAnsi"/>
        </w:rPr>
        <w:t>February 2021</w:t>
      </w:r>
    </w:p>
    <w:p w14:paraId="415C9FF1" w14:textId="77777777" w:rsidR="00D24330" w:rsidRPr="00E43CC4" w:rsidRDefault="00D24330" w:rsidP="00D24330">
      <w:pPr>
        <w:pStyle w:val="MIndHeader"/>
        <w:rPr>
          <w:rFonts w:cstheme="minorHAnsi"/>
        </w:rPr>
      </w:pPr>
      <w:r w:rsidRPr="00E43CC4">
        <w:rPr>
          <w:rFonts w:cstheme="minorHAnsi"/>
        </w:rPr>
        <w:t>0.f. Related indicators</w:t>
      </w:r>
    </w:p>
    <w:p w14:paraId="13D956E4" w14:textId="77777777" w:rsidR="004C2F9D" w:rsidRPr="00E43CC4" w:rsidRDefault="004C2F9D" w:rsidP="00E43CC4">
      <w:pPr>
        <w:pStyle w:val="MGTHeader"/>
        <w:rPr>
          <w:lang w:val="en-US"/>
        </w:rPr>
      </w:pPr>
      <w:r w:rsidRPr="00E43CC4">
        <w:rPr>
          <w:lang w:val="en-US"/>
        </w:rPr>
        <w:t xml:space="preserve">15.1.1: Forest area as a proportion of total land area </w:t>
      </w:r>
    </w:p>
    <w:p w14:paraId="077BC49E" w14:textId="77777777" w:rsidR="00D24330" w:rsidRPr="00E43CC4" w:rsidRDefault="00D24330" w:rsidP="00D24330">
      <w:pPr>
        <w:pStyle w:val="MIndHeader"/>
        <w:rPr>
          <w:rFonts w:cstheme="minorHAnsi"/>
        </w:rPr>
      </w:pPr>
      <w:r w:rsidRPr="00E43CC4">
        <w:rPr>
          <w:rFonts w:cstheme="minorHAnsi"/>
        </w:rPr>
        <w:t>0.g. International organisations(s) responsible for global monitoring</w:t>
      </w:r>
    </w:p>
    <w:p w14:paraId="22BD1816" w14:textId="77777777" w:rsidR="008D1DD3" w:rsidRPr="00E43CC4" w:rsidRDefault="008D1DD3" w:rsidP="00E43CC4">
      <w:pPr>
        <w:pStyle w:val="MGTHeader"/>
        <w:rPr>
          <w:rFonts w:eastAsia="Calibri"/>
          <w:lang w:val="en-US"/>
        </w:rPr>
      </w:pPr>
      <w:r w:rsidRPr="00E43CC4">
        <w:rPr>
          <w:rFonts w:eastAsia="Calibri"/>
          <w:lang w:val="en-US"/>
        </w:rPr>
        <w:t xml:space="preserve">Food and Agriculture Organization of the United Nations (FAO) </w:t>
      </w:r>
    </w:p>
    <w:p w14:paraId="19F29921" w14:textId="77777777" w:rsidR="008D1D39" w:rsidRPr="00E43CC4" w:rsidRDefault="008D1D39" w:rsidP="00573631">
      <w:pPr>
        <w:shd w:val="clear" w:color="auto" w:fill="FFFFFF"/>
        <w:spacing w:after="0"/>
        <w:rPr>
          <w:rFonts w:eastAsia="Times New Roman" w:cstheme="minorHAnsi"/>
          <w:color w:val="4A4A4A"/>
          <w:sz w:val="21"/>
          <w:szCs w:val="21"/>
          <w:lang w:eastAsia="en-GB"/>
        </w:rPr>
      </w:pPr>
    </w:p>
    <w:p w14:paraId="12E0D73A" w14:textId="48126E58" w:rsidR="00B31E2C" w:rsidRPr="00E43CC4" w:rsidRDefault="00B31E2C" w:rsidP="00EA05D3">
      <w:pPr>
        <w:pStyle w:val="MHeader"/>
        <w:rPr>
          <w:rFonts w:cstheme="minorHAnsi"/>
        </w:rPr>
      </w:pPr>
      <w:bookmarkStart w:id="1" w:name="_Toc37932744"/>
      <w:bookmarkStart w:id="2" w:name="_Toc36813072"/>
      <w:bookmarkStart w:id="3" w:name="_Toc36812685"/>
      <w:bookmarkStart w:id="4" w:name="_Toc36812572"/>
      <w:bookmarkStart w:id="5" w:name="_Toc36655609"/>
      <w:r w:rsidRPr="00E43CC4">
        <w:rPr>
          <w:rFonts w:cstheme="minorHAnsi"/>
        </w:rPr>
        <w:t>1. Data reporter</w:t>
      </w:r>
      <w:bookmarkEnd w:id="1"/>
      <w:bookmarkEnd w:id="2"/>
      <w:bookmarkEnd w:id="3"/>
      <w:bookmarkEnd w:id="4"/>
      <w:bookmarkEnd w:id="5"/>
    </w:p>
    <w:p w14:paraId="0BD77982" w14:textId="72DFE854" w:rsidR="00576CFA" w:rsidRPr="00E43CC4" w:rsidRDefault="00576CFA" w:rsidP="00F719A8">
      <w:pPr>
        <w:pStyle w:val="MHeader2"/>
        <w:rPr>
          <w:rFonts w:cstheme="minorHAnsi"/>
        </w:rPr>
      </w:pPr>
      <w:r w:rsidRPr="00E43CC4">
        <w:rPr>
          <w:rFonts w:cstheme="minorHAnsi"/>
        </w:rPr>
        <w:t>1.a. Organisation</w:t>
      </w:r>
    </w:p>
    <w:p w14:paraId="0D3D7BC9" w14:textId="77777777" w:rsidR="008D1DD3" w:rsidRPr="00E43CC4" w:rsidRDefault="008D1DD3" w:rsidP="00E43CC4">
      <w:pPr>
        <w:pStyle w:val="MText"/>
        <w:rPr>
          <w:rFonts w:eastAsia="Calibri"/>
          <w:lang w:val="en-US"/>
        </w:rPr>
      </w:pPr>
      <w:r w:rsidRPr="00E43CC4">
        <w:rPr>
          <w:rFonts w:eastAsia="Calibri"/>
          <w:lang w:val="en-US"/>
        </w:rPr>
        <w:t xml:space="preserve">Food and Agriculture Organization of the United Nations (FAO) </w:t>
      </w:r>
    </w:p>
    <w:p w14:paraId="6E829FD0" w14:textId="2439F30A" w:rsidR="00F719A8" w:rsidRPr="00E43CC4" w:rsidRDefault="00F719A8" w:rsidP="00576CFA">
      <w:pPr>
        <w:pStyle w:val="MText"/>
        <w:rPr>
          <w:rFonts w:cstheme="minorHAnsi"/>
        </w:rPr>
      </w:pPr>
    </w:p>
    <w:p w14:paraId="14915AC8" w14:textId="7D506133" w:rsidR="00B31E2C" w:rsidRPr="00E43CC4" w:rsidRDefault="00B31E2C" w:rsidP="008B0AC7">
      <w:pPr>
        <w:pStyle w:val="MHeader"/>
        <w:rPr>
          <w:rFonts w:cstheme="minorHAnsi"/>
        </w:rPr>
      </w:pPr>
      <w:r w:rsidRPr="00E43CC4">
        <w:rPr>
          <w:rFonts w:cstheme="minorHAnsi"/>
        </w:rPr>
        <w:t>2. Definition, concepts, and classifications</w:t>
      </w:r>
    </w:p>
    <w:p w14:paraId="2AC373EA" w14:textId="44236363" w:rsidR="008B0AC7" w:rsidRPr="00E43CC4" w:rsidRDefault="008B0AC7" w:rsidP="00F719A8">
      <w:pPr>
        <w:pStyle w:val="MHeader2"/>
        <w:rPr>
          <w:rFonts w:cstheme="minorHAnsi"/>
        </w:rPr>
      </w:pPr>
      <w:r w:rsidRPr="00E43CC4">
        <w:rPr>
          <w:rFonts w:cstheme="minorHAnsi"/>
        </w:rPr>
        <w:t>2.a. Definition and concepts</w:t>
      </w:r>
    </w:p>
    <w:p w14:paraId="7B689F98" w14:textId="77777777" w:rsidR="008D1DD3" w:rsidRPr="00E43CC4" w:rsidRDefault="008D1DD3" w:rsidP="008D1DD3">
      <w:pPr>
        <w:autoSpaceDE w:val="0"/>
        <w:autoSpaceDN w:val="0"/>
        <w:adjustRightInd w:val="0"/>
        <w:spacing w:after="0"/>
        <w:rPr>
          <w:rFonts w:eastAsia="Calibri" w:cstheme="minorHAnsi"/>
          <w:b/>
          <w:bCs/>
          <w:color w:val="4A4A4A"/>
          <w:sz w:val="21"/>
          <w:szCs w:val="21"/>
          <w:lang w:val="en-US" w:eastAsia="en-US"/>
        </w:rPr>
      </w:pPr>
      <w:r w:rsidRPr="00E43CC4">
        <w:rPr>
          <w:rFonts w:eastAsia="Calibri" w:cstheme="minorHAnsi"/>
          <w:b/>
          <w:bCs/>
          <w:color w:val="4A4A4A"/>
          <w:sz w:val="21"/>
          <w:szCs w:val="21"/>
          <w:lang w:val="en-US" w:eastAsia="en-US"/>
        </w:rPr>
        <w:t xml:space="preserve">Definition: </w:t>
      </w:r>
    </w:p>
    <w:p w14:paraId="77BF8C11"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0A6D6024"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“Sustainable forest management” (SFM) is a central concept for Goal 15 and target 15.1 as well as for target 15.2. It has been formally defined, by the UN General Assembly, as follows: </w:t>
      </w:r>
    </w:p>
    <w:p w14:paraId="210DF137"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2EEB7DEF"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i/>
          <w:iCs/>
          <w:color w:val="4A4A4A"/>
          <w:sz w:val="21"/>
          <w:szCs w:val="21"/>
          <w:lang w:val="en-US" w:eastAsia="en-US"/>
        </w:rPr>
        <w:t>[a] dynamic and evolving concept [that] aims to maintain and enhance the economic, social and environmental values of all types of forests, for the benefit of present and future generations</w:t>
      </w:r>
      <w:r w:rsidRPr="00E43CC4">
        <w:rPr>
          <w:rFonts w:eastAsia="Calibri" w:cstheme="minorHAnsi"/>
          <w:color w:val="4A4A4A"/>
          <w:sz w:val="21"/>
          <w:szCs w:val="21"/>
          <w:lang w:val="en-US" w:eastAsia="en-US"/>
        </w:rPr>
        <w:t xml:space="preserve">” (Resolution A/RES/62/98) </w:t>
      </w:r>
    </w:p>
    <w:p w14:paraId="1B4B0115"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27755281"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indicator is composed of five sub-indicators that measure progress towards all dimensions of sustainable forest management. The environmental values of forests are covered by three sub-indicators </w:t>
      </w:r>
      <w:r w:rsidRPr="00E43CC4">
        <w:rPr>
          <w:rFonts w:eastAsia="Calibri" w:cstheme="minorHAnsi"/>
          <w:color w:val="4A4A4A"/>
          <w:sz w:val="21"/>
          <w:szCs w:val="21"/>
          <w:lang w:val="en-US" w:eastAsia="en-US"/>
        </w:rPr>
        <w:lastRenderedPageBreak/>
        <w:t xml:space="preserve">focused on the extension of forest area, biomass within the forest area and protection and maintenance of biological diversity, and of natural and associated cultural resources. Social and economic values of forests are reconciled with environmental values through sustainable management plans. The sub-indicator provides further qualification to the management of forest areas, by assessing areas which are independently verified for compliance with a set of national or international standards. </w:t>
      </w:r>
    </w:p>
    <w:p w14:paraId="5AEAEA77"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0131BBA3"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sub-indicators are: </w:t>
      </w:r>
    </w:p>
    <w:p w14:paraId="6BF81EF9" w14:textId="342275E7" w:rsidR="008D1DD3" w:rsidRPr="00E43CC4" w:rsidRDefault="00D91689" w:rsidP="008D1DD3">
      <w:pPr>
        <w:numPr>
          <w:ilvl w:val="0"/>
          <w:numId w:val="5"/>
        </w:numPr>
        <w:autoSpaceDE w:val="0"/>
        <w:autoSpaceDN w:val="0"/>
        <w:adjustRightInd w:val="0"/>
        <w:spacing w:after="0"/>
        <w:rPr>
          <w:rFonts w:eastAsia="Calibri" w:cstheme="minorHAnsi"/>
          <w:color w:val="4A4A4A"/>
          <w:sz w:val="21"/>
          <w:szCs w:val="21"/>
          <w:lang w:val="en-US" w:eastAsia="en-US"/>
        </w:rPr>
      </w:pPr>
      <w:r>
        <w:rPr>
          <w:rFonts w:eastAsia="Calibri" w:cstheme="minorHAnsi"/>
          <w:color w:val="4A4A4A"/>
          <w:sz w:val="21"/>
          <w:szCs w:val="21"/>
          <w:lang w:val="en-US" w:eastAsia="en-US"/>
        </w:rPr>
        <w:t>Annual f</w:t>
      </w:r>
      <w:r w:rsidR="008D1DD3" w:rsidRPr="00E43CC4">
        <w:rPr>
          <w:rFonts w:eastAsia="Calibri" w:cstheme="minorHAnsi"/>
          <w:color w:val="4A4A4A"/>
          <w:sz w:val="21"/>
          <w:szCs w:val="21"/>
          <w:lang w:val="en-US" w:eastAsia="en-US"/>
        </w:rPr>
        <w:t>orest</w:t>
      </w:r>
      <w:r w:rsidR="008D1DD3" w:rsidRPr="00E43CC4">
        <w:rPr>
          <w:rFonts w:eastAsia="Calibri" w:cstheme="minorHAnsi"/>
          <w:color w:val="4A4A4A"/>
          <w:sz w:val="21"/>
          <w:szCs w:val="21"/>
          <w:lang w:val="en-US" w:eastAsia="en-US"/>
        </w:rPr>
        <w:t xml:space="preserve"> area change rate </w:t>
      </w:r>
    </w:p>
    <w:p w14:paraId="28C93098" w14:textId="77777777" w:rsidR="008D1DD3" w:rsidRPr="00E43CC4" w:rsidRDefault="008D1DD3" w:rsidP="008D1DD3">
      <w:pPr>
        <w:numPr>
          <w:ilvl w:val="0"/>
          <w:numId w:val="5"/>
        </w:num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Above-ground biomass stock in forest </w:t>
      </w:r>
    </w:p>
    <w:p w14:paraId="4959F915" w14:textId="77777777" w:rsidR="008D1DD3" w:rsidRPr="00E43CC4" w:rsidRDefault="008D1DD3" w:rsidP="008D1DD3">
      <w:pPr>
        <w:numPr>
          <w:ilvl w:val="0"/>
          <w:numId w:val="5"/>
        </w:num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Proportion of forest area located within legally established protect areas </w:t>
      </w:r>
    </w:p>
    <w:p w14:paraId="1BB56782" w14:textId="2911F337" w:rsidR="008D1DD3" w:rsidRPr="00E43CC4" w:rsidRDefault="008D1DD3" w:rsidP="008D1DD3">
      <w:pPr>
        <w:numPr>
          <w:ilvl w:val="0"/>
          <w:numId w:val="5"/>
        </w:num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Proportion of forest area under a long</w:t>
      </w:r>
      <w:r w:rsidR="001F3245">
        <w:rPr>
          <w:rFonts w:eastAsia="Calibri" w:cstheme="minorHAnsi"/>
          <w:color w:val="4A4A4A"/>
          <w:sz w:val="21"/>
          <w:szCs w:val="21"/>
          <w:lang w:val="en-US" w:eastAsia="en-US"/>
        </w:rPr>
        <w:t>-</w:t>
      </w:r>
      <w:r w:rsidRPr="00E43CC4">
        <w:rPr>
          <w:rFonts w:eastAsia="Calibri" w:cstheme="minorHAnsi"/>
          <w:color w:val="4A4A4A"/>
          <w:sz w:val="21"/>
          <w:szCs w:val="21"/>
          <w:lang w:val="en-US" w:eastAsia="en-US"/>
        </w:rPr>
        <w:t xml:space="preserve">term forest management plan </w:t>
      </w:r>
    </w:p>
    <w:p w14:paraId="1950A7A4" w14:textId="77777777" w:rsidR="008D1DD3" w:rsidRPr="00E43CC4" w:rsidRDefault="008D1DD3" w:rsidP="008D1DD3">
      <w:pPr>
        <w:numPr>
          <w:ilvl w:val="0"/>
          <w:numId w:val="5"/>
        </w:num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Forest area under an independently verified forest management certification scheme </w:t>
      </w:r>
    </w:p>
    <w:p w14:paraId="463C0802"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080C0EDE"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A dashboard is used to assess progress related to the five sub-indicators. The adoption of the dashboard approach aims at ensuring consideration of all dimensions of sustainable forest management and provides for clear view of areas where progress has been achieved. </w:t>
      </w:r>
    </w:p>
    <w:p w14:paraId="27ACE694" w14:textId="2CC702F0"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0E7C43BF" w14:textId="452A431C" w:rsidR="008D1DD3" w:rsidRPr="00E43CC4" w:rsidRDefault="008D1DD3" w:rsidP="00E43CC4">
      <w:pPr>
        <w:autoSpaceDE w:val="0"/>
        <w:autoSpaceDN w:val="0"/>
        <w:adjustRightInd w:val="0"/>
        <w:spacing w:after="0"/>
        <w:rPr>
          <w:rFonts w:eastAsia="Calibri" w:cstheme="minorHAnsi"/>
          <w:b/>
          <w:color w:val="4A4A4A"/>
          <w:sz w:val="21"/>
          <w:szCs w:val="24"/>
          <w:lang w:val="en-US" w:eastAsia="en-US"/>
        </w:rPr>
      </w:pPr>
      <w:r w:rsidRPr="00E43CC4">
        <w:rPr>
          <w:rFonts w:eastAsia="Calibri" w:cstheme="minorHAnsi"/>
          <w:b/>
          <w:bCs/>
          <w:color w:val="4A4A4A"/>
          <w:sz w:val="21"/>
          <w:szCs w:val="21"/>
          <w:lang w:val="en-US" w:eastAsia="en-US"/>
        </w:rPr>
        <w:t xml:space="preserve">Concepts: </w:t>
      </w:r>
    </w:p>
    <w:p w14:paraId="503FA5D1"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See Annex 1 with Terms and Definitions. </w:t>
      </w:r>
    </w:p>
    <w:p w14:paraId="34C91BF1" w14:textId="77777777" w:rsidR="008D1DD3" w:rsidRPr="00E43CC4" w:rsidRDefault="008D1DD3" w:rsidP="008D1DD3">
      <w:pPr>
        <w:autoSpaceDE w:val="0"/>
        <w:autoSpaceDN w:val="0"/>
        <w:adjustRightInd w:val="0"/>
        <w:spacing w:after="0"/>
        <w:rPr>
          <w:rFonts w:eastAsia="Calibri" w:cstheme="minorHAnsi"/>
          <w:b/>
          <w:bCs/>
          <w:color w:val="4A4A4A"/>
          <w:sz w:val="21"/>
          <w:szCs w:val="21"/>
          <w:lang w:val="en-US" w:eastAsia="en-US"/>
        </w:rPr>
      </w:pPr>
    </w:p>
    <w:p w14:paraId="6E54D3D6" w14:textId="015D5F1E" w:rsidR="00EC2915" w:rsidRPr="00E43CC4" w:rsidRDefault="00EC2915" w:rsidP="00576CFA">
      <w:pPr>
        <w:pStyle w:val="MText"/>
        <w:rPr>
          <w:rFonts w:cstheme="minorHAnsi"/>
        </w:rPr>
      </w:pPr>
    </w:p>
    <w:p w14:paraId="7932F8BD" w14:textId="3869C451" w:rsidR="008B0AC7" w:rsidRPr="00E43CC4" w:rsidRDefault="00576CFA" w:rsidP="00F719A8">
      <w:pPr>
        <w:pStyle w:val="MHeader2"/>
        <w:rPr>
          <w:rFonts w:cstheme="minorHAnsi"/>
        </w:rPr>
      </w:pPr>
      <w:r w:rsidRPr="00E43CC4">
        <w:rPr>
          <w:rFonts w:cstheme="minorHAnsi"/>
        </w:rPr>
        <w:t>2.b.</w:t>
      </w:r>
      <w:r w:rsidR="008B0AC7" w:rsidRPr="00E43CC4">
        <w:rPr>
          <w:rFonts w:cstheme="minorHAnsi"/>
        </w:rPr>
        <w:t xml:space="preserve"> Unit of measure</w:t>
      </w:r>
    </w:p>
    <w:p w14:paraId="6161B7FB" w14:textId="46F3F836" w:rsidR="001F3245" w:rsidRDefault="001F3245" w:rsidP="00576CFA">
      <w:pPr>
        <w:pStyle w:val="MText"/>
        <w:rPr>
          <w:rFonts w:cstheme="minorHAnsi"/>
        </w:rPr>
      </w:pPr>
    </w:p>
    <w:tbl>
      <w:tblPr>
        <w:tblStyle w:val="TableGrid"/>
        <w:tblW w:w="0" w:type="auto"/>
        <w:tblLook w:val="04A0" w:firstRow="1" w:lastRow="0" w:firstColumn="1" w:lastColumn="0" w:noHBand="0" w:noVBand="1"/>
      </w:tblPr>
      <w:tblGrid>
        <w:gridCol w:w="4848"/>
        <w:gridCol w:w="4168"/>
      </w:tblGrid>
      <w:tr w:rsidR="001F3245" w:rsidRPr="001B7C2B" w14:paraId="771AFE00" w14:textId="77777777" w:rsidTr="001F3245">
        <w:tc>
          <w:tcPr>
            <w:tcW w:w="4848" w:type="dxa"/>
          </w:tcPr>
          <w:p w14:paraId="42FE05EA" w14:textId="7945AA14" w:rsidR="001F3245" w:rsidRPr="0021071D" w:rsidRDefault="001F3245" w:rsidP="00EF3766">
            <w:pPr>
              <w:autoSpaceDE w:val="0"/>
              <w:autoSpaceDN w:val="0"/>
              <w:adjustRightInd w:val="0"/>
              <w:rPr>
                <w:rFonts w:eastAsia="Calibri" w:cstheme="minorHAnsi"/>
                <w:b/>
                <w:bCs/>
                <w:color w:val="4A4A4A"/>
                <w:sz w:val="21"/>
                <w:szCs w:val="21"/>
                <w:lang w:val="en-US" w:eastAsia="en-US"/>
              </w:rPr>
            </w:pPr>
            <w:r w:rsidRPr="0021071D">
              <w:rPr>
                <w:rFonts w:eastAsia="Calibri" w:cstheme="minorHAnsi"/>
                <w:b/>
                <w:bCs/>
                <w:color w:val="4A4A4A"/>
                <w:sz w:val="21"/>
                <w:szCs w:val="21"/>
                <w:lang w:val="en-US" w:eastAsia="en-US"/>
              </w:rPr>
              <w:t>SUB</w:t>
            </w:r>
            <w:r w:rsidR="0021071D">
              <w:rPr>
                <w:rFonts w:eastAsia="Calibri" w:cstheme="minorHAnsi"/>
                <w:b/>
                <w:bCs/>
                <w:color w:val="4A4A4A"/>
                <w:sz w:val="21"/>
                <w:szCs w:val="21"/>
                <w:lang w:val="en-US" w:eastAsia="en-US"/>
              </w:rPr>
              <w:t>-</w:t>
            </w:r>
            <w:r w:rsidRPr="0021071D">
              <w:rPr>
                <w:rFonts w:eastAsia="Calibri" w:cstheme="minorHAnsi"/>
                <w:b/>
                <w:bCs/>
                <w:color w:val="4A4A4A"/>
                <w:sz w:val="21"/>
                <w:szCs w:val="21"/>
                <w:lang w:val="en-US" w:eastAsia="en-US"/>
              </w:rPr>
              <w:t>INDICATOR</w:t>
            </w:r>
          </w:p>
        </w:tc>
        <w:tc>
          <w:tcPr>
            <w:tcW w:w="4168" w:type="dxa"/>
          </w:tcPr>
          <w:p w14:paraId="2635C032" w14:textId="758FA013" w:rsidR="001F3245" w:rsidRPr="0021071D" w:rsidRDefault="001F3245" w:rsidP="00EF3766">
            <w:pPr>
              <w:autoSpaceDE w:val="0"/>
              <w:autoSpaceDN w:val="0"/>
              <w:adjustRightInd w:val="0"/>
              <w:rPr>
                <w:rFonts w:eastAsia="Calibri" w:cstheme="minorHAnsi"/>
                <w:b/>
                <w:bCs/>
                <w:color w:val="4A4A4A"/>
                <w:sz w:val="21"/>
                <w:szCs w:val="21"/>
                <w:lang w:val="en-US" w:eastAsia="en-US"/>
              </w:rPr>
            </w:pPr>
            <w:r w:rsidRPr="0021071D">
              <w:rPr>
                <w:rFonts w:eastAsia="Calibri" w:cstheme="minorHAnsi"/>
                <w:b/>
                <w:bCs/>
                <w:color w:val="4A4A4A"/>
                <w:sz w:val="21"/>
                <w:szCs w:val="21"/>
                <w:lang w:val="en-US" w:eastAsia="en-US"/>
              </w:rPr>
              <w:t>UNIT</w:t>
            </w:r>
          </w:p>
        </w:tc>
      </w:tr>
      <w:tr w:rsidR="001F3245" w:rsidRPr="001B7C2B" w14:paraId="4D928195" w14:textId="57E12F5E" w:rsidTr="001F3245">
        <w:tc>
          <w:tcPr>
            <w:tcW w:w="4848" w:type="dxa"/>
          </w:tcPr>
          <w:p w14:paraId="166C234A" w14:textId="300A847D" w:rsidR="001F3245" w:rsidRPr="001B7C2B" w:rsidRDefault="00D91689"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Annual f</w:t>
            </w:r>
            <w:r w:rsidR="001F3245" w:rsidRPr="001B7C2B">
              <w:rPr>
                <w:rFonts w:eastAsia="Calibri" w:cstheme="minorHAnsi"/>
                <w:color w:val="4A4A4A"/>
                <w:sz w:val="21"/>
                <w:szCs w:val="21"/>
                <w:lang w:val="en-US" w:eastAsia="en-US"/>
              </w:rPr>
              <w:t xml:space="preserve">orest area change rate </w:t>
            </w:r>
          </w:p>
        </w:tc>
        <w:tc>
          <w:tcPr>
            <w:tcW w:w="4168" w:type="dxa"/>
          </w:tcPr>
          <w:p w14:paraId="74E31425" w14:textId="7C10EAAE" w:rsidR="001F3245" w:rsidRPr="001B7C2B" w:rsidRDefault="001F3245"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Percent</w:t>
            </w:r>
          </w:p>
        </w:tc>
      </w:tr>
      <w:tr w:rsidR="001F3245" w:rsidRPr="001B7C2B" w14:paraId="01D447C9" w14:textId="4688B7F7" w:rsidTr="001F3245">
        <w:tc>
          <w:tcPr>
            <w:tcW w:w="4848" w:type="dxa"/>
          </w:tcPr>
          <w:p w14:paraId="088217B6" w14:textId="77777777" w:rsidR="001F3245" w:rsidRPr="001B7C2B" w:rsidRDefault="001F3245" w:rsidP="00EF3766">
            <w:pPr>
              <w:autoSpaceDE w:val="0"/>
              <w:autoSpaceDN w:val="0"/>
              <w:adjustRightInd w:val="0"/>
              <w:rPr>
                <w:rFonts w:eastAsia="Calibri" w:cstheme="minorHAnsi"/>
                <w:color w:val="4A4A4A"/>
                <w:sz w:val="21"/>
                <w:szCs w:val="21"/>
                <w:lang w:val="en-US" w:eastAsia="en-US"/>
              </w:rPr>
            </w:pPr>
            <w:r w:rsidRPr="001B7C2B">
              <w:rPr>
                <w:rFonts w:eastAsia="Calibri" w:cstheme="minorHAnsi"/>
                <w:color w:val="4A4A4A"/>
                <w:sz w:val="21"/>
                <w:szCs w:val="21"/>
                <w:lang w:val="en-US" w:eastAsia="en-US"/>
              </w:rPr>
              <w:t xml:space="preserve">Above-ground biomass stock in forest </w:t>
            </w:r>
          </w:p>
        </w:tc>
        <w:tc>
          <w:tcPr>
            <w:tcW w:w="4168" w:type="dxa"/>
          </w:tcPr>
          <w:p w14:paraId="0606678F" w14:textId="4F233F4A" w:rsidR="001F3245" w:rsidRPr="001B7C2B" w:rsidRDefault="001F3245"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Tonnes per hectare</w:t>
            </w:r>
          </w:p>
        </w:tc>
      </w:tr>
      <w:tr w:rsidR="001F3245" w:rsidRPr="001B7C2B" w14:paraId="745E74EA" w14:textId="3EBF90D9" w:rsidTr="001F3245">
        <w:tc>
          <w:tcPr>
            <w:tcW w:w="4848" w:type="dxa"/>
          </w:tcPr>
          <w:p w14:paraId="47D29301" w14:textId="77777777" w:rsidR="001F3245" w:rsidRPr="001B7C2B" w:rsidRDefault="001F3245" w:rsidP="00EF3766">
            <w:pPr>
              <w:autoSpaceDE w:val="0"/>
              <w:autoSpaceDN w:val="0"/>
              <w:adjustRightInd w:val="0"/>
              <w:rPr>
                <w:rFonts w:eastAsia="Calibri" w:cstheme="minorHAnsi"/>
                <w:color w:val="4A4A4A"/>
                <w:sz w:val="21"/>
                <w:szCs w:val="21"/>
                <w:lang w:val="en-US" w:eastAsia="en-US"/>
              </w:rPr>
            </w:pPr>
            <w:r w:rsidRPr="001B7C2B">
              <w:rPr>
                <w:rFonts w:eastAsia="Calibri" w:cstheme="minorHAnsi"/>
                <w:color w:val="4A4A4A"/>
                <w:sz w:val="21"/>
                <w:szCs w:val="21"/>
                <w:lang w:val="en-US" w:eastAsia="en-US"/>
              </w:rPr>
              <w:t xml:space="preserve">Proportion of forest area located within legally established protect areas </w:t>
            </w:r>
          </w:p>
        </w:tc>
        <w:tc>
          <w:tcPr>
            <w:tcW w:w="4168" w:type="dxa"/>
          </w:tcPr>
          <w:p w14:paraId="56249BA3" w14:textId="1C8FA892" w:rsidR="001F3245" w:rsidRPr="001B7C2B" w:rsidRDefault="001F3245"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Percent</w:t>
            </w:r>
          </w:p>
        </w:tc>
      </w:tr>
      <w:tr w:rsidR="001F3245" w:rsidRPr="001B7C2B" w14:paraId="41B922FE" w14:textId="5573AF01" w:rsidTr="001F3245">
        <w:tc>
          <w:tcPr>
            <w:tcW w:w="4848" w:type="dxa"/>
          </w:tcPr>
          <w:p w14:paraId="66B826E6" w14:textId="646BBBF0" w:rsidR="001F3245" w:rsidRPr="001B7C2B" w:rsidRDefault="001F3245" w:rsidP="00EF3766">
            <w:pPr>
              <w:autoSpaceDE w:val="0"/>
              <w:autoSpaceDN w:val="0"/>
              <w:adjustRightInd w:val="0"/>
              <w:rPr>
                <w:rFonts w:eastAsia="Calibri" w:cstheme="minorHAnsi"/>
                <w:color w:val="4A4A4A"/>
                <w:sz w:val="21"/>
                <w:szCs w:val="21"/>
                <w:lang w:val="en-US" w:eastAsia="en-US"/>
              </w:rPr>
            </w:pPr>
            <w:r w:rsidRPr="001B7C2B">
              <w:rPr>
                <w:rFonts w:eastAsia="Calibri" w:cstheme="minorHAnsi"/>
                <w:color w:val="4A4A4A"/>
                <w:sz w:val="21"/>
                <w:szCs w:val="21"/>
                <w:lang w:val="en-US" w:eastAsia="en-US"/>
              </w:rPr>
              <w:t>Proportion of forest area under a long</w:t>
            </w:r>
            <w:r>
              <w:rPr>
                <w:rFonts w:eastAsia="Calibri" w:cstheme="minorHAnsi"/>
                <w:color w:val="4A4A4A"/>
                <w:sz w:val="21"/>
                <w:szCs w:val="21"/>
                <w:lang w:val="en-US" w:eastAsia="en-US"/>
              </w:rPr>
              <w:t>-</w:t>
            </w:r>
            <w:r w:rsidRPr="001B7C2B">
              <w:rPr>
                <w:rFonts w:eastAsia="Calibri" w:cstheme="minorHAnsi"/>
                <w:color w:val="4A4A4A"/>
                <w:sz w:val="21"/>
                <w:szCs w:val="21"/>
                <w:lang w:val="en-US" w:eastAsia="en-US"/>
              </w:rPr>
              <w:t xml:space="preserve">term forest management plan </w:t>
            </w:r>
          </w:p>
        </w:tc>
        <w:tc>
          <w:tcPr>
            <w:tcW w:w="4168" w:type="dxa"/>
          </w:tcPr>
          <w:p w14:paraId="520D9DB1" w14:textId="579C95AA" w:rsidR="001F3245" w:rsidRPr="001B7C2B" w:rsidRDefault="001F3245"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Percent</w:t>
            </w:r>
          </w:p>
        </w:tc>
      </w:tr>
      <w:tr w:rsidR="001F3245" w:rsidRPr="001B7C2B" w14:paraId="2EEA9EEE" w14:textId="6F677174" w:rsidTr="001F3245">
        <w:tc>
          <w:tcPr>
            <w:tcW w:w="4848" w:type="dxa"/>
          </w:tcPr>
          <w:p w14:paraId="76803127" w14:textId="77777777" w:rsidR="001F3245" w:rsidRPr="001B7C2B" w:rsidRDefault="001F3245" w:rsidP="00EF3766">
            <w:pPr>
              <w:autoSpaceDE w:val="0"/>
              <w:autoSpaceDN w:val="0"/>
              <w:adjustRightInd w:val="0"/>
              <w:rPr>
                <w:rFonts w:eastAsia="Calibri" w:cstheme="minorHAnsi"/>
                <w:color w:val="4A4A4A"/>
                <w:sz w:val="21"/>
                <w:szCs w:val="21"/>
                <w:lang w:val="en-US" w:eastAsia="en-US"/>
              </w:rPr>
            </w:pPr>
            <w:r w:rsidRPr="001B7C2B">
              <w:rPr>
                <w:rFonts w:eastAsia="Calibri" w:cstheme="minorHAnsi"/>
                <w:color w:val="4A4A4A"/>
                <w:sz w:val="21"/>
                <w:szCs w:val="21"/>
                <w:lang w:val="en-US" w:eastAsia="en-US"/>
              </w:rPr>
              <w:t xml:space="preserve">Forest area under an independently verified forest management certification scheme </w:t>
            </w:r>
          </w:p>
        </w:tc>
        <w:tc>
          <w:tcPr>
            <w:tcW w:w="4168" w:type="dxa"/>
          </w:tcPr>
          <w:p w14:paraId="6E786D64" w14:textId="79AADD9C" w:rsidR="001F3245" w:rsidRPr="001B7C2B" w:rsidRDefault="001F3245"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1000 hectares</w:t>
            </w:r>
          </w:p>
        </w:tc>
      </w:tr>
    </w:tbl>
    <w:p w14:paraId="20199CBD" w14:textId="77777777" w:rsidR="001F3245" w:rsidRPr="001F3245" w:rsidRDefault="001F3245" w:rsidP="00576CFA">
      <w:pPr>
        <w:pStyle w:val="MText"/>
        <w:rPr>
          <w:rFonts w:cstheme="minorHAnsi"/>
          <w:lang w:val="en-US"/>
        </w:rPr>
      </w:pPr>
    </w:p>
    <w:p w14:paraId="548E9AAA" w14:textId="77777777" w:rsidR="00EC2915" w:rsidRPr="00E43CC4" w:rsidRDefault="00EC2915" w:rsidP="00576CFA">
      <w:pPr>
        <w:pStyle w:val="MText"/>
        <w:rPr>
          <w:rFonts w:cstheme="minorHAnsi"/>
        </w:rPr>
      </w:pPr>
    </w:p>
    <w:p w14:paraId="651AA7AC" w14:textId="5144B8C4" w:rsidR="00DA615C" w:rsidRPr="00E43CC4" w:rsidRDefault="008B0AC7" w:rsidP="00F719A8">
      <w:pPr>
        <w:pStyle w:val="MHeader2"/>
        <w:rPr>
          <w:rFonts w:cstheme="minorHAnsi"/>
        </w:rPr>
      </w:pPr>
      <w:r w:rsidRPr="00E43CC4">
        <w:rPr>
          <w:rFonts w:cstheme="minorHAnsi"/>
        </w:rPr>
        <w:t>2.c. Classifications</w:t>
      </w:r>
    </w:p>
    <w:p w14:paraId="123172F4" w14:textId="40EEF2BD" w:rsidR="00F719A8" w:rsidRPr="00E43CC4" w:rsidRDefault="00F719A8" w:rsidP="00576CFA">
      <w:pPr>
        <w:pStyle w:val="MText"/>
        <w:rPr>
          <w:rFonts w:cstheme="minorHAnsi"/>
        </w:rPr>
      </w:pPr>
    </w:p>
    <w:p w14:paraId="1D3AEECA" w14:textId="4C5EC949" w:rsidR="00B31E2C" w:rsidRPr="00E43CC4" w:rsidRDefault="00B31E2C" w:rsidP="00F719A8">
      <w:pPr>
        <w:pStyle w:val="MHeader"/>
        <w:rPr>
          <w:rFonts w:cstheme="minorHAnsi"/>
        </w:rPr>
      </w:pPr>
      <w:r w:rsidRPr="00E43CC4">
        <w:rPr>
          <w:rFonts w:cstheme="minorHAnsi"/>
        </w:rPr>
        <w:t>3. Data source type and data collection method</w:t>
      </w:r>
    </w:p>
    <w:p w14:paraId="340B050E" w14:textId="31C09E5F" w:rsidR="008B0AC7" w:rsidRPr="00E43CC4" w:rsidRDefault="008B0AC7" w:rsidP="00F719A8">
      <w:pPr>
        <w:pStyle w:val="MHeader2"/>
        <w:rPr>
          <w:rFonts w:cstheme="minorHAnsi"/>
        </w:rPr>
      </w:pPr>
      <w:r w:rsidRPr="00E43CC4">
        <w:rPr>
          <w:rFonts w:cstheme="minorHAnsi"/>
        </w:rPr>
        <w:t>3.a. Data sources</w:t>
      </w:r>
    </w:p>
    <w:p w14:paraId="5BAF305F" w14:textId="77777777" w:rsidR="008D1DD3" w:rsidRPr="00E43CC4" w:rsidRDefault="008D1DD3" w:rsidP="008D1DD3">
      <w:pPr>
        <w:shd w:val="clear" w:color="auto" w:fill="F5F5F5"/>
        <w:spacing w:after="0"/>
        <w:outlineLvl w:val="1"/>
        <w:rPr>
          <w:rFonts w:eastAsia="Times New Roman" w:cstheme="minorHAnsi"/>
          <w:color w:val="1C75BC"/>
          <w:lang w:eastAsia="en-GB"/>
        </w:rPr>
      </w:pPr>
      <w:r w:rsidRPr="00E43CC4">
        <w:rPr>
          <w:rFonts w:eastAsia="Times New Roman" w:cstheme="minorHAnsi"/>
          <w:color w:val="1C75BC"/>
          <w:lang w:eastAsia="en-GB"/>
        </w:rPr>
        <w:t>Sub-indicators 1 to 4</w:t>
      </w:r>
    </w:p>
    <w:p w14:paraId="6ADFA691" w14:textId="77777777" w:rsidR="008D1DD3" w:rsidRPr="00E43CC4" w:rsidRDefault="008D1DD3" w:rsidP="008D1DD3">
      <w:pPr>
        <w:autoSpaceDE w:val="0"/>
        <w:autoSpaceDN w:val="0"/>
        <w:adjustRightInd w:val="0"/>
        <w:spacing w:before="120" w:after="120"/>
        <w:contextualSpacing/>
        <w:rPr>
          <w:rFonts w:eastAsia="Calibri" w:cstheme="minorHAnsi"/>
          <w:b/>
          <w:bCs/>
          <w:color w:val="000000"/>
          <w:sz w:val="21"/>
          <w:szCs w:val="21"/>
          <w:lang w:val="en-US" w:eastAsia="en-US"/>
        </w:rPr>
      </w:pPr>
    </w:p>
    <w:p w14:paraId="0BDDE28D" w14:textId="5FB8A0A5" w:rsidR="008D1DD3" w:rsidRDefault="00EF3766" w:rsidP="008D1DD3">
      <w:pPr>
        <w:shd w:val="clear" w:color="auto" w:fill="FFFFFF"/>
        <w:spacing w:after="0" w:line="256" w:lineRule="auto"/>
        <w:contextualSpacing/>
        <w:rPr>
          <w:rFonts w:eastAsia="Times New Roman" w:cstheme="minorHAnsi"/>
          <w:color w:val="4A4A4A"/>
          <w:sz w:val="21"/>
          <w:szCs w:val="21"/>
          <w:lang w:val="en-US" w:eastAsia="en-GB"/>
        </w:rPr>
      </w:pPr>
      <w:r>
        <w:rPr>
          <w:rFonts w:eastAsia="Times New Roman" w:cstheme="minorHAnsi"/>
          <w:color w:val="4A4A4A"/>
          <w:sz w:val="21"/>
          <w:szCs w:val="21"/>
          <w:lang w:val="en-US" w:eastAsia="en-GB"/>
        </w:rPr>
        <w:t xml:space="preserve">Data are collected by </w:t>
      </w:r>
      <w:r>
        <w:rPr>
          <w:rFonts w:eastAsia="Times New Roman" w:cstheme="minorHAnsi"/>
          <w:color w:val="4A4A4A"/>
          <w:sz w:val="21"/>
          <w:szCs w:val="21"/>
          <w:lang w:val="en-US" w:eastAsia="en-GB"/>
        </w:rPr>
        <w:t xml:space="preserve">FAO </w:t>
      </w:r>
      <w:r>
        <w:rPr>
          <w:rFonts w:eastAsia="Times New Roman" w:cstheme="minorHAnsi"/>
          <w:color w:val="4A4A4A"/>
          <w:sz w:val="21"/>
          <w:szCs w:val="21"/>
          <w:lang w:val="en-US" w:eastAsia="en-GB"/>
        </w:rPr>
        <w:t>through</w:t>
      </w:r>
      <w:r>
        <w:rPr>
          <w:rFonts w:eastAsia="Times New Roman" w:cstheme="minorHAnsi"/>
          <w:color w:val="4A4A4A"/>
          <w:sz w:val="21"/>
          <w:szCs w:val="21"/>
          <w:lang w:val="en-US" w:eastAsia="en-GB"/>
        </w:rPr>
        <w:t xml:space="preserve"> the </w:t>
      </w:r>
      <w:r w:rsidR="008D1DD3" w:rsidRPr="00E43CC4">
        <w:rPr>
          <w:rFonts w:eastAsia="Times New Roman" w:cstheme="minorHAnsi"/>
          <w:color w:val="4A4A4A"/>
          <w:sz w:val="21"/>
          <w:szCs w:val="21"/>
          <w:lang w:val="en-US" w:eastAsia="en-GB"/>
        </w:rPr>
        <w:t xml:space="preserve">Global Forest Resources </w:t>
      </w:r>
      <w:r w:rsidR="008D1DD3" w:rsidRPr="00E43CC4">
        <w:rPr>
          <w:rFonts w:eastAsia="Times New Roman" w:cstheme="minorHAnsi"/>
          <w:color w:val="4A4A4A"/>
          <w:sz w:val="21"/>
          <w:szCs w:val="21"/>
          <w:lang w:val="en-US" w:eastAsia="en-GB"/>
        </w:rPr>
        <w:t>Assessment (FRA)</w:t>
      </w:r>
      <w:r>
        <w:rPr>
          <w:rFonts w:eastAsia="Times New Roman" w:cstheme="minorHAnsi"/>
          <w:color w:val="4A4A4A"/>
          <w:sz w:val="21"/>
          <w:szCs w:val="21"/>
          <w:lang w:val="en-US" w:eastAsia="en-GB"/>
        </w:rPr>
        <w:t xml:space="preserve">. </w:t>
      </w:r>
      <w:r>
        <w:rPr>
          <w:rFonts w:eastAsia="Times New Roman" w:cstheme="minorHAnsi"/>
          <w:color w:val="4A4A4A"/>
          <w:sz w:val="21"/>
          <w:szCs w:val="21"/>
          <w:lang w:val="en-US" w:eastAsia="en-GB"/>
        </w:rPr>
        <w:t xml:space="preserve">Assessments </w:t>
      </w:r>
      <w:r>
        <w:rPr>
          <w:rFonts w:eastAsia="Times New Roman" w:cstheme="minorHAnsi"/>
          <w:color w:val="4A4A4A"/>
          <w:sz w:val="21"/>
          <w:szCs w:val="21"/>
          <w:lang w:val="en-US" w:eastAsia="en-GB"/>
        </w:rPr>
        <w:t xml:space="preserve">have been carried out at regular intervals since </w:t>
      </w:r>
      <w:r w:rsidR="00E16C64">
        <w:rPr>
          <w:rFonts w:eastAsia="Times New Roman" w:cstheme="minorHAnsi"/>
          <w:color w:val="4A4A4A"/>
          <w:sz w:val="21"/>
          <w:szCs w:val="21"/>
          <w:lang w:val="en-US" w:eastAsia="en-GB"/>
        </w:rPr>
        <w:t>1946 and</w:t>
      </w:r>
      <w:r w:rsidR="008D1DD3" w:rsidRPr="00E43CC4">
        <w:rPr>
          <w:rFonts w:eastAsia="Times New Roman" w:cstheme="minorHAnsi"/>
          <w:color w:val="4A4A4A"/>
          <w:sz w:val="21"/>
          <w:szCs w:val="21"/>
          <w:lang w:val="en-US" w:eastAsia="en-GB"/>
        </w:rPr>
        <w:t xml:space="preserve"> are now produced every five year. The latest of these assessments, FRA 2020, contains information for 236 countries and territories on about 60 variables related to the extent of forests, their conditions, uses and values for several points in time. </w:t>
      </w:r>
    </w:p>
    <w:p w14:paraId="2CF59702" w14:textId="77777777" w:rsidR="001F3245" w:rsidRPr="00957524" w:rsidRDefault="001F3245" w:rsidP="00957524">
      <w:pPr>
        <w:autoSpaceDE w:val="0"/>
        <w:autoSpaceDN w:val="0"/>
        <w:adjustRightInd w:val="0"/>
        <w:spacing w:after="120"/>
        <w:rPr>
          <w:color w:val="4A4A4A"/>
          <w:sz w:val="21"/>
          <w:lang w:val="en-US"/>
        </w:rPr>
      </w:pPr>
    </w:p>
    <w:p w14:paraId="64AEF294" w14:textId="77777777" w:rsidR="001F3245" w:rsidRPr="00E43CC4" w:rsidRDefault="001F3245" w:rsidP="001F3245">
      <w:pPr>
        <w:shd w:val="clear" w:color="auto" w:fill="F5F5F5"/>
        <w:spacing w:after="0"/>
        <w:outlineLvl w:val="1"/>
        <w:rPr>
          <w:rFonts w:eastAsia="Times New Roman" w:cstheme="minorHAnsi"/>
          <w:color w:val="1C75BC"/>
          <w:lang w:eastAsia="en-GB"/>
        </w:rPr>
      </w:pPr>
      <w:r w:rsidRPr="00E43CC4">
        <w:rPr>
          <w:rFonts w:eastAsia="Times New Roman" w:cstheme="minorHAnsi"/>
          <w:color w:val="1C75BC"/>
          <w:lang w:eastAsia="en-GB"/>
        </w:rPr>
        <w:lastRenderedPageBreak/>
        <w:t>Sub-indicator 5</w:t>
      </w:r>
    </w:p>
    <w:p w14:paraId="222A8D20" w14:textId="77777777" w:rsidR="00B82BA0" w:rsidRPr="00E43CC4" w:rsidRDefault="00B82BA0" w:rsidP="00B82BA0">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Currently, forest certification by the Forest Stewardship Council (FSC) and the Programme for the Endorsement of Forest Certification (PEFC) are included in the data submissions. The latter includes several national/regional certification schemes that have been endorsed according to the PEFC standards. </w:t>
      </w:r>
    </w:p>
    <w:p w14:paraId="21CDAB48" w14:textId="7E9B9D4A" w:rsidR="001F3245" w:rsidRPr="00E43CC4" w:rsidRDefault="001F3245" w:rsidP="001F3245">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Data on forest certification </w:t>
      </w:r>
      <w:r w:rsidR="00E16C64">
        <w:rPr>
          <w:rFonts w:eastAsia="Calibri" w:cstheme="minorHAnsi"/>
          <w:color w:val="4A4A4A"/>
          <w:sz w:val="21"/>
          <w:szCs w:val="21"/>
          <w:lang w:val="en-US" w:eastAsia="en-US"/>
        </w:rPr>
        <w:t>are</w:t>
      </w:r>
      <w:r w:rsidRPr="00E43CC4">
        <w:rPr>
          <w:rFonts w:eastAsia="Calibri" w:cstheme="minorHAnsi"/>
          <w:color w:val="4A4A4A"/>
          <w:sz w:val="21"/>
          <w:szCs w:val="21"/>
          <w:lang w:val="en-US" w:eastAsia="en-US"/>
        </w:rPr>
        <w:t xml:space="preserve"> submitted annually to FAO by the head offices of the respective forest certification scheme. Data include the area certified by each scheme, as well as areas that are double-certified by the two schemes.</w:t>
      </w:r>
      <w:r w:rsidRPr="00E43CC4">
        <w:rPr>
          <w:rFonts w:eastAsia="Calibri" w:cstheme="minorHAnsi"/>
          <w:color w:val="4A4A4A"/>
          <w:sz w:val="21"/>
          <w:szCs w:val="21"/>
          <w:lang w:val="en-US" w:eastAsia="en-US"/>
        </w:rPr>
        <w:t xml:space="preserve"> That allows for estimating the total certified forest area, adjusted for double certified area. </w:t>
      </w:r>
    </w:p>
    <w:p w14:paraId="3018A8D8" w14:textId="77777777" w:rsidR="00EC2915" w:rsidRPr="00957524" w:rsidRDefault="00EC2915" w:rsidP="00957524">
      <w:pPr>
        <w:pStyle w:val="MText"/>
      </w:pPr>
    </w:p>
    <w:p w14:paraId="79368080" w14:textId="32CB9C2E" w:rsidR="008B0AC7" w:rsidRPr="00E43CC4" w:rsidRDefault="00576CFA" w:rsidP="00F719A8">
      <w:pPr>
        <w:pStyle w:val="MHeader2"/>
        <w:rPr>
          <w:rFonts w:cstheme="minorHAnsi"/>
        </w:rPr>
      </w:pPr>
      <w:r w:rsidRPr="00E43CC4">
        <w:rPr>
          <w:rFonts w:cstheme="minorHAnsi"/>
        </w:rPr>
        <w:t>3.b</w:t>
      </w:r>
      <w:r w:rsidR="008B0AC7" w:rsidRPr="00E43CC4">
        <w:rPr>
          <w:rFonts w:cstheme="minorHAnsi"/>
        </w:rPr>
        <w:t>. Data collection method</w:t>
      </w:r>
    </w:p>
    <w:p w14:paraId="74AD4F95" w14:textId="77777777" w:rsidR="001F3245" w:rsidRPr="00E43CC4" w:rsidRDefault="001F3245" w:rsidP="001F3245">
      <w:pPr>
        <w:shd w:val="clear" w:color="auto" w:fill="F5F5F5"/>
        <w:spacing w:after="0"/>
        <w:outlineLvl w:val="1"/>
        <w:rPr>
          <w:rFonts w:eastAsia="Times New Roman" w:cstheme="minorHAnsi"/>
          <w:color w:val="1C75BC"/>
          <w:lang w:eastAsia="en-GB"/>
        </w:rPr>
      </w:pPr>
      <w:r w:rsidRPr="00E43CC4">
        <w:rPr>
          <w:rFonts w:eastAsia="Times New Roman" w:cstheme="minorHAnsi"/>
          <w:color w:val="1C75BC"/>
          <w:lang w:eastAsia="en-GB"/>
        </w:rPr>
        <w:t>Sub-indicators 1 to 4</w:t>
      </w:r>
    </w:p>
    <w:p w14:paraId="661B8EDC" w14:textId="77777777" w:rsidR="001F3245" w:rsidRDefault="001F3245" w:rsidP="008D1DD3">
      <w:pPr>
        <w:pStyle w:val="Default"/>
        <w:spacing w:after="120" w:line="276" w:lineRule="auto"/>
        <w:rPr>
          <w:rFonts w:asciiTheme="minorHAnsi" w:hAnsiTheme="minorHAnsi" w:cstheme="minorHAnsi"/>
          <w:color w:val="4A4A4A"/>
          <w:sz w:val="21"/>
          <w:szCs w:val="21"/>
        </w:rPr>
      </w:pPr>
    </w:p>
    <w:p w14:paraId="0851BFC9" w14:textId="63132B47" w:rsidR="008D1DD3" w:rsidRPr="00E43CC4" w:rsidRDefault="008D1DD3" w:rsidP="008D1DD3">
      <w:pPr>
        <w:pStyle w:val="Default"/>
        <w:spacing w:after="120" w:line="276" w:lineRule="auto"/>
        <w:rPr>
          <w:rFonts w:asciiTheme="minorHAnsi" w:hAnsiTheme="minorHAnsi" w:cstheme="minorHAnsi"/>
          <w:color w:val="4A4A4A"/>
          <w:sz w:val="21"/>
          <w:szCs w:val="21"/>
        </w:rPr>
      </w:pPr>
      <w:r w:rsidRPr="00E43CC4">
        <w:rPr>
          <w:rFonts w:asciiTheme="minorHAnsi" w:hAnsiTheme="minorHAnsi" w:cstheme="minorHAnsi"/>
          <w:color w:val="4A4A4A"/>
          <w:sz w:val="21"/>
          <w:szCs w:val="21"/>
        </w:rPr>
        <w:t xml:space="preserve">Data on </w:t>
      </w:r>
      <w:r w:rsidRPr="00E43CC4">
        <w:rPr>
          <w:rFonts w:asciiTheme="minorHAnsi" w:hAnsiTheme="minorHAnsi" w:cstheme="minorHAnsi"/>
          <w:color w:val="4A4A4A"/>
          <w:sz w:val="21"/>
          <w:szCs w:val="21"/>
        </w:rPr>
        <w:t>the</w:t>
      </w:r>
      <w:r w:rsidR="00EF3766">
        <w:rPr>
          <w:rFonts w:asciiTheme="minorHAnsi" w:hAnsiTheme="minorHAnsi" w:cstheme="minorHAnsi"/>
          <w:color w:val="4A4A4A"/>
          <w:sz w:val="21"/>
          <w:szCs w:val="21"/>
        </w:rPr>
        <w:t>se</w:t>
      </w:r>
      <w:r w:rsidRPr="00E43CC4">
        <w:rPr>
          <w:rFonts w:asciiTheme="minorHAnsi" w:hAnsiTheme="minorHAnsi" w:cstheme="minorHAnsi"/>
          <w:color w:val="4A4A4A"/>
          <w:sz w:val="21"/>
          <w:szCs w:val="21"/>
        </w:rPr>
        <w:t xml:space="preserve"> sub-indicators are collected </w:t>
      </w:r>
      <w:r w:rsidR="00E16C64">
        <w:rPr>
          <w:rFonts w:asciiTheme="minorHAnsi" w:hAnsiTheme="minorHAnsi" w:cstheme="minorHAnsi"/>
          <w:color w:val="4A4A4A"/>
          <w:sz w:val="21"/>
          <w:szCs w:val="21"/>
        </w:rPr>
        <w:t>through</w:t>
      </w:r>
      <w:r w:rsidRPr="00E43CC4">
        <w:rPr>
          <w:rFonts w:asciiTheme="minorHAnsi" w:hAnsiTheme="minorHAnsi" w:cstheme="minorHAnsi"/>
          <w:color w:val="4A4A4A"/>
          <w:sz w:val="21"/>
          <w:szCs w:val="21"/>
        </w:rPr>
        <w:t xml:space="preserve"> FAO’s Global Forest Resources Assessment (FRA) programme. Officially nominated national correspondents and their teams prepare the country reports for the assessment. Some prepare more than one report as they also report on dependent territories. For the remaining countries and territories where no information is provided, a report is prepared by FAO using existing information and a literature search. </w:t>
      </w:r>
    </w:p>
    <w:p w14:paraId="4337478E"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All data are provided to FAO by countries in the form of a country report through an on-line platform following a standard format, which includes the original data and reference sources and descriptions of how these have been used to estimate the forest area for different points in time. The on-line platform was used for all data entry, review and quality control.</w:t>
      </w:r>
    </w:p>
    <w:p w14:paraId="3AC0DBA4"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In order to obtain internationally comparable data, countries are requested to provide national categories and definitions, and in case these are different than the FAO categories and definitions, countries are requested to perform a reclassification of national data to correspond to the FAO categories and definitions and to document this step in the country report. Countries are also requested to use interpolation or extrapolation of national data in order to provide estimates for the specific reporting years. </w:t>
      </w:r>
    </w:p>
    <w:p w14:paraId="13B7003E"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p>
    <w:p w14:paraId="6E90FFF2" w14:textId="77777777" w:rsidR="008D1DD3" w:rsidRPr="00E43CC4" w:rsidRDefault="008D1DD3" w:rsidP="008D1DD3">
      <w:pPr>
        <w:shd w:val="clear" w:color="auto" w:fill="F5F5F5"/>
        <w:spacing w:after="0"/>
        <w:outlineLvl w:val="1"/>
        <w:rPr>
          <w:rFonts w:eastAsia="Times New Roman" w:cstheme="minorHAnsi"/>
          <w:color w:val="1C75BC"/>
          <w:lang w:eastAsia="en-GB"/>
        </w:rPr>
      </w:pPr>
      <w:r w:rsidRPr="00E43CC4">
        <w:rPr>
          <w:rFonts w:eastAsia="Times New Roman" w:cstheme="minorHAnsi"/>
          <w:color w:val="1C75BC"/>
          <w:lang w:eastAsia="en-GB"/>
        </w:rPr>
        <w:t>Sub-indicator 5</w:t>
      </w:r>
    </w:p>
    <w:p w14:paraId="4BB7D44F" w14:textId="77777777" w:rsidR="008D1DD3" w:rsidRPr="00E43CC4" w:rsidRDefault="008D1DD3" w:rsidP="008D1DD3">
      <w:pPr>
        <w:autoSpaceDE w:val="0"/>
        <w:autoSpaceDN w:val="0"/>
        <w:adjustRightInd w:val="0"/>
        <w:spacing w:before="120" w:after="120"/>
        <w:contextualSpacing/>
        <w:rPr>
          <w:rFonts w:eastAsia="Calibri" w:cstheme="minorHAnsi"/>
          <w:b/>
          <w:bCs/>
          <w:color w:val="4A4A4A"/>
          <w:sz w:val="21"/>
          <w:szCs w:val="21"/>
          <w:lang w:val="en-US" w:eastAsia="en-US"/>
        </w:rPr>
      </w:pPr>
    </w:p>
    <w:p w14:paraId="56ADF668" w14:textId="19CF7A66"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Data </w:t>
      </w:r>
      <w:r w:rsidR="00B841C6">
        <w:rPr>
          <w:rFonts w:eastAsia="Calibri" w:cstheme="minorHAnsi"/>
          <w:color w:val="4A4A4A"/>
          <w:sz w:val="21"/>
          <w:szCs w:val="21"/>
          <w:lang w:val="en-US" w:eastAsia="en-US"/>
        </w:rPr>
        <w:t xml:space="preserve">are </w:t>
      </w:r>
      <w:r w:rsidR="00B841C6">
        <w:rPr>
          <w:rFonts w:eastAsia="Calibri" w:cstheme="minorHAnsi"/>
          <w:color w:val="4A4A4A"/>
          <w:sz w:val="21"/>
          <w:szCs w:val="21"/>
          <w:lang w:val="en-US" w:eastAsia="en-US"/>
        </w:rPr>
        <w:t xml:space="preserve">annually </w:t>
      </w:r>
      <w:r w:rsidRPr="00E43CC4">
        <w:rPr>
          <w:rFonts w:eastAsia="Calibri" w:cstheme="minorHAnsi"/>
          <w:color w:val="4A4A4A"/>
          <w:sz w:val="21"/>
          <w:szCs w:val="21"/>
          <w:lang w:val="en-US" w:eastAsia="en-US"/>
        </w:rPr>
        <w:t xml:space="preserve">reported by the certification bodies </w:t>
      </w:r>
      <w:r w:rsidR="00B841C6">
        <w:rPr>
          <w:rFonts w:eastAsia="Calibri" w:cstheme="minorHAnsi"/>
          <w:color w:val="4A4A4A"/>
          <w:sz w:val="21"/>
          <w:szCs w:val="21"/>
          <w:lang w:val="en-US" w:eastAsia="en-US"/>
        </w:rPr>
        <w:t xml:space="preserve">to FAO </w:t>
      </w:r>
      <w:r w:rsidRPr="00E43CC4">
        <w:rPr>
          <w:rFonts w:eastAsia="Calibri" w:cstheme="minorHAnsi"/>
          <w:color w:val="4A4A4A"/>
          <w:sz w:val="21"/>
          <w:szCs w:val="21"/>
          <w:lang w:val="en-US" w:eastAsia="en-US"/>
        </w:rPr>
        <w:t>and consolidated into estimates of total certified forest area</w:t>
      </w:r>
      <w:r w:rsidR="00B841C6">
        <w:rPr>
          <w:rFonts w:eastAsia="Calibri" w:cstheme="minorHAnsi"/>
          <w:color w:val="4A4A4A"/>
          <w:sz w:val="21"/>
          <w:szCs w:val="21"/>
          <w:lang w:val="en-US" w:eastAsia="en-US"/>
        </w:rPr>
        <w:t>, which</w:t>
      </w:r>
      <w:r w:rsidRPr="00E43CC4">
        <w:rPr>
          <w:rFonts w:eastAsia="Calibri" w:cstheme="minorHAnsi"/>
          <w:color w:val="4A4A4A"/>
          <w:sz w:val="21"/>
          <w:szCs w:val="21"/>
          <w:lang w:val="en-US" w:eastAsia="en-US"/>
        </w:rPr>
        <w:t xml:space="preserve"> are made available to the countries through </w:t>
      </w:r>
      <w:r w:rsidR="00B841C6">
        <w:rPr>
          <w:rFonts w:eastAsia="Calibri" w:cstheme="minorHAnsi"/>
          <w:color w:val="4A4A4A"/>
          <w:sz w:val="21"/>
          <w:szCs w:val="21"/>
          <w:lang w:val="en-US" w:eastAsia="en-US"/>
        </w:rPr>
        <w:t>the FRA</w:t>
      </w:r>
      <w:r w:rsidR="00B841C6" w:rsidRPr="00E43CC4">
        <w:rPr>
          <w:rFonts w:eastAsia="Calibri" w:cstheme="minorHAnsi"/>
          <w:color w:val="4A4A4A"/>
          <w:sz w:val="21"/>
          <w:szCs w:val="21"/>
          <w:lang w:val="en-US" w:eastAsia="en-US"/>
        </w:rPr>
        <w:t xml:space="preserve"> </w:t>
      </w:r>
      <w:r w:rsidRPr="00E43CC4">
        <w:rPr>
          <w:rFonts w:eastAsia="Calibri" w:cstheme="minorHAnsi"/>
          <w:color w:val="4A4A4A"/>
          <w:sz w:val="21"/>
          <w:szCs w:val="21"/>
          <w:lang w:val="en-US" w:eastAsia="en-US"/>
        </w:rPr>
        <w:t xml:space="preserve">online platform where country officials can view the data that are being submitted. </w:t>
      </w:r>
    </w:p>
    <w:p w14:paraId="7D9F065F" w14:textId="01F0AAF1" w:rsidR="00EC2915" w:rsidRPr="00E43CC4" w:rsidRDefault="00576CFA" w:rsidP="00E43CC4">
      <w:pPr>
        <w:autoSpaceDE w:val="0"/>
        <w:autoSpaceDN w:val="0"/>
        <w:adjustRightInd w:val="0"/>
        <w:spacing w:after="120"/>
        <w:rPr>
          <w:rFonts w:cstheme="minorHAnsi"/>
          <w:color w:val="4A4A4A"/>
        </w:rPr>
      </w:pPr>
      <w:r w:rsidRPr="00E43CC4">
        <w:rPr>
          <w:rFonts w:cstheme="minorHAnsi"/>
          <w:color w:val="4A4A4A"/>
        </w:rPr>
        <w:tab/>
      </w:r>
    </w:p>
    <w:p w14:paraId="170A2C05" w14:textId="34873ECA" w:rsidR="00E46D96" w:rsidRPr="00E43CC4" w:rsidRDefault="00E46D96" w:rsidP="00F719A8">
      <w:pPr>
        <w:pStyle w:val="MHeader2"/>
        <w:rPr>
          <w:rFonts w:cstheme="minorHAnsi"/>
        </w:rPr>
      </w:pPr>
      <w:r w:rsidRPr="00E43CC4">
        <w:rPr>
          <w:rFonts w:cstheme="minorHAnsi"/>
        </w:rPr>
        <w:t>3.c. Data collection calendar</w:t>
      </w:r>
    </w:p>
    <w:p w14:paraId="7D9CC3BB" w14:textId="47575713" w:rsidR="00B841C6" w:rsidRPr="00957524" w:rsidRDefault="008D1DD3" w:rsidP="00957524">
      <w:pPr>
        <w:keepNext/>
        <w:keepLines/>
        <w:shd w:val="clear" w:color="auto" w:fill="FFFFFF"/>
        <w:spacing w:after="0"/>
        <w:contextualSpacing/>
        <w:rPr>
          <w:rFonts w:ascii="Calibri" w:hAnsi="Calibri"/>
          <w:color w:val="4A4A4A"/>
          <w:sz w:val="21"/>
          <w:lang w:val="en-US"/>
        </w:rPr>
      </w:pPr>
      <w:r w:rsidRPr="00E43CC4">
        <w:rPr>
          <w:rFonts w:eastAsia="Calibri" w:cstheme="minorHAnsi"/>
          <w:color w:val="4A4A4A"/>
          <w:sz w:val="21"/>
          <w:szCs w:val="21"/>
          <w:lang w:val="en-US" w:eastAsia="en-US"/>
        </w:rPr>
        <w:t>Source data collection</w:t>
      </w:r>
      <w:r w:rsidR="00B841C6">
        <w:rPr>
          <w:rFonts w:eastAsia="Calibri" w:cstheme="minorHAnsi"/>
          <w:color w:val="4A4A4A"/>
          <w:sz w:val="21"/>
          <w:szCs w:val="21"/>
          <w:lang w:val="en-US" w:eastAsia="en-US"/>
        </w:rPr>
        <w:t xml:space="preserve"> </w:t>
      </w:r>
      <w:r w:rsidR="00B841C6">
        <w:rPr>
          <w:rFonts w:eastAsia="Calibri" w:cstheme="minorHAnsi"/>
          <w:color w:val="4A4A4A"/>
          <w:sz w:val="21"/>
          <w:szCs w:val="21"/>
          <w:lang w:val="en-US" w:eastAsia="en-US"/>
        </w:rPr>
        <w:t xml:space="preserve">for sub-indicators 1 to </w:t>
      </w:r>
      <w:r w:rsidR="00E16C64">
        <w:rPr>
          <w:rFonts w:eastAsia="Calibri" w:cstheme="minorHAnsi"/>
          <w:color w:val="4A4A4A"/>
          <w:sz w:val="21"/>
          <w:szCs w:val="21"/>
          <w:lang w:val="en-US" w:eastAsia="en-US"/>
        </w:rPr>
        <w:t xml:space="preserve">4 </w:t>
      </w:r>
      <w:r w:rsidR="00E16C64" w:rsidRPr="00E43CC4">
        <w:rPr>
          <w:rFonts w:eastAsia="Calibri" w:cstheme="minorHAnsi"/>
          <w:color w:val="4A4A4A"/>
          <w:sz w:val="21"/>
          <w:szCs w:val="21"/>
          <w:lang w:val="en-US" w:eastAsia="en-US"/>
        </w:rPr>
        <w:t>was</w:t>
      </w:r>
      <w:r w:rsidRPr="00E43CC4">
        <w:rPr>
          <w:rFonts w:eastAsia="Calibri" w:cstheme="minorHAnsi"/>
          <w:color w:val="4A4A4A"/>
          <w:sz w:val="21"/>
          <w:szCs w:val="21"/>
          <w:lang w:val="en-US" w:eastAsia="en-US"/>
        </w:rPr>
        <w:t xml:space="preserve"> initiated in 2018 and concluded in 2019.</w:t>
      </w:r>
      <w:r w:rsidRPr="00E43CC4">
        <w:rPr>
          <w:rFonts w:eastAsia="Calibri" w:cstheme="minorHAnsi"/>
          <w:color w:val="4A4A4A"/>
          <w:sz w:val="21"/>
          <w:szCs w:val="21"/>
          <w:lang w:val="en-US" w:eastAsia="en-US"/>
        </w:rPr>
        <w:t xml:space="preserve"> </w:t>
      </w:r>
      <w:r w:rsidR="00B841C6">
        <w:rPr>
          <w:rFonts w:ascii="Calibri" w:eastAsia="Times New Roman" w:hAnsi="Calibri" w:cs="Times New Roman"/>
          <w:color w:val="4A4A4A"/>
          <w:sz w:val="21"/>
          <w:szCs w:val="21"/>
          <w:lang w:val="en-US" w:eastAsia="en-GB"/>
        </w:rPr>
        <w:t xml:space="preserve">Data collection for the next FRA is expected to start in 2022. </w:t>
      </w:r>
      <w:r w:rsidR="00B841C6" w:rsidRPr="00957524">
        <w:rPr>
          <w:rFonts w:ascii="Calibri" w:hAnsi="Calibri"/>
          <w:color w:val="4A4A4A"/>
          <w:sz w:val="21"/>
          <w:lang w:val="en-US"/>
        </w:rPr>
        <w:t xml:space="preserve"> </w:t>
      </w:r>
    </w:p>
    <w:p w14:paraId="4C9BEF19" w14:textId="15307BCF" w:rsidR="00B841C6" w:rsidRDefault="00B841C6" w:rsidP="00B841C6">
      <w:pPr>
        <w:keepNext/>
        <w:keepLines/>
        <w:shd w:val="clear" w:color="auto" w:fill="FFFFFF"/>
        <w:spacing w:after="0"/>
        <w:contextualSpacing/>
        <w:rPr>
          <w:rFonts w:ascii="Calibri" w:eastAsia="Times New Roman" w:hAnsi="Calibri" w:cs="Times New Roman"/>
          <w:color w:val="4A4A4A"/>
          <w:sz w:val="21"/>
          <w:szCs w:val="21"/>
          <w:lang w:val="en-US" w:eastAsia="en-GB"/>
        </w:rPr>
      </w:pPr>
    </w:p>
    <w:p w14:paraId="000A72FE" w14:textId="1F8423E3" w:rsidR="00B841C6" w:rsidRPr="00BD2836" w:rsidRDefault="00B841C6" w:rsidP="00B841C6">
      <w:pPr>
        <w:keepNext/>
        <w:keepLines/>
        <w:shd w:val="clear" w:color="auto" w:fill="FFFFFF"/>
        <w:spacing w:after="0"/>
        <w:contextualSpacing/>
        <w:rPr>
          <w:rFonts w:ascii="Calibri" w:eastAsia="Times New Roman" w:hAnsi="Calibri" w:cs="Times New Roman"/>
          <w:color w:val="4A4A4A"/>
          <w:sz w:val="21"/>
          <w:szCs w:val="21"/>
          <w:lang w:val="en-US" w:eastAsia="en-GB"/>
        </w:rPr>
      </w:pPr>
      <w:r>
        <w:rPr>
          <w:rFonts w:ascii="Calibri" w:eastAsia="Times New Roman" w:hAnsi="Calibri" w:cs="Times New Roman"/>
          <w:color w:val="4A4A4A"/>
          <w:sz w:val="21"/>
          <w:szCs w:val="21"/>
          <w:lang w:val="en-US" w:eastAsia="en-GB"/>
        </w:rPr>
        <w:t xml:space="preserve">Data on sub-indicator 5 is reported by the certification bodies to FAO by the end of each calendar year, referring to the status of certified forest area by end of June that year. </w:t>
      </w:r>
    </w:p>
    <w:p w14:paraId="43BD5E37" w14:textId="020DE588"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01BA862E" w14:textId="77777777" w:rsidR="00EC2915" w:rsidRPr="00E43CC4" w:rsidRDefault="00EC2915" w:rsidP="00576CFA">
      <w:pPr>
        <w:pStyle w:val="MText"/>
        <w:rPr>
          <w:rFonts w:cstheme="minorHAnsi"/>
        </w:rPr>
      </w:pPr>
    </w:p>
    <w:p w14:paraId="7D466604" w14:textId="674844F0" w:rsidR="00E46D96" w:rsidRPr="00E43CC4" w:rsidRDefault="00E46D96" w:rsidP="00F719A8">
      <w:pPr>
        <w:pStyle w:val="MHeader2"/>
        <w:rPr>
          <w:rFonts w:cstheme="minorHAnsi"/>
        </w:rPr>
      </w:pPr>
      <w:r w:rsidRPr="00E43CC4">
        <w:rPr>
          <w:rFonts w:cstheme="minorHAnsi"/>
        </w:rPr>
        <w:lastRenderedPageBreak/>
        <w:t>3.d. Data release calendar</w:t>
      </w:r>
    </w:p>
    <w:p w14:paraId="0A0836E4" w14:textId="16D6F91A" w:rsidR="00B841C6" w:rsidRPr="00957524" w:rsidRDefault="008D1DD3" w:rsidP="00957524">
      <w:pPr>
        <w:shd w:val="clear" w:color="auto" w:fill="FFFFFF"/>
        <w:spacing w:after="0"/>
        <w:contextualSpacing/>
        <w:rPr>
          <w:rFonts w:ascii="Calibri" w:hAnsi="Calibri"/>
          <w:color w:val="4A4A4A"/>
          <w:sz w:val="21"/>
          <w:lang w:val="en-US"/>
        </w:rPr>
      </w:pPr>
      <w:r w:rsidRPr="00E43CC4">
        <w:rPr>
          <w:rFonts w:eastAsia="Times New Roman" w:cstheme="minorHAnsi"/>
          <w:color w:val="4A4A4A"/>
          <w:sz w:val="21"/>
          <w:szCs w:val="21"/>
          <w:lang w:val="en-US" w:eastAsia="en-GB"/>
        </w:rPr>
        <w:t xml:space="preserve">Data with updated time series and including year 2020 </w:t>
      </w:r>
      <w:r w:rsidR="00B841C6">
        <w:rPr>
          <w:rFonts w:eastAsia="Times New Roman" w:cstheme="minorHAnsi"/>
          <w:color w:val="4A4A4A"/>
          <w:sz w:val="21"/>
          <w:szCs w:val="21"/>
          <w:lang w:val="en-US" w:eastAsia="en-GB"/>
        </w:rPr>
        <w:t>was</w:t>
      </w:r>
      <w:r w:rsidRPr="00E43CC4">
        <w:rPr>
          <w:rFonts w:eastAsia="Times New Roman" w:cstheme="minorHAnsi"/>
          <w:color w:val="4A4A4A"/>
          <w:sz w:val="21"/>
          <w:szCs w:val="21"/>
          <w:lang w:val="en-US" w:eastAsia="en-GB"/>
        </w:rPr>
        <w:t xml:space="preserve"> released </w:t>
      </w:r>
      <w:r w:rsidR="00E16C64">
        <w:rPr>
          <w:rFonts w:eastAsia="Times New Roman" w:cstheme="minorHAnsi"/>
          <w:color w:val="4A4A4A"/>
          <w:sz w:val="21"/>
          <w:szCs w:val="21"/>
          <w:lang w:val="en-US" w:eastAsia="en-GB"/>
        </w:rPr>
        <w:t>July</w:t>
      </w:r>
      <w:r w:rsidR="00E16C64" w:rsidRPr="00E43CC4">
        <w:rPr>
          <w:rFonts w:eastAsia="Times New Roman" w:cstheme="minorHAnsi"/>
          <w:color w:val="4A4A4A"/>
          <w:sz w:val="21"/>
          <w:szCs w:val="21"/>
          <w:lang w:val="en-US" w:eastAsia="en-GB"/>
        </w:rPr>
        <w:t xml:space="preserve"> </w:t>
      </w:r>
      <w:r w:rsidRPr="00E43CC4">
        <w:rPr>
          <w:rFonts w:eastAsia="Times New Roman" w:cstheme="minorHAnsi"/>
          <w:color w:val="4A4A4A"/>
          <w:sz w:val="21"/>
          <w:szCs w:val="21"/>
          <w:lang w:val="en-US" w:eastAsia="en-GB"/>
        </w:rPr>
        <w:t xml:space="preserve">2020. </w:t>
      </w:r>
      <w:r w:rsidRPr="00E43CC4">
        <w:rPr>
          <w:rFonts w:eastAsia="Times New Roman" w:cstheme="minorHAnsi"/>
          <w:color w:val="4A4A4A"/>
          <w:sz w:val="21"/>
          <w:szCs w:val="21"/>
          <w:lang w:val="en-US" w:eastAsia="en-GB"/>
        </w:rPr>
        <w:t xml:space="preserve"> </w:t>
      </w:r>
      <w:r w:rsidR="00B841C6">
        <w:rPr>
          <w:rFonts w:ascii="Calibri" w:eastAsia="Times New Roman" w:hAnsi="Calibri" w:cs="Times New Roman"/>
          <w:color w:val="4A4A4A"/>
          <w:sz w:val="21"/>
          <w:szCs w:val="21"/>
          <w:lang w:eastAsia="en-GB"/>
        </w:rPr>
        <w:t>Next release of a complete FRA dataset is scheduled for 2025.</w:t>
      </w:r>
      <w:r w:rsidR="00B841C6" w:rsidRPr="00957524">
        <w:rPr>
          <w:rFonts w:ascii="Calibri" w:hAnsi="Calibri"/>
          <w:color w:val="4A4A4A"/>
          <w:sz w:val="21"/>
        </w:rPr>
        <w:t xml:space="preserve"> </w:t>
      </w:r>
      <w:r w:rsidRPr="00E43CC4">
        <w:rPr>
          <w:rFonts w:eastAsia="Times New Roman" w:cstheme="minorHAnsi"/>
          <w:color w:val="4A4A4A"/>
          <w:sz w:val="21"/>
          <w:szCs w:val="21"/>
          <w:lang w:val="en-US" w:eastAsia="en-GB"/>
        </w:rPr>
        <w:t>The possibilities of a more frequent reporting on forest area and other key indicators are currently being evaluated</w:t>
      </w:r>
      <w:r w:rsidR="00B841C6">
        <w:rPr>
          <w:rFonts w:ascii="Calibri" w:eastAsia="Times New Roman" w:hAnsi="Calibri" w:cs="Times New Roman"/>
          <w:color w:val="4A4A4A"/>
          <w:sz w:val="21"/>
          <w:szCs w:val="21"/>
          <w:lang w:val="en-US" w:eastAsia="en-GB"/>
        </w:rPr>
        <w:t>, and s</w:t>
      </w:r>
      <w:r w:rsidR="00B841C6">
        <w:rPr>
          <w:rFonts w:ascii="Calibri" w:eastAsia="Times New Roman" w:hAnsi="Calibri" w:cs="Times New Roman"/>
          <w:color w:val="4A4A4A"/>
          <w:sz w:val="21"/>
          <w:szCs w:val="21"/>
          <w:lang w:eastAsia="en-GB"/>
        </w:rPr>
        <w:t>ome countries may provide updates before 2025</w:t>
      </w:r>
      <w:r w:rsidR="00B841C6" w:rsidRPr="00BD2836">
        <w:rPr>
          <w:rFonts w:ascii="Calibri" w:eastAsia="Times New Roman" w:hAnsi="Calibri" w:cs="Times New Roman"/>
          <w:color w:val="4A4A4A"/>
          <w:sz w:val="21"/>
          <w:szCs w:val="21"/>
          <w:lang w:val="en-US" w:eastAsia="en-GB"/>
        </w:rPr>
        <w:t>.</w:t>
      </w:r>
      <w:r w:rsidR="00B841C6">
        <w:rPr>
          <w:rFonts w:ascii="Calibri" w:eastAsia="Times New Roman" w:hAnsi="Calibri" w:cs="Times New Roman"/>
          <w:color w:val="4A4A4A"/>
          <w:sz w:val="21"/>
          <w:szCs w:val="21"/>
          <w:lang w:val="en-US" w:eastAsia="en-GB"/>
        </w:rPr>
        <w:t xml:space="preserve">  Data on forest certification is updated annually</w:t>
      </w:r>
      <w:r w:rsidR="00B841C6" w:rsidRPr="00957524">
        <w:rPr>
          <w:rFonts w:ascii="Calibri" w:hAnsi="Calibri"/>
          <w:color w:val="4A4A4A"/>
          <w:sz w:val="21"/>
          <w:lang w:val="en-US"/>
        </w:rPr>
        <w:t>.</w:t>
      </w:r>
    </w:p>
    <w:p w14:paraId="27637650" w14:textId="31899772" w:rsidR="008D1DD3" w:rsidRPr="00E43CC4" w:rsidRDefault="008D1DD3" w:rsidP="008D1DD3">
      <w:pPr>
        <w:shd w:val="clear" w:color="auto" w:fill="FFFFFF"/>
        <w:spacing w:after="0" w:line="256" w:lineRule="auto"/>
        <w:contextualSpacing/>
        <w:rPr>
          <w:rFonts w:eastAsia="Times New Roman" w:cstheme="minorHAnsi"/>
          <w:color w:val="4A4A4A"/>
          <w:sz w:val="21"/>
          <w:szCs w:val="21"/>
          <w:lang w:val="en-US" w:eastAsia="en-GB"/>
        </w:rPr>
      </w:pPr>
    </w:p>
    <w:p w14:paraId="64C749BD" w14:textId="77777777" w:rsidR="00EC2915" w:rsidRPr="00E43CC4" w:rsidRDefault="00EC2915" w:rsidP="00576CFA">
      <w:pPr>
        <w:pStyle w:val="MText"/>
        <w:rPr>
          <w:rFonts w:cstheme="minorHAnsi"/>
        </w:rPr>
      </w:pPr>
    </w:p>
    <w:p w14:paraId="3A4F3065" w14:textId="3AD52F9D" w:rsidR="00E46D96" w:rsidRPr="00E43CC4" w:rsidRDefault="00E46D96" w:rsidP="00F719A8">
      <w:pPr>
        <w:pStyle w:val="MHeader2"/>
        <w:rPr>
          <w:rFonts w:cstheme="minorHAnsi"/>
        </w:rPr>
      </w:pPr>
      <w:r w:rsidRPr="00E43CC4">
        <w:rPr>
          <w:rFonts w:cstheme="minorHAnsi"/>
        </w:rPr>
        <w:t>3.e. Data providers</w:t>
      </w:r>
    </w:p>
    <w:p w14:paraId="73757EFE" w14:textId="4B5469DF" w:rsidR="008D1DD3" w:rsidRPr="00E43CC4" w:rsidRDefault="008D1DD3" w:rsidP="008D1DD3">
      <w:pPr>
        <w:shd w:val="clear" w:color="auto" w:fill="FFFFFF"/>
        <w:spacing w:after="0" w:line="256" w:lineRule="auto"/>
        <w:contextualSpacing/>
        <w:rPr>
          <w:rFonts w:eastAsia="Times New Roman" w:cstheme="minorHAnsi"/>
          <w:color w:val="4A4A4A"/>
          <w:sz w:val="21"/>
          <w:szCs w:val="21"/>
          <w:lang w:val="en-US" w:eastAsia="en-GB"/>
        </w:rPr>
      </w:pPr>
      <w:r w:rsidRPr="00E43CC4">
        <w:rPr>
          <w:rFonts w:eastAsia="Times New Roman" w:cstheme="minorHAnsi"/>
          <w:color w:val="4A4A4A"/>
          <w:sz w:val="21"/>
          <w:szCs w:val="21"/>
          <w:lang w:val="en-US" w:eastAsia="en-GB"/>
        </w:rPr>
        <w:t>The data</w:t>
      </w:r>
      <w:r w:rsidRPr="00E43CC4">
        <w:rPr>
          <w:rFonts w:eastAsia="Times New Roman" w:cstheme="minorHAnsi"/>
          <w:color w:val="4A4A4A"/>
          <w:sz w:val="21"/>
          <w:szCs w:val="21"/>
          <w:lang w:val="en-US" w:eastAsia="en-GB"/>
        </w:rPr>
        <w:t xml:space="preserve"> </w:t>
      </w:r>
      <w:r w:rsidR="00095D74">
        <w:rPr>
          <w:rFonts w:eastAsia="Times New Roman" w:cstheme="minorHAnsi"/>
          <w:color w:val="4A4A4A"/>
          <w:sz w:val="21"/>
          <w:szCs w:val="21"/>
          <w:lang w:val="en-US" w:eastAsia="en-GB"/>
        </w:rPr>
        <w:t>for subindicators 1 to 4</w:t>
      </w:r>
      <w:r w:rsidR="00095D74">
        <w:rPr>
          <w:rFonts w:eastAsia="Times New Roman" w:cstheme="minorHAnsi"/>
          <w:color w:val="4A4A4A"/>
          <w:sz w:val="21"/>
          <w:szCs w:val="21"/>
          <w:lang w:val="en-US" w:eastAsia="en-GB"/>
        </w:rPr>
        <w:t xml:space="preserve"> </w:t>
      </w:r>
      <w:r w:rsidRPr="00E43CC4">
        <w:rPr>
          <w:rFonts w:eastAsia="Times New Roman" w:cstheme="minorHAnsi"/>
          <w:color w:val="4A4A4A"/>
          <w:sz w:val="21"/>
          <w:szCs w:val="21"/>
          <w:lang w:val="en-US" w:eastAsia="en-GB"/>
        </w:rPr>
        <w:t>are provided by the countries through a global network of officially nominated national correspondents. For the countries and territories which do not have a national correspondent, a report is prepared by FAO using previously reported information, literature search, remote sensing or their combination.</w:t>
      </w:r>
    </w:p>
    <w:p w14:paraId="7D95D280"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 </w:t>
      </w:r>
    </w:p>
    <w:p w14:paraId="77B97EFE"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For subindicator 5, forest certification, data are provided by head offices of respective forest certification scheme.</w:t>
      </w:r>
    </w:p>
    <w:p w14:paraId="50A66E64" w14:textId="77777777" w:rsidR="00EC2915" w:rsidRPr="00E43CC4" w:rsidRDefault="00EC2915" w:rsidP="00576CFA">
      <w:pPr>
        <w:pStyle w:val="MText"/>
        <w:rPr>
          <w:rFonts w:cstheme="minorHAnsi"/>
        </w:rPr>
      </w:pPr>
    </w:p>
    <w:p w14:paraId="30DC8E05" w14:textId="484D6EC2" w:rsidR="00E46D96" w:rsidRPr="00E43CC4" w:rsidRDefault="00E46D96" w:rsidP="00F719A8">
      <w:pPr>
        <w:pStyle w:val="MHeader2"/>
        <w:rPr>
          <w:rFonts w:cstheme="minorHAnsi"/>
        </w:rPr>
      </w:pPr>
      <w:r w:rsidRPr="00E43CC4">
        <w:rPr>
          <w:rFonts w:cstheme="minorHAnsi"/>
        </w:rPr>
        <w:t>3.f. Data compilers</w:t>
      </w:r>
    </w:p>
    <w:p w14:paraId="03789A1E" w14:textId="77777777" w:rsidR="004C2F9D" w:rsidRPr="00E43CC4" w:rsidRDefault="004C2F9D" w:rsidP="004C2F9D">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Food and Agriculture Organisation of the United Nations (FAO) </w:t>
      </w:r>
    </w:p>
    <w:p w14:paraId="5C43435B" w14:textId="77777777" w:rsidR="00EC2915" w:rsidRPr="00E43CC4" w:rsidRDefault="00EC2915" w:rsidP="00576CFA">
      <w:pPr>
        <w:pStyle w:val="MText"/>
        <w:rPr>
          <w:rFonts w:cstheme="minorHAnsi"/>
        </w:rPr>
      </w:pPr>
    </w:p>
    <w:p w14:paraId="5655E768" w14:textId="5429F32E" w:rsidR="00E46D96" w:rsidRPr="00E43CC4" w:rsidRDefault="00E46D96" w:rsidP="00F719A8">
      <w:pPr>
        <w:pStyle w:val="MHeader2"/>
        <w:rPr>
          <w:rFonts w:cstheme="minorHAnsi"/>
        </w:rPr>
      </w:pPr>
      <w:r w:rsidRPr="00E43CC4">
        <w:rPr>
          <w:rFonts w:cstheme="minorHAnsi"/>
        </w:rPr>
        <w:t>3.g. Institutional mandate</w:t>
      </w:r>
    </w:p>
    <w:p w14:paraId="2C06C439" w14:textId="5FFD0CF2" w:rsidR="0021071D" w:rsidRDefault="0021071D" w:rsidP="0021071D">
      <w:pPr>
        <w:pStyle w:val="MText"/>
      </w:pPr>
      <w:r>
        <w:t xml:space="preserve">Article 1 of FAO’s constitution specifies that, “The Organization shall collect, analyze, interpret, and disseminate information related to nutrition, food and agriculture.” In this regard, FAO collects national level data from member countries, which it then standardizes and disseminates through corporate statistical databases. </w:t>
      </w:r>
      <w:r w:rsidRPr="0080446F">
        <w:t>FAO is the custodian UN agency for 21 SDG indicators</w:t>
      </w:r>
      <w:r>
        <w:t>, including 15.2.1.</w:t>
      </w:r>
    </w:p>
    <w:p w14:paraId="3D063F4C" w14:textId="08DA7FD9" w:rsidR="00F719A8" w:rsidRPr="00E43CC4" w:rsidRDefault="00F719A8" w:rsidP="00576CFA">
      <w:pPr>
        <w:pStyle w:val="MText"/>
        <w:rPr>
          <w:rFonts w:cstheme="minorHAnsi"/>
        </w:rPr>
      </w:pPr>
    </w:p>
    <w:p w14:paraId="6149DC94" w14:textId="05781947" w:rsidR="00B31E2C" w:rsidRPr="00E43CC4" w:rsidRDefault="00B31E2C" w:rsidP="00AF5ED1">
      <w:pPr>
        <w:pStyle w:val="MHeader"/>
        <w:rPr>
          <w:rFonts w:cstheme="minorHAnsi"/>
        </w:rPr>
      </w:pPr>
      <w:r w:rsidRPr="00E43CC4">
        <w:rPr>
          <w:rFonts w:cstheme="minorHAnsi"/>
        </w:rPr>
        <w:t>4. Other methodological considerations</w:t>
      </w:r>
    </w:p>
    <w:p w14:paraId="1AFA5517" w14:textId="54FD9B10" w:rsidR="00AF5ED1" w:rsidRPr="00E43CC4" w:rsidRDefault="00576CFA" w:rsidP="00F719A8">
      <w:pPr>
        <w:pStyle w:val="MHeader2"/>
        <w:rPr>
          <w:rFonts w:cstheme="minorHAnsi"/>
        </w:rPr>
      </w:pPr>
      <w:r w:rsidRPr="00E43CC4">
        <w:rPr>
          <w:rFonts w:cstheme="minorHAnsi"/>
        </w:rPr>
        <w:t>4.a. Rationale</w:t>
      </w:r>
    </w:p>
    <w:p w14:paraId="0D3B474B"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definition of SFM by the UN General Assembly contains several key aspects, notably that sustainable forest management is a concept which varies over time and between countries, whose circumstances – ecological, social and economic – vary widely, but that it should always address a wide range of forest values, including economic, social and environmental values, and take intergenerational equity into account. </w:t>
      </w:r>
    </w:p>
    <w:p w14:paraId="362AAF5C"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Clearly a simple measure of forest area is insufficient to monitor sustainable forest management as a whole. The significance of the five sub-indicators can be briefly explained as follows: </w:t>
      </w:r>
    </w:p>
    <w:p w14:paraId="1E962F38" w14:textId="3E4D3109" w:rsidR="008D1DD3" w:rsidRPr="00E43CC4" w:rsidRDefault="008D1DD3" w:rsidP="008D1DD3">
      <w:pPr>
        <w:numPr>
          <w:ilvl w:val="0"/>
          <w:numId w:val="6"/>
        </w:num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Trends in forest area are crucial for monitoring SFM. The first sub-indicator focuses on both the direction of change (whether there is a loss or gain in forest area) and how the change rate </w:t>
      </w:r>
      <w:r w:rsidR="00B82BA0">
        <w:rPr>
          <w:rFonts w:eastAsia="Calibri" w:cstheme="minorHAnsi"/>
          <w:color w:val="4A4A4A"/>
          <w:sz w:val="21"/>
          <w:szCs w:val="21"/>
          <w:lang w:val="en-US" w:eastAsia="en-US"/>
        </w:rPr>
        <w:t>varies</w:t>
      </w:r>
      <w:r w:rsidRPr="00E43CC4">
        <w:rPr>
          <w:rFonts w:eastAsia="Calibri" w:cstheme="minorHAnsi"/>
          <w:color w:val="4A4A4A"/>
          <w:sz w:val="21"/>
          <w:szCs w:val="21"/>
          <w:lang w:val="en-US" w:eastAsia="en-US"/>
        </w:rPr>
        <w:t xml:space="preserve"> over time; the latter is important in order to capture progress among countries that are losing forest area, but have managed to reduce the rate of annual forest area loss. </w:t>
      </w:r>
    </w:p>
    <w:p w14:paraId="029E462C" w14:textId="77777777" w:rsidR="008D1DD3" w:rsidRPr="00E43CC4" w:rsidRDefault="008D1DD3" w:rsidP="008D1DD3">
      <w:pPr>
        <w:numPr>
          <w:ilvl w:val="0"/>
          <w:numId w:val="6"/>
        </w:num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Changes in the above-ground biomass stock in forest indicate the balance between gains in biomass stock due to forest growth and losses due to wood removals, natural losses, fire, wind, pests and diseases. At country level and over a longer period, sustainable forest management would imply a stable or increasing biomass stock per hectare, while a long-term reduction of biomass stock per </w:t>
      </w:r>
      <w:r w:rsidRPr="00E43CC4">
        <w:rPr>
          <w:rFonts w:eastAsia="Calibri" w:cstheme="minorHAnsi"/>
          <w:color w:val="4A4A4A"/>
          <w:sz w:val="21"/>
          <w:szCs w:val="21"/>
          <w:lang w:val="en-US" w:eastAsia="en-US"/>
        </w:rPr>
        <w:lastRenderedPageBreak/>
        <w:t xml:space="preserve">hectare would imply either unsustainable management of the forests and degradation or unexpected major losses due to fire, wind, pests or diseases. </w:t>
      </w:r>
    </w:p>
    <w:p w14:paraId="0CF6BCC3" w14:textId="77777777" w:rsidR="008D1DD3" w:rsidRPr="00E43CC4" w:rsidRDefault="008D1DD3" w:rsidP="008D1DD3">
      <w:pPr>
        <w:numPr>
          <w:ilvl w:val="0"/>
          <w:numId w:val="6"/>
        </w:num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change in forest area within legally protected areas is a proxy for trends in conservation of forest biodiversity as well as cultural and spiritual values of forests and thus a clear indication of the political will to protect and conserve forests. This indicator is related to the CBD Aichi Target 11 which calls for each country to conserve at least 17 per cent of terrestrial and inland water areas. </w:t>
      </w:r>
    </w:p>
    <w:p w14:paraId="70B42FD9" w14:textId="325EEEF3" w:rsidR="008D1DD3" w:rsidRPr="00E43CC4" w:rsidRDefault="008D1DD3" w:rsidP="008D1DD3">
      <w:pPr>
        <w:numPr>
          <w:ilvl w:val="0"/>
          <w:numId w:val="6"/>
        </w:num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fourth sub-indicator looks at the forest area that is under a </w:t>
      </w:r>
      <w:r w:rsidR="008D1A7D" w:rsidRPr="00E43CC4">
        <w:rPr>
          <w:rFonts w:eastAsia="Calibri" w:cstheme="minorHAnsi"/>
          <w:color w:val="4A4A4A"/>
          <w:sz w:val="21"/>
          <w:szCs w:val="21"/>
          <w:lang w:val="en-US" w:eastAsia="en-US"/>
        </w:rPr>
        <w:t>long</w:t>
      </w:r>
      <w:r w:rsidR="008D1A7D">
        <w:rPr>
          <w:rFonts w:eastAsia="Calibri" w:cstheme="minorHAnsi"/>
          <w:color w:val="4A4A4A"/>
          <w:sz w:val="21"/>
          <w:szCs w:val="21"/>
          <w:lang w:val="en-US" w:eastAsia="en-US"/>
        </w:rPr>
        <w:t>-</w:t>
      </w:r>
      <w:r w:rsidRPr="00E43CC4">
        <w:rPr>
          <w:rFonts w:eastAsia="Calibri" w:cstheme="minorHAnsi"/>
          <w:color w:val="4A4A4A"/>
          <w:sz w:val="21"/>
          <w:szCs w:val="21"/>
          <w:lang w:val="en-US" w:eastAsia="en-US"/>
        </w:rPr>
        <w:t xml:space="preserve">term forest management plan. The existence of a documented forest management plan is the basis for long term and sustainable management of the forest resources for a variety of management objectives such as for wood and non-wood forest products, protection of soil and water, biodiversity conservation, social and cultural use, and a combination of two or several of these. An increasing area under forest management plan is therefore an indicator of progress towards sustainable forest management. </w:t>
      </w:r>
    </w:p>
    <w:p w14:paraId="4B9C92B4" w14:textId="77777777" w:rsidR="008D1DD3" w:rsidRPr="00E43CC4" w:rsidRDefault="008D1DD3" w:rsidP="008D1DD3">
      <w:pPr>
        <w:numPr>
          <w:ilvl w:val="0"/>
          <w:numId w:val="6"/>
        </w:num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fifth sub-indicator is the forest area that is certified by an independently verified forest management certification scheme. Such certification schemes apply standards that generally are higher than those established by the countries’ own normative frameworks, and compliance is verified by an independent and accredited certifier. An increase in certified forest area therefore provides an additional indication of progress towards sustainable forest management. It should however be noted that there are significant areas of sustainably managed forest which are not certified, either because their owners have chosen not to seek certification (which is voluntary and market-based) or because no credible or affordable certification scheme is in place for that area. </w:t>
      </w:r>
    </w:p>
    <w:p w14:paraId="18EA7892" w14:textId="77777777" w:rsidR="00576CFA" w:rsidRPr="00E43CC4" w:rsidRDefault="00576CFA" w:rsidP="00576CFA">
      <w:pPr>
        <w:pStyle w:val="MText"/>
        <w:rPr>
          <w:rFonts w:cstheme="minorHAnsi"/>
        </w:rPr>
      </w:pPr>
    </w:p>
    <w:p w14:paraId="2529B069" w14:textId="618DCD10" w:rsidR="00E1050F" w:rsidRPr="00E43CC4" w:rsidRDefault="00E1050F" w:rsidP="00F719A8">
      <w:pPr>
        <w:pStyle w:val="MHeader2"/>
        <w:rPr>
          <w:rFonts w:cstheme="minorHAnsi"/>
        </w:rPr>
      </w:pPr>
      <w:r w:rsidRPr="00E43CC4">
        <w:rPr>
          <w:rFonts w:cstheme="minorHAnsi"/>
        </w:rPr>
        <w:t>4.b. Comment and limitations</w:t>
      </w:r>
    </w:p>
    <w:p w14:paraId="5AA25CA8"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five sub-indicators chosen to illustrate progress towards sustainable forest management do not fully cover all aspects of sustainable forest management. In particular, social and economic aspects are summarized under the sub-indicators on areas under sustainable forest management plans. Furthermore, as the trends are calculated using only those countries which have data complete time series, different sub-indicators may reflect different sets of countries. </w:t>
      </w:r>
    </w:p>
    <w:p w14:paraId="21C992B8"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4D0E66B9"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While the dashboard illustrates the progress on the individual sub-indicators, there is no weighting of the relative importance of the sub-indicators. </w:t>
      </w:r>
    </w:p>
    <w:p w14:paraId="398C00AE" w14:textId="77777777" w:rsidR="00EC2915" w:rsidRPr="00E43CC4" w:rsidRDefault="00EC2915" w:rsidP="00576CFA">
      <w:pPr>
        <w:pStyle w:val="MText"/>
        <w:rPr>
          <w:rFonts w:cstheme="minorHAnsi"/>
        </w:rPr>
      </w:pPr>
    </w:p>
    <w:p w14:paraId="79EEEE38" w14:textId="75AB172D" w:rsidR="00E1050F" w:rsidRPr="00E43CC4" w:rsidRDefault="00E1050F" w:rsidP="00F719A8">
      <w:pPr>
        <w:pStyle w:val="MHeader2"/>
        <w:rPr>
          <w:rFonts w:cstheme="minorHAnsi"/>
        </w:rPr>
      </w:pPr>
      <w:r w:rsidRPr="00E43CC4">
        <w:rPr>
          <w:rFonts w:cstheme="minorHAnsi"/>
        </w:rPr>
        <w:t>4.c. Method of computation</w:t>
      </w:r>
    </w:p>
    <w:p w14:paraId="15A63EA2"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National data on forest area, biomass stock, forest area within protected areas, and forest area under management plan are reported directly by countries to FAO for pre-established reference years. Based on the country reported data, FAO then makes country-level estimates of the forest area net change rate using the compound interest formula. The proportion of forest area within protected area and under management plan is calculated using the reported areas and the official FAOSTAT land area for reference year 2015. Data on </w:t>
      </w:r>
      <w:bookmarkStart w:id="6" w:name="_Hlk887761"/>
      <w:r w:rsidRPr="00E43CC4">
        <w:rPr>
          <w:rFonts w:eastAsia="Calibri" w:cstheme="minorHAnsi"/>
          <w:color w:val="4A4A4A"/>
          <w:sz w:val="21"/>
          <w:szCs w:val="21"/>
          <w:lang w:val="en-US" w:eastAsia="en-US"/>
        </w:rPr>
        <w:t>forest area under an independently verified forest management certification scheme</w:t>
      </w:r>
      <w:bookmarkEnd w:id="6"/>
      <w:r w:rsidRPr="00E43CC4">
        <w:rPr>
          <w:rFonts w:eastAsia="Calibri" w:cstheme="minorHAnsi"/>
          <w:color w:val="4A4A4A"/>
          <w:sz w:val="21"/>
          <w:szCs w:val="21"/>
          <w:lang w:val="en-US" w:eastAsia="en-US"/>
        </w:rPr>
        <w:t xml:space="preserve"> are reported to FAO by the head offices of respective forest certification scheme, who are jointly adjusting the figures to remove any double accounting. </w:t>
      </w:r>
    </w:p>
    <w:p w14:paraId="25BD96F5"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No dashboard traffic lights are made at country level. </w:t>
      </w:r>
    </w:p>
    <w:p w14:paraId="6A89839E" w14:textId="77777777" w:rsidR="00576CFA" w:rsidRPr="00E43CC4" w:rsidRDefault="00576CFA" w:rsidP="00576CFA">
      <w:pPr>
        <w:pStyle w:val="MText"/>
        <w:rPr>
          <w:rFonts w:cstheme="minorHAnsi"/>
        </w:rPr>
      </w:pPr>
    </w:p>
    <w:p w14:paraId="514CE3C0" w14:textId="3F3F7A53" w:rsidR="00E1050F" w:rsidRPr="00E43CC4" w:rsidRDefault="00576CFA" w:rsidP="00F719A8">
      <w:pPr>
        <w:pStyle w:val="MHeader2"/>
        <w:rPr>
          <w:rFonts w:cstheme="minorHAnsi"/>
        </w:rPr>
      </w:pPr>
      <w:r w:rsidRPr="00E43CC4">
        <w:rPr>
          <w:rFonts w:cstheme="minorHAnsi"/>
        </w:rPr>
        <w:lastRenderedPageBreak/>
        <w:t>4.d. Validation</w:t>
      </w:r>
    </w:p>
    <w:p w14:paraId="4906F7C7" w14:textId="2AE99154" w:rsidR="008D1A7D" w:rsidRPr="00E43CC4" w:rsidRDefault="001C7EBF" w:rsidP="008D1A7D">
      <w:pPr>
        <w:autoSpaceDE w:val="0"/>
        <w:autoSpaceDN w:val="0"/>
        <w:adjustRightInd w:val="0"/>
        <w:spacing w:after="120"/>
        <w:rPr>
          <w:rFonts w:eastAsia="Calibri" w:cstheme="minorHAnsi"/>
          <w:color w:val="4A4A4A"/>
          <w:sz w:val="21"/>
          <w:szCs w:val="21"/>
          <w:lang w:val="en-US" w:eastAsia="en-US"/>
        </w:rPr>
      </w:pPr>
      <w:r>
        <w:rPr>
          <w:rFonts w:eastAsia="Times New Roman" w:cstheme="minorHAnsi"/>
          <w:color w:val="4A4A4A"/>
          <w:sz w:val="21"/>
          <w:szCs w:val="21"/>
          <w:lang w:val="en-US" w:eastAsia="en-GB"/>
        </w:rPr>
        <w:t>All data submitted by countries to FRA, including the FAO estimates made in case of desk studies, are available at the FRA on-line platform (</w:t>
      </w:r>
      <w:hyperlink r:id="rId11" w:history="1">
        <w:r w:rsidRPr="006C4AAD">
          <w:rPr>
            <w:rStyle w:val="Hyperlink"/>
            <w:rFonts w:eastAsia="Times New Roman" w:cstheme="minorHAnsi"/>
            <w:sz w:val="21"/>
            <w:szCs w:val="21"/>
            <w:lang w:val="en-US" w:eastAsia="en-GB"/>
          </w:rPr>
          <w:t>http://fra-platform.herokuapp.com</w:t>
        </w:r>
      </w:hyperlink>
      <w:r>
        <w:rPr>
          <w:rFonts w:eastAsia="Times New Roman" w:cstheme="minorHAnsi"/>
          <w:color w:val="4A4A4A"/>
          <w:sz w:val="21"/>
          <w:szCs w:val="21"/>
          <w:lang w:val="en-US" w:eastAsia="en-GB"/>
        </w:rPr>
        <w:t>). The platform also includes the sub-indicators for 15.2.1. A request</w:t>
      </w:r>
      <w:r w:rsidR="00E16C64">
        <w:rPr>
          <w:rFonts w:eastAsia="Times New Roman" w:cstheme="minorHAnsi"/>
          <w:color w:val="4A4A4A"/>
          <w:sz w:val="21"/>
          <w:szCs w:val="21"/>
          <w:lang w:val="en-US" w:eastAsia="en-GB"/>
        </w:rPr>
        <w:t xml:space="preserve"> for validation</w:t>
      </w:r>
      <w:r>
        <w:rPr>
          <w:rFonts w:eastAsia="Times New Roman" w:cstheme="minorHAnsi"/>
          <w:color w:val="4A4A4A"/>
          <w:sz w:val="21"/>
          <w:szCs w:val="21"/>
          <w:lang w:val="en-US" w:eastAsia="en-GB"/>
        </w:rPr>
        <w:t xml:space="preserve"> was </w:t>
      </w:r>
      <w:r w:rsidR="008D1A7D" w:rsidRPr="00E43CC4">
        <w:rPr>
          <w:rFonts w:eastAsia="Calibri" w:cstheme="minorHAnsi"/>
          <w:color w:val="4A4A4A"/>
          <w:sz w:val="21"/>
          <w:szCs w:val="21"/>
          <w:lang w:val="en-US" w:eastAsia="en-US"/>
        </w:rPr>
        <w:t xml:space="preserve">sent to the respective Head of Forestry before finalization and publishing of data. </w:t>
      </w:r>
    </w:p>
    <w:p w14:paraId="0025F830" w14:textId="235B396B" w:rsidR="00F719A8" w:rsidRPr="00957524" w:rsidRDefault="00F719A8" w:rsidP="00576CFA">
      <w:pPr>
        <w:pStyle w:val="MText"/>
        <w:rPr>
          <w:lang w:val="en-US"/>
        </w:rPr>
      </w:pPr>
    </w:p>
    <w:p w14:paraId="2CF2A343" w14:textId="0A7F0CBE" w:rsidR="00E1050F" w:rsidRPr="00E43CC4" w:rsidRDefault="00E1050F" w:rsidP="00F719A8">
      <w:pPr>
        <w:pStyle w:val="MHeader2"/>
        <w:rPr>
          <w:rFonts w:cstheme="minorHAnsi"/>
        </w:rPr>
      </w:pPr>
      <w:r w:rsidRPr="00E43CC4">
        <w:rPr>
          <w:rFonts w:cstheme="minorHAnsi"/>
        </w:rPr>
        <w:t>4.e. Adjustments</w:t>
      </w:r>
    </w:p>
    <w:p w14:paraId="7FBAEBBA" w14:textId="77777777" w:rsidR="00EC2915" w:rsidRPr="00E43CC4" w:rsidRDefault="00EC2915" w:rsidP="00576CFA">
      <w:pPr>
        <w:pStyle w:val="MText"/>
        <w:rPr>
          <w:rFonts w:cstheme="minorHAnsi"/>
        </w:rPr>
      </w:pPr>
    </w:p>
    <w:p w14:paraId="17735630" w14:textId="3387C27D" w:rsidR="00E1050F" w:rsidRPr="00E43CC4" w:rsidRDefault="00576CFA" w:rsidP="00F719A8">
      <w:pPr>
        <w:pStyle w:val="MHeader2"/>
        <w:rPr>
          <w:rFonts w:cstheme="minorHAnsi"/>
        </w:rPr>
      </w:pPr>
      <w:r w:rsidRPr="00E43CC4">
        <w:rPr>
          <w:rFonts w:cstheme="minorHAnsi"/>
        </w:rPr>
        <w:t>4.f. Treatment of missing values (i) at country le</w:t>
      </w:r>
      <w:r w:rsidR="00E1050F" w:rsidRPr="00E43CC4">
        <w:rPr>
          <w:rFonts w:cstheme="minorHAnsi"/>
        </w:rPr>
        <w:t>vel and (ii) at regional level</w:t>
      </w:r>
    </w:p>
    <w:p w14:paraId="23742D4D" w14:textId="77777777" w:rsidR="008D1DD3" w:rsidRPr="00E43CC4" w:rsidRDefault="008D1DD3" w:rsidP="008D1DD3">
      <w:pPr>
        <w:numPr>
          <w:ilvl w:val="0"/>
          <w:numId w:val="7"/>
        </w:numPr>
        <w:autoSpaceDE w:val="0"/>
        <w:autoSpaceDN w:val="0"/>
        <w:adjustRightInd w:val="0"/>
        <w:spacing w:after="120"/>
        <w:rPr>
          <w:rFonts w:eastAsia="Calibri" w:cstheme="minorHAnsi"/>
          <w:color w:val="2E74B5"/>
          <w:sz w:val="21"/>
          <w:szCs w:val="21"/>
          <w:lang w:val="en-US" w:eastAsia="en-US"/>
        </w:rPr>
      </w:pPr>
      <w:r w:rsidRPr="00E43CC4">
        <w:rPr>
          <w:rFonts w:eastAsia="Calibri" w:cstheme="minorHAnsi"/>
          <w:color w:val="2E74B5"/>
          <w:sz w:val="21"/>
          <w:szCs w:val="21"/>
          <w:lang w:val="en-US" w:eastAsia="en-US"/>
        </w:rPr>
        <w:t xml:space="preserve">At country level </w:t>
      </w:r>
    </w:p>
    <w:p w14:paraId="3AFAB6AB" w14:textId="69E9A84D" w:rsidR="008D1DD3" w:rsidRPr="00E43CC4" w:rsidRDefault="008D1DD3" w:rsidP="008D1DD3">
      <w:pPr>
        <w:autoSpaceDE w:val="0"/>
        <w:autoSpaceDN w:val="0"/>
        <w:adjustRightInd w:val="0"/>
        <w:spacing w:after="120"/>
        <w:ind w:left="36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For countries and territories where no information was provided to FAO for FRA 2020 (47 countries and territories representing 0.5 percent of the global forest area), a report was prepared by FAO using existing information from previous </w:t>
      </w:r>
      <w:r w:rsidR="008D1A7D" w:rsidRPr="00E43CC4">
        <w:rPr>
          <w:rFonts w:eastAsia="Calibri" w:cstheme="minorHAnsi"/>
          <w:color w:val="4A4A4A"/>
          <w:sz w:val="21"/>
          <w:szCs w:val="21"/>
          <w:lang w:val="en-US" w:eastAsia="en-US"/>
        </w:rPr>
        <w:t>assessments, literature</w:t>
      </w:r>
      <w:r w:rsidRPr="00E43CC4">
        <w:rPr>
          <w:rFonts w:eastAsia="Calibri" w:cstheme="minorHAnsi"/>
          <w:color w:val="4A4A4A"/>
          <w:sz w:val="21"/>
          <w:szCs w:val="21"/>
          <w:lang w:val="en-US" w:eastAsia="en-US"/>
        </w:rPr>
        <w:t xml:space="preserve"> search, remote sensing or a combination of two or more of them. </w:t>
      </w:r>
    </w:p>
    <w:p w14:paraId="3F3E93D7" w14:textId="55F07AC8" w:rsidR="008D1DD3" w:rsidRPr="00E43CC4" w:rsidRDefault="008D1DD3" w:rsidP="008D1DD3">
      <w:pPr>
        <w:autoSpaceDE w:val="0"/>
        <w:autoSpaceDN w:val="0"/>
        <w:adjustRightInd w:val="0"/>
        <w:spacing w:after="120"/>
        <w:ind w:left="36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For </w:t>
      </w:r>
      <w:r w:rsidR="001C7EBF">
        <w:rPr>
          <w:rFonts w:eastAsia="Calibri" w:cstheme="minorHAnsi"/>
          <w:color w:val="4A4A4A"/>
          <w:sz w:val="21"/>
          <w:szCs w:val="21"/>
          <w:lang w:val="en-US" w:eastAsia="en-US"/>
        </w:rPr>
        <w:t xml:space="preserve">the </w:t>
      </w:r>
      <w:r w:rsidRPr="00E43CC4">
        <w:rPr>
          <w:rFonts w:eastAsia="Calibri" w:cstheme="minorHAnsi"/>
          <w:color w:val="4A4A4A"/>
          <w:sz w:val="21"/>
          <w:szCs w:val="21"/>
          <w:lang w:val="en-US" w:eastAsia="en-US"/>
        </w:rPr>
        <w:t>above</w:t>
      </w:r>
      <w:r w:rsidR="008D1A7D">
        <w:rPr>
          <w:rFonts w:eastAsia="Calibri" w:cstheme="minorHAnsi"/>
          <w:color w:val="4A4A4A"/>
          <w:sz w:val="21"/>
          <w:szCs w:val="21"/>
          <w:lang w:val="en-US" w:eastAsia="en-US"/>
        </w:rPr>
        <w:t>-</w:t>
      </w:r>
      <w:r w:rsidRPr="00E43CC4">
        <w:rPr>
          <w:rFonts w:eastAsia="Calibri" w:cstheme="minorHAnsi"/>
          <w:color w:val="4A4A4A"/>
          <w:sz w:val="21"/>
          <w:szCs w:val="21"/>
          <w:lang w:val="en-US" w:eastAsia="en-US"/>
        </w:rPr>
        <w:t>ground</w:t>
      </w:r>
      <w:r w:rsidRPr="00E43CC4">
        <w:rPr>
          <w:rFonts w:eastAsia="Calibri" w:cstheme="minorHAnsi"/>
          <w:color w:val="4A4A4A"/>
          <w:sz w:val="21"/>
          <w:szCs w:val="21"/>
          <w:lang w:val="en-US" w:eastAsia="en-US"/>
        </w:rPr>
        <w:t xml:space="preserve"> biomass </w:t>
      </w:r>
      <w:r w:rsidRPr="00E43CC4">
        <w:rPr>
          <w:rFonts w:eastAsia="Calibri" w:cstheme="minorHAnsi"/>
          <w:color w:val="4A4A4A"/>
          <w:sz w:val="21"/>
          <w:szCs w:val="21"/>
          <w:lang w:val="en-US" w:eastAsia="en-US"/>
        </w:rPr>
        <w:t>sub</w:t>
      </w:r>
      <w:r w:rsidR="008D1A7D">
        <w:rPr>
          <w:rFonts w:eastAsia="Calibri" w:cstheme="minorHAnsi"/>
          <w:color w:val="4A4A4A"/>
          <w:sz w:val="21"/>
          <w:szCs w:val="21"/>
          <w:lang w:val="en-US" w:eastAsia="en-US"/>
        </w:rPr>
        <w:t>-</w:t>
      </w:r>
      <w:r w:rsidRPr="00E43CC4">
        <w:rPr>
          <w:rFonts w:eastAsia="Calibri" w:cstheme="minorHAnsi"/>
          <w:color w:val="4A4A4A"/>
          <w:sz w:val="21"/>
          <w:szCs w:val="21"/>
          <w:lang w:val="en-US" w:eastAsia="en-US"/>
        </w:rPr>
        <w:t>indicator</w:t>
      </w:r>
      <w:r w:rsidRPr="00E43CC4">
        <w:rPr>
          <w:rFonts w:eastAsia="Calibri" w:cstheme="minorHAnsi"/>
          <w:color w:val="4A4A4A"/>
          <w:sz w:val="21"/>
          <w:szCs w:val="21"/>
          <w:lang w:val="en-US" w:eastAsia="en-US"/>
        </w:rPr>
        <w:t xml:space="preserve">, imputation of the missing values has been carried out by FAO for those countries with </w:t>
      </w:r>
      <w:r w:rsidR="001C7EBF">
        <w:rPr>
          <w:rFonts w:eastAsia="Calibri" w:cstheme="minorHAnsi"/>
          <w:color w:val="4A4A4A"/>
          <w:sz w:val="21"/>
          <w:szCs w:val="21"/>
          <w:lang w:val="en-US" w:eastAsia="en-US"/>
        </w:rPr>
        <w:t>at least one data point in the</w:t>
      </w:r>
      <w:r w:rsidR="001C7EBF" w:rsidRPr="00E43CC4">
        <w:rPr>
          <w:rFonts w:eastAsia="Calibri" w:cstheme="minorHAnsi"/>
          <w:color w:val="4A4A4A"/>
          <w:sz w:val="21"/>
          <w:szCs w:val="21"/>
          <w:lang w:val="en-US" w:eastAsia="en-US"/>
        </w:rPr>
        <w:t xml:space="preserve"> </w:t>
      </w:r>
      <w:r w:rsidRPr="00E43CC4">
        <w:rPr>
          <w:rFonts w:eastAsia="Calibri" w:cstheme="minorHAnsi"/>
          <w:color w:val="4A4A4A"/>
          <w:sz w:val="21"/>
          <w:szCs w:val="21"/>
          <w:lang w:val="en-US" w:eastAsia="en-US"/>
        </w:rPr>
        <w:t>time series.</w:t>
      </w:r>
      <w:r w:rsidR="001C7EBF">
        <w:rPr>
          <w:rFonts w:eastAsia="Calibri" w:cstheme="minorHAnsi"/>
          <w:color w:val="4A4A4A"/>
          <w:sz w:val="21"/>
          <w:szCs w:val="21"/>
          <w:lang w:val="en-US" w:eastAsia="en-US"/>
        </w:rPr>
        <w:t xml:space="preserve"> </w:t>
      </w:r>
      <w:r w:rsidR="001C7EBF">
        <w:rPr>
          <w:rFonts w:eastAsia="Calibri" w:cstheme="minorHAnsi"/>
          <w:color w:val="4A4A4A"/>
          <w:sz w:val="21"/>
          <w:szCs w:val="21"/>
          <w:lang w:val="en-US" w:eastAsia="en-US"/>
        </w:rPr>
        <w:t>The value of the data point closest in time was used as imputed value.</w:t>
      </w:r>
      <w:r w:rsidRPr="00E43CC4">
        <w:rPr>
          <w:rFonts w:eastAsia="Calibri" w:cstheme="minorHAnsi"/>
          <w:color w:val="4A4A4A"/>
          <w:sz w:val="21"/>
          <w:szCs w:val="21"/>
          <w:lang w:val="en-US" w:eastAsia="en-US"/>
        </w:rPr>
        <w:t xml:space="preserve"> </w:t>
      </w:r>
      <w:r w:rsidRPr="00E43CC4">
        <w:rPr>
          <w:rFonts w:eastAsia="Calibri" w:cstheme="minorHAnsi"/>
          <w:color w:val="4A4A4A"/>
          <w:sz w:val="21"/>
          <w:szCs w:val="21"/>
          <w:lang w:val="en-US" w:eastAsia="en-US"/>
        </w:rPr>
        <w:t xml:space="preserve">For those countries where no value </w:t>
      </w:r>
      <w:r w:rsidR="001C7EBF">
        <w:rPr>
          <w:rFonts w:eastAsia="Calibri" w:cstheme="minorHAnsi"/>
          <w:color w:val="4A4A4A"/>
          <w:sz w:val="21"/>
          <w:szCs w:val="21"/>
          <w:lang w:val="en-US" w:eastAsia="en-US"/>
        </w:rPr>
        <w:t>was</w:t>
      </w:r>
      <w:r w:rsidR="001C7EBF" w:rsidRPr="00E43CC4">
        <w:rPr>
          <w:rFonts w:eastAsia="Calibri" w:cstheme="minorHAnsi"/>
          <w:color w:val="4A4A4A"/>
          <w:sz w:val="21"/>
          <w:szCs w:val="21"/>
          <w:lang w:val="en-US" w:eastAsia="en-US"/>
        </w:rPr>
        <w:t xml:space="preserve"> </w:t>
      </w:r>
      <w:r w:rsidR="001C7EBF">
        <w:rPr>
          <w:rFonts w:eastAsia="Calibri" w:cstheme="minorHAnsi"/>
          <w:color w:val="4A4A4A"/>
          <w:sz w:val="21"/>
          <w:szCs w:val="21"/>
          <w:lang w:val="en-US" w:eastAsia="en-US"/>
        </w:rPr>
        <w:t>reported</w:t>
      </w:r>
      <w:r w:rsidR="001C7EBF" w:rsidRPr="00E43CC4">
        <w:rPr>
          <w:rFonts w:eastAsia="Calibri" w:cstheme="minorHAnsi"/>
          <w:color w:val="4A4A4A"/>
          <w:sz w:val="21"/>
          <w:szCs w:val="21"/>
          <w:lang w:val="en-US" w:eastAsia="en-US"/>
        </w:rPr>
        <w:t xml:space="preserve"> </w:t>
      </w:r>
      <w:r w:rsidRPr="00E43CC4">
        <w:rPr>
          <w:rFonts w:eastAsia="Calibri" w:cstheme="minorHAnsi"/>
          <w:color w:val="4A4A4A"/>
          <w:sz w:val="21"/>
          <w:szCs w:val="21"/>
          <w:lang w:val="en-US" w:eastAsia="en-US"/>
        </w:rPr>
        <w:t xml:space="preserve">for any of the reporting years, no imputation </w:t>
      </w:r>
      <w:r w:rsidR="001C7EBF">
        <w:rPr>
          <w:rFonts w:eastAsia="Calibri" w:cstheme="minorHAnsi"/>
          <w:color w:val="4A4A4A"/>
          <w:sz w:val="21"/>
          <w:szCs w:val="21"/>
          <w:lang w:val="en-US" w:eastAsia="en-US"/>
        </w:rPr>
        <w:t>was done</w:t>
      </w:r>
      <w:r w:rsidRPr="00E43CC4">
        <w:rPr>
          <w:rFonts w:eastAsia="Calibri" w:cstheme="minorHAnsi"/>
          <w:color w:val="4A4A4A"/>
          <w:sz w:val="21"/>
          <w:szCs w:val="21"/>
          <w:lang w:val="en-US" w:eastAsia="en-US"/>
        </w:rPr>
        <w:t xml:space="preserve"> and the values for all years </w:t>
      </w:r>
      <w:r w:rsidR="001C7EBF">
        <w:rPr>
          <w:rFonts w:eastAsia="Calibri" w:cstheme="minorHAnsi"/>
          <w:color w:val="4A4A4A"/>
          <w:sz w:val="21"/>
          <w:szCs w:val="21"/>
          <w:lang w:val="en-US" w:eastAsia="en-US"/>
        </w:rPr>
        <w:t>were</w:t>
      </w:r>
      <w:r w:rsidR="001C7EBF" w:rsidRPr="00E43CC4">
        <w:rPr>
          <w:rFonts w:eastAsia="Calibri" w:cstheme="minorHAnsi"/>
          <w:color w:val="4A4A4A"/>
          <w:sz w:val="21"/>
          <w:szCs w:val="21"/>
          <w:lang w:val="en-US" w:eastAsia="en-US"/>
        </w:rPr>
        <w:t xml:space="preserve"> </w:t>
      </w:r>
      <w:r w:rsidRPr="00E43CC4">
        <w:rPr>
          <w:rFonts w:eastAsia="Calibri" w:cstheme="minorHAnsi"/>
          <w:color w:val="4A4A4A"/>
          <w:sz w:val="21"/>
          <w:szCs w:val="21"/>
          <w:lang w:val="en-US" w:eastAsia="en-US"/>
        </w:rPr>
        <w:t xml:space="preserve">set as “Not Available”. </w:t>
      </w:r>
    </w:p>
    <w:p w14:paraId="5EBA7127" w14:textId="77777777" w:rsidR="008D1DD3" w:rsidRPr="00E43CC4" w:rsidRDefault="008D1DD3" w:rsidP="008D1DD3">
      <w:pPr>
        <w:numPr>
          <w:ilvl w:val="0"/>
          <w:numId w:val="7"/>
        </w:numPr>
        <w:autoSpaceDE w:val="0"/>
        <w:autoSpaceDN w:val="0"/>
        <w:adjustRightInd w:val="0"/>
        <w:spacing w:after="120"/>
        <w:rPr>
          <w:rFonts w:eastAsia="Calibri" w:cstheme="minorHAnsi"/>
          <w:color w:val="2E74B5"/>
          <w:sz w:val="21"/>
          <w:szCs w:val="21"/>
          <w:lang w:val="en-US" w:eastAsia="en-US"/>
        </w:rPr>
      </w:pPr>
      <w:r w:rsidRPr="00E43CC4">
        <w:rPr>
          <w:rFonts w:eastAsia="Calibri" w:cstheme="minorHAnsi"/>
          <w:color w:val="2E74B5"/>
          <w:sz w:val="21"/>
          <w:szCs w:val="21"/>
          <w:lang w:val="en-US" w:eastAsia="en-US"/>
        </w:rPr>
        <w:t xml:space="preserve">At regional and global levels </w:t>
      </w:r>
    </w:p>
    <w:p w14:paraId="3193BB09" w14:textId="77777777" w:rsidR="008D1DD3" w:rsidRPr="00E43CC4" w:rsidRDefault="008D1DD3" w:rsidP="008D1DD3">
      <w:pPr>
        <w:autoSpaceDE w:val="0"/>
        <w:autoSpaceDN w:val="0"/>
        <w:adjustRightInd w:val="0"/>
        <w:spacing w:after="120"/>
        <w:ind w:left="36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See above. </w:t>
      </w:r>
    </w:p>
    <w:p w14:paraId="27033367" w14:textId="3B691DD9" w:rsidR="00EC2915" w:rsidRPr="00E43CC4" w:rsidRDefault="00EC2915" w:rsidP="00576CFA">
      <w:pPr>
        <w:pStyle w:val="MText"/>
        <w:rPr>
          <w:rFonts w:cstheme="minorHAnsi"/>
        </w:rPr>
      </w:pPr>
    </w:p>
    <w:p w14:paraId="51FCD280" w14:textId="0DAB30E3" w:rsidR="00E1050F" w:rsidRPr="00E43CC4" w:rsidRDefault="00E1050F" w:rsidP="00F719A8">
      <w:pPr>
        <w:pStyle w:val="MHeader2"/>
        <w:rPr>
          <w:rFonts w:cstheme="minorHAnsi"/>
        </w:rPr>
      </w:pPr>
      <w:r w:rsidRPr="00E43CC4">
        <w:rPr>
          <w:rFonts w:cstheme="minorHAnsi"/>
        </w:rPr>
        <w:t>4.g. Regional aggregations</w:t>
      </w:r>
    </w:p>
    <w:p w14:paraId="1D0DFBF9"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See Annex 2 – Methodology. It should be noted that for those sub-indicators where there are gaps in the data set, only the countries with complete data for the relevant years (either provided by the countries or estimated by FAO) are included in the regional and global aggregates. Annex 2 also shows how the dashboard traffic lights are applied at global and regional level. </w:t>
      </w:r>
    </w:p>
    <w:p w14:paraId="2EA010B7" w14:textId="77777777" w:rsidR="00EC2915" w:rsidRPr="00E43CC4" w:rsidRDefault="00EC2915" w:rsidP="00576CFA">
      <w:pPr>
        <w:pStyle w:val="MText"/>
        <w:rPr>
          <w:rFonts w:cstheme="minorHAnsi"/>
        </w:rPr>
      </w:pPr>
    </w:p>
    <w:p w14:paraId="71213FF2" w14:textId="52980C15" w:rsidR="00E1050F" w:rsidRPr="00E43CC4" w:rsidRDefault="00576CFA" w:rsidP="00F719A8">
      <w:pPr>
        <w:pStyle w:val="MHeader2"/>
        <w:rPr>
          <w:rFonts w:cstheme="minorHAnsi"/>
        </w:rPr>
      </w:pPr>
      <w:r w:rsidRPr="00E43CC4">
        <w:rPr>
          <w:rFonts w:cstheme="minorHAnsi"/>
        </w:rPr>
        <w:t xml:space="preserve">4.h. Methods and guidance available to countries for the compilation of </w:t>
      </w:r>
      <w:r w:rsidR="00E1050F" w:rsidRPr="00E43CC4">
        <w:rPr>
          <w:rFonts w:cstheme="minorHAnsi"/>
        </w:rPr>
        <w:t>the data at the national level</w:t>
      </w:r>
    </w:p>
    <w:p w14:paraId="064B3D21" w14:textId="77777777" w:rsidR="008D1DD3" w:rsidRPr="00E43CC4" w:rsidRDefault="008D1DD3" w:rsidP="008D1DD3">
      <w:pPr>
        <w:autoSpaceDE w:val="0"/>
        <w:autoSpaceDN w:val="0"/>
        <w:adjustRightInd w:val="0"/>
        <w:spacing w:after="120"/>
        <w:rPr>
          <w:rFonts w:eastAsia="Calibri" w:cstheme="minorHAnsi"/>
          <w:color w:val="000000"/>
          <w:sz w:val="21"/>
          <w:szCs w:val="21"/>
          <w:lang w:val="en-US" w:eastAsia="en-US"/>
        </w:rPr>
      </w:pPr>
      <w:r w:rsidRPr="00E43CC4">
        <w:rPr>
          <w:rFonts w:eastAsia="Calibri" w:cstheme="minorHAnsi"/>
          <w:color w:val="4A4A4A"/>
          <w:sz w:val="21"/>
          <w:szCs w:val="21"/>
          <w:lang w:val="en-US" w:eastAsia="en-US"/>
        </w:rPr>
        <w:t>Detailed methodology and guidance on how to prepare the country reports through an online reporting platform and to convert national data according to national categories and definitions to FAO’s global categories and definitions is found in the documents “</w:t>
      </w:r>
      <w:r w:rsidRPr="00E43CC4">
        <w:rPr>
          <w:rFonts w:eastAsia="Calibri" w:cstheme="minorHAnsi"/>
          <w:i/>
          <w:iCs/>
          <w:color w:val="4A4A4A"/>
          <w:sz w:val="21"/>
          <w:szCs w:val="21"/>
          <w:lang w:val="en-US" w:eastAsia="en-US"/>
        </w:rPr>
        <w:t>Guidelines and Specifications</w:t>
      </w:r>
      <w:r w:rsidRPr="00E43CC4">
        <w:rPr>
          <w:rFonts w:eastAsia="Calibri" w:cstheme="minorHAnsi"/>
          <w:color w:val="4A4A4A"/>
          <w:sz w:val="21"/>
          <w:szCs w:val="21"/>
          <w:lang w:val="en-US" w:eastAsia="en-US"/>
        </w:rPr>
        <w:t xml:space="preserve">” </w:t>
      </w:r>
      <w:r w:rsidRPr="00E43CC4">
        <w:rPr>
          <w:rFonts w:eastAsia="Calibri" w:cstheme="minorHAnsi"/>
          <w:color w:val="000000"/>
          <w:sz w:val="21"/>
          <w:szCs w:val="21"/>
          <w:lang w:val="en-US" w:eastAsia="en-US"/>
        </w:rPr>
        <w:t>(</w:t>
      </w:r>
      <w:hyperlink r:id="rId12" w:history="1">
        <w:r w:rsidRPr="00E43CC4">
          <w:rPr>
            <w:rFonts w:eastAsia="Calibri" w:cstheme="minorHAnsi"/>
            <w:color w:val="0563C1"/>
            <w:sz w:val="21"/>
            <w:szCs w:val="21"/>
            <w:u w:val="single"/>
            <w:lang w:val="en-US" w:eastAsia="en-US"/>
          </w:rPr>
          <w:t>www.fao.org/3/I8699EN/i8699en.pdf</w:t>
        </w:r>
      </w:hyperlink>
      <w:r w:rsidRPr="00E43CC4">
        <w:rPr>
          <w:rFonts w:eastAsia="Calibri" w:cstheme="minorHAnsi"/>
          <w:color w:val="000000"/>
          <w:sz w:val="21"/>
          <w:szCs w:val="21"/>
          <w:lang w:val="en-US" w:eastAsia="en-US"/>
        </w:rPr>
        <w:t xml:space="preserve">) </w:t>
      </w:r>
      <w:r w:rsidRPr="00E43CC4">
        <w:rPr>
          <w:rFonts w:eastAsia="Calibri" w:cstheme="minorHAnsi"/>
          <w:color w:val="4A4A4A"/>
          <w:sz w:val="21"/>
          <w:szCs w:val="21"/>
          <w:lang w:val="en-US" w:eastAsia="en-US"/>
        </w:rPr>
        <w:t>and “</w:t>
      </w:r>
      <w:r w:rsidRPr="00E43CC4">
        <w:rPr>
          <w:rFonts w:eastAsia="Calibri" w:cstheme="minorHAnsi"/>
          <w:i/>
          <w:iCs/>
          <w:color w:val="4A4A4A"/>
          <w:sz w:val="21"/>
          <w:szCs w:val="21"/>
          <w:lang w:val="en-US" w:eastAsia="en-US"/>
        </w:rPr>
        <w:t>Terms and Definitions</w:t>
      </w:r>
      <w:r w:rsidRPr="00E43CC4">
        <w:rPr>
          <w:rFonts w:eastAsia="Calibri" w:cstheme="minorHAnsi"/>
          <w:color w:val="4A4A4A"/>
          <w:sz w:val="21"/>
          <w:szCs w:val="21"/>
          <w:lang w:val="en-US" w:eastAsia="en-US"/>
        </w:rPr>
        <w:t xml:space="preserve">” </w:t>
      </w:r>
      <w:r w:rsidRPr="00E43CC4">
        <w:rPr>
          <w:rFonts w:eastAsia="Calibri" w:cstheme="minorHAnsi"/>
          <w:color w:val="000000"/>
          <w:sz w:val="21"/>
          <w:szCs w:val="21"/>
          <w:lang w:val="en-US" w:eastAsia="en-US"/>
        </w:rPr>
        <w:t>(</w:t>
      </w:r>
      <w:hyperlink r:id="rId13" w:history="1">
        <w:r w:rsidRPr="00E43CC4">
          <w:rPr>
            <w:rFonts w:eastAsia="Calibri" w:cstheme="minorHAnsi"/>
            <w:color w:val="0563C1"/>
            <w:sz w:val="21"/>
            <w:szCs w:val="21"/>
            <w:u w:val="single"/>
            <w:lang w:val="en-US" w:eastAsia="en-US"/>
          </w:rPr>
          <w:t>www.fao.org/3/I8661EN/i8661en.pdf</w:t>
        </w:r>
      </w:hyperlink>
      <w:r w:rsidRPr="00E43CC4">
        <w:rPr>
          <w:rFonts w:eastAsia="Calibri" w:cstheme="minorHAnsi"/>
          <w:color w:val="000000"/>
          <w:sz w:val="21"/>
          <w:szCs w:val="21"/>
          <w:lang w:val="en-US" w:eastAsia="en-US"/>
        </w:rPr>
        <w:t xml:space="preserve">). </w:t>
      </w:r>
    </w:p>
    <w:p w14:paraId="0F74DF54" w14:textId="5DFBD0EC" w:rsidR="008D1DD3" w:rsidRDefault="00B82BA0" w:rsidP="008D1DD3">
      <w:pPr>
        <w:autoSpaceDE w:val="0"/>
        <w:autoSpaceDN w:val="0"/>
        <w:adjustRightInd w:val="0"/>
        <w:spacing w:after="120"/>
        <w:rPr>
          <w:rFonts w:eastAsia="Calibri" w:cstheme="minorHAnsi"/>
          <w:color w:val="4A4A4A"/>
          <w:sz w:val="21"/>
          <w:szCs w:val="21"/>
          <w:lang w:val="en-US" w:eastAsia="en-US"/>
        </w:rPr>
      </w:pPr>
      <w:r>
        <w:rPr>
          <w:rFonts w:eastAsia="Calibri" w:cstheme="minorHAnsi"/>
          <w:color w:val="4A4A4A"/>
          <w:sz w:val="21"/>
          <w:szCs w:val="21"/>
          <w:lang w:val="en-US" w:eastAsia="en-US"/>
        </w:rPr>
        <w:t>FAO supports the reporting process through capacity development on reporting methodology and remote sensing. The reporting platform provides easy access to relevant and freely available global remote sensing data sets and products.</w:t>
      </w:r>
    </w:p>
    <w:p w14:paraId="04E181BE" w14:textId="77777777" w:rsidR="00B82BA0" w:rsidRPr="00E43CC4" w:rsidRDefault="00B82BA0" w:rsidP="008D1DD3">
      <w:pPr>
        <w:autoSpaceDE w:val="0"/>
        <w:autoSpaceDN w:val="0"/>
        <w:adjustRightInd w:val="0"/>
        <w:spacing w:after="120"/>
        <w:rPr>
          <w:rFonts w:eastAsia="Calibri" w:cstheme="minorHAnsi"/>
          <w:color w:val="000000"/>
          <w:sz w:val="21"/>
          <w:szCs w:val="21"/>
          <w:lang w:val="en-US" w:eastAsia="en-US"/>
        </w:rPr>
      </w:pPr>
    </w:p>
    <w:p w14:paraId="494C36E8" w14:textId="22C3CD05" w:rsidR="00E1050F" w:rsidRPr="00E43CC4" w:rsidRDefault="00576CFA" w:rsidP="00F719A8">
      <w:pPr>
        <w:pStyle w:val="MHeader2"/>
        <w:rPr>
          <w:rFonts w:cstheme="minorHAnsi"/>
        </w:rPr>
      </w:pPr>
      <w:r w:rsidRPr="00E43CC4">
        <w:rPr>
          <w:rFonts w:cstheme="minorHAnsi"/>
        </w:rPr>
        <w:lastRenderedPageBreak/>
        <w:t xml:space="preserve">4.i. </w:t>
      </w:r>
      <w:r w:rsidR="00E1050F" w:rsidRPr="00E43CC4">
        <w:rPr>
          <w:rFonts w:cstheme="minorHAnsi"/>
        </w:rPr>
        <w:t>Quality management</w:t>
      </w:r>
    </w:p>
    <w:p w14:paraId="1AA038E7" w14:textId="58F7770A" w:rsidR="00E16C64" w:rsidRPr="00E43CC4" w:rsidRDefault="0021071D" w:rsidP="00576CFA">
      <w:pPr>
        <w:pStyle w:val="MText"/>
        <w:rPr>
          <w:rFonts w:cstheme="minorHAnsi"/>
        </w:rPr>
      </w:pPr>
      <w:r w:rsidRPr="00ED46A5">
        <w:rPr>
          <w:lang w:val="en-US"/>
        </w:rPr>
        <w:t>FAO is responsible for the quality of the internal statistical processes used to compile the published datasets. The FAO Statistics Quality Assurance Framework (SQAF), available at: http://www.fao.org/docrep/019/i3664e/i3664e.pdf,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(e.g. quality reviews, self-assessments, compliance monitoring).</w:t>
      </w:r>
    </w:p>
    <w:p w14:paraId="5484B16D" w14:textId="77777777" w:rsidR="00EC2915" w:rsidRPr="00E43CC4" w:rsidRDefault="00EC2915" w:rsidP="00576CFA">
      <w:pPr>
        <w:pStyle w:val="MText"/>
        <w:rPr>
          <w:rFonts w:cstheme="minorHAnsi"/>
        </w:rPr>
      </w:pPr>
    </w:p>
    <w:p w14:paraId="17B979CA" w14:textId="449C0153" w:rsidR="00E1050F" w:rsidRPr="00E43CC4" w:rsidRDefault="00E1050F" w:rsidP="00F719A8">
      <w:pPr>
        <w:pStyle w:val="MHeader2"/>
        <w:rPr>
          <w:rFonts w:cstheme="minorHAnsi"/>
        </w:rPr>
      </w:pPr>
      <w:r w:rsidRPr="00E43CC4">
        <w:rPr>
          <w:rFonts w:cstheme="minorHAnsi"/>
        </w:rPr>
        <w:t>4.j Quality assurance</w:t>
      </w:r>
    </w:p>
    <w:p w14:paraId="7D189A7D" w14:textId="236AA28B" w:rsidR="008D1DD3" w:rsidRPr="00E43CC4" w:rsidRDefault="001C7EBF" w:rsidP="008D1DD3">
      <w:pPr>
        <w:autoSpaceDE w:val="0"/>
        <w:autoSpaceDN w:val="0"/>
        <w:adjustRightInd w:val="0"/>
        <w:spacing w:after="120"/>
        <w:rPr>
          <w:rFonts w:eastAsia="Calibri" w:cstheme="minorHAnsi"/>
          <w:color w:val="4A4A4A"/>
          <w:sz w:val="21"/>
          <w:szCs w:val="21"/>
          <w:lang w:val="en-US" w:eastAsia="en-US"/>
        </w:rPr>
      </w:pPr>
      <w:r>
        <w:rPr>
          <w:rFonts w:eastAsia="Calibri" w:cstheme="minorHAnsi"/>
          <w:color w:val="4A4A4A"/>
          <w:sz w:val="21"/>
          <w:szCs w:val="21"/>
          <w:lang w:val="en-US" w:eastAsia="en-US"/>
        </w:rPr>
        <w:t>Date reported by countries to FAO are subject to</w:t>
      </w:r>
      <w:r w:rsidR="008D1DD3" w:rsidRPr="00E43CC4">
        <w:rPr>
          <w:rFonts w:eastAsia="Calibri" w:cstheme="minorHAnsi"/>
          <w:color w:val="4A4A4A"/>
          <w:sz w:val="21"/>
          <w:szCs w:val="21"/>
          <w:lang w:val="en-US" w:eastAsia="en-US"/>
        </w:rPr>
        <w:t xml:space="preserve">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 </w:t>
      </w:r>
    </w:p>
    <w:p w14:paraId="03EF3244" w14:textId="77777777" w:rsidR="00EC2915" w:rsidRPr="00E43CC4" w:rsidRDefault="00EC2915" w:rsidP="00576CFA">
      <w:pPr>
        <w:pStyle w:val="MText"/>
        <w:rPr>
          <w:rFonts w:cstheme="minorHAnsi"/>
        </w:rPr>
      </w:pPr>
    </w:p>
    <w:p w14:paraId="34ADD322" w14:textId="1A21C057" w:rsidR="00E1050F" w:rsidRPr="00E43CC4" w:rsidRDefault="00576CFA" w:rsidP="00F719A8">
      <w:pPr>
        <w:pStyle w:val="MHeader2"/>
        <w:rPr>
          <w:rFonts w:cstheme="minorHAnsi"/>
        </w:rPr>
      </w:pPr>
      <w:r w:rsidRPr="00E43CC4">
        <w:rPr>
          <w:rFonts w:cstheme="minorHAnsi"/>
        </w:rPr>
        <w:t>4.k Qua</w:t>
      </w:r>
      <w:r w:rsidR="00E1050F" w:rsidRPr="00E43CC4">
        <w:rPr>
          <w:rFonts w:cstheme="minorHAnsi"/>
        </w:rPr>
        <w:t>lity assessment</w:t>
      </w:r>
    </w:p>
    <w:p w14:paraId="5D98231E" w14:textId="1E898415" w:rsidR="00D91689" w:rsidRDefault="00D91689">
      <w:pPr>
        <w:rPr>
          <w:rFonts w:eastAsia="Times New Roman" w:cstheme="minorHAnsi"/>
          <w:color w:val="4A4A4A"/>
          <w:sz w:val="21"/>
          <w:szCs w:val="21"/>
          <w:lang w:eastAsia="en-GB"/>
        </w:rPr>
      </w:pPr>
      <w:r>
        <w:rPr>
          <w:rFonts w:cstheme="minorHAnsi"/>
        </w:rPr>
        <w:br w:type="page"/>
      </w:r>
    </w:p>
    <w:p w14:paraId="1C9CD6D9" w14:textId="77777777" w:rsidR="008D1DD3" w:rsidRPr="00E43CC4" w:rsidRDefault="008D1DD3" w:rsidP="00576CFA">
      <w:pPr>
        <w:pStyle w:val="MText"/>
        <w:rPr>
          <w:rFonts w:cstheme="minorHAnsi"/>
        </w:rPr>
      </w:pPr>
    </w:p>
    <w:p w14:paraId="17787B3C" w14:textId="03FE81A9" w:rsidR="00E1050F" w:rsidRPr="00E43CC4" w:rsidRDefault="00576CFA" w:rsidP="000412A0">
      <w:pPr>
        <w:pStyle w:val="MHeader"/>
        <w:spacing w:after="100"/>
        <w:rPr>
          <w:rFonts w:cstheme="minorHAnsi"/>
        </w:rPr>
      </w:pPr>
      <w:r w:rsidRPr="00E43CC4">
        <w:rPr>
          <w:rFonts w:cstheme="minorHAnsi"/>
        </w:rPr>
        <w:t>5. Data availability and disaggregation</w:t>
      </w:r>
    </w:p>
    <w:p w14:paraId="464A8CCF" w14:textId="46E9A804" w:rsidR="00576CFA" w:rsidRPr="00E43CC4" w:rsidRDefault="00D51E7C" w:rsidP="00576CFA">
      <w:pPr>
        <w:pStyle w:val="MText"/>
        <w:rPr>
          <w:rFonts w:cstheme="minorHAnsi"/>
        </w:rPr>
      </w:pPr>
      <w:r w:rsidRPr="00E43CC4">
        <w:rPr>
          <w:rFonts w:cstheme="minorHAnsi"/>
        </w:rPr>
        <w:t>Data availability:</w:t>
      </w:r>
    </w:p>
    <w:p w14:paraId="7E4E81FA"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Global Forest Resources Assessment 2020 collected data from 236 countries and territories. Below is a breakdown of the number of countries covered by region and by sub-indicator: </w:t>
      </w:r>
    </w:p>
    <w:p w14:paraId="24DD5380"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tbl>
      <w:tblPr>
        <w:tblStyle w:val="GridTable1Light-Accent11"/>
        <w:tblW w:w="0" w:type="auto"/>
        <w:tblInd w:w="0" w:type="dxa"/>
        <w:tblLook w:val="04A0" w:firstRow="1" w:lastRow="0" w:firstColumn="1" w:lastColumn="0" w:noHBand="0" w:noVBand="1"/>
      </w:tblPr>
      <w:tblGrid>
        <w:gridCol w:w="2698"/>
        <w:gridCol w:w="575"/>
        <w:gridCol w:w="575"/>
        <w:gridCol w:w="575"/>
        <w:gridCol w:w="575"/>
        <w:gridCol w:w="574"/>
        <w:gridCol w:w="574"/>
        <w:gridCol w:w="574"/>
        <w:gridCol w:w="574"/>
        <w:gridCol w:w="574"/>
        <w:gridCol w:w="574"/>
        <w:gridCol w:w="574"/>
      </w:tblGrid>
      <w:tr w:rsidR="00E43CC4" w:rsidRPr="00E43CC4" w14:paraId="2F423216" w14:textId="77777777" w:rsidTr="008D1DD3">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4120" w:type="dxa"/>
            <w:vMerge w:val="restart"/>
            <w:tcBorders>
              <w:top w:val="single" w:sz="4" w:space="0" w:color="BDD6EE"/>
              <w:left w:val="single" w:sz="4" w:space="0" w:color="BDD6EE"/>
              <w:bottom w:val="single" w:sz="4" w:space="0" w:color="BDD6EE"/>
              <w:right w:val="single" w:sz="4" w:space="0" w:color="BDD6EE"/>
            </w:tcBorders>
            <w:noWrap/>
            <w:vAlign w:val="center"/>
            <w:hideMark/>
          </w:tcPr>
          <w:p w14:paraId="59D91CC1" w14:textId="77777777" w:rsidR="008D1DD3" w:rsidRPr="00E43CC4" w:rsidRDefault="008D1DD3" w:rsidP="008D1DD3">
            <w:pPr>
              <w:autoSpaceDE w:val="0"/>
              <w:autoSpaceDN w:val="0"/>
              <w:adjustRightInd w:val="0"/>
              <w:spacing w:line="276" w:lineRule="auto"/>
              <w:jc w:val="center"/>
              <w:rPr>
                <w:rFonts w:asciiTheme="minorHAnsi" w:hAnsiTheme="minorHAnsi" w:cstheme="minorHAnsi"/>
                <w:color w:val="4A4A4A"/>
                <w:sz w:val="14"/>
                <w:szCs w:val="14"/>
              </w:rPr>
            </w:pPr>
            <w:r w:rsidRPr="00E43CC4">
              <w:rPr>
                <w:rFonts w:asciiTheme="minorHAnsi" w:hAnsiTheme="minorHAnsi" w:cstheme="minorHAnsi"/>
                <w:color w:val="4A4A4A"/>
                <w:sz w:val="14"/>
                <w:szCs w:val="14"/>
              </w:rPr>
              <w:t>Region Name</w:t>
            </w:r>
          </w:p>
        </w:tc>
        <w:tc>
          <w:tcPr>
            <w:tcW w:w="780" w:type="dxa"/>
            <w:vMerge w:val="restart"/>
            <w:tcBorders>
              <w:top w:val="single" w:sz="4" w:space="0" w:color="BDD6EE"/>
              <w:left w:val="single" w:sz="4" w:space="0" w:color="BDD6EE"/>
              <w:bottom w:val="single" w:sz="4" w:space="0" w:color="BDD6EE"/>
              <w:right w:val="single" w:sz="4" w:space="0" w:color="BDD6EE"/>
            </w:tcBorders>
            <w:textDirection w:val="btLr"/>
            <w:vAlign w:val="center"/>
            <w:hideMark/>
          </w:tcPr>
          <w:p w14:paraId="79310E59" w14:textId="77777777" w:rsidR="008D1DD3" w:rsidRPr="00E43CC4" w:rsidRDefault="008D1DD3" w:rsidP="008D1DD3">
            <w:pPr>
              <w:autoSpaceDE w:val="0"/>
              <w:autoSpaceDN w:val="0"/>
              <w:adjustRightInd w:val="0"/>
              <w:ind w:left="11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Total number of countries</w:t>
            </w:r>
          </w:p>
        </w:tc>
        <w:tc>
          <w:tcPr>
            <w:tcW w:w="3900" w:type="dxa"/>
            <w:gridSpan w:val="5"/>
            <w:tcBorders>
              <w:top w:val="single" w:sz="4" w:space="0" w:color="BDD6EE"/>
              <w:left w:val="single" w:sz="4" w:space="0" w:color="BDD6EE"/>
              <w:right w:val="single" w:sz="4" w:space="0" w:color="BDD6EE"/>
            </w:tcBorders>
            <w:noWrap/>
            <w:vAlign w:val="center"/>
            <w:hideMark/>
          </w:tcPr>
          <w:p w14:paraId="6A005E4C" w14:textId="77777777" w:rsidR="008D1DD3" w:rsidRPr="00E43CC4" w:rsidRDefault="008D1DD3" w:rsidP="008D1DD3">
            <w:pPr>
              <w:autoSpaceDE w:val="0"/>
              <w:autoSpaceDN w:val="0"/>
              <w:adjustRightInd w:val="0"/>
              <w:ind w:lef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Number of countries reporting latest year</w:t>
            </w:r>
          </w:p>
        </w:tc>
        <w:tc>
          <w:tcPr>
            <w:tcW w:w="3900" w:type="dxa"/>
            <w:gridSpan w:val="5"/>
            <w:tcBorders>
              <w:top w:val="single" w:sz="4" w:space="0" w:color="BDD6EE"/>
              <w:left w:val="single" w:sz="4" w:space="0" w:color="BDD6EE"/>
              <w:right w:val="single" w:sz="4" w:space="0" w:color="BDD6EE"/>
            </w:tcBorders>
            <w:noWrap/>
            <w:vAlign w:val="center"/>
            <w:hideMark/>
          </w:tcPr>
          <w:p w14:paraId="2B2E6E17" w14:textId="77777777" w:rsidR="008D1DD3" w:rsidRPr="00E43CC4" w:rsidRDefault="008D1DD3" w:rsidP="008D1DD3">
            <w:pPr>
              <w:autoSpaceDE w:val="0"/>
              <w:autoSpaceDN w:val="0"/>
              <w:adjustRightInd w:val="0"/>
              <w:ind w:left="11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Percentage of countries reporting latest year</w:t>
            </w:r>
          </w:p>
        </w:tc>
      </w:tr>
      <w:tr w:rsidR="00E43CC4" w:rsidRPr="00E43CC4" w14:paraId="1F00055E" w14:textId="77777777" w:rsidTr="008D1DD3">
        <w:trPr>
          <w:trHeight w:val="274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DD6EE"/>
              <w:left w:val="single" w:sz="4" w:space="0" w:color="BDD6EE"/>
              <w:bottom w:val="single" w:sz="4" w:space="0" w:color="BDD6EE"/>
              <w:right w:val="single" w:sz="4" w:space="0" w:color="BDD6EE"/>
            </w:tcBorders>
            <w:vAlign w:val="center"/>
            <w:hideMark/>
          </w:tcPr>
          <w:p w14:paraId="198845A5" w14:textId="77777777" w:rsidR="008D1DD3" w:rsidRPr="00E43CC4" w:rsidRDefault="008D1DD3" w:rsidP="008D1DD3">
            <w:pPr>
              <w:rPr>
                <w:rFonts w:asciiTheme="minorHAnsi" w:hAnsiTheme="minorHAnsi" w:cstheme="minorHAnsi"/>
                <w:color w:val="4A4A4A"/>
                <w:sz w:val="14"/>
                <w:szCs w:val="14"/>
              </w:rPr>
            </w:pPr>
          </w:p>
        </w:tc>
        <w:tc>
          <w:tcPr>
            <w:tcW w:w="0" w:type="auto"/>
            <w:vMerge/>
            <w:tcBorders>
              <w:top w:val="single" w:sz="4" w:space="0" w:color="BDD6EE"/>
              <w:left w:val="single" w:sz="4" w:space="0" w:color="BDD6EE"/>
              <w:bottom w:val="single" w:sz="4" w:space="0" w:color="BDD6EE"/>
              <w:right w:val="single" w:sz="4" w:space="0" w:color="BDD6EE"/>
            </w:tcBorders>
            <w:vAlign w:val="center"/>
            <w:hideMark/>
          </w:tcPr>
          <w:p w14:paraId="1BE481A4" w14:textId="77777777" w:rsidR="008D1DD3" w:rsidRPr="00E43CC4" w:rsidRDefault="008D1DD3" w:rsidP="008D1D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284E3AFC" w14:textId="34DC1060" w:rsidR="008D1DD3" w:rsidRPr="00E43CC4" w:rsidRDefault="00D91689"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Pr>
                <w:rFonts w:asciiTheme="minorHAnsi" w:hAnsiTheme="minorHAnsi" w:cstheme="minorHAnsi"/>
                <w:b/>
                <w:bCs/>
                <w:color w:val="4A4A4A"/>
                <w:sz w:val="14"/>
                <w:szCs w:val="14"/>
              </w:rPr>
              <w:t>Annual f</w:t>
            </w:r>
            <w:r w:rsidR="008D1DD3" w:rsidRPr="00E43CC4">
              <w:rPr>
                <w:rFonts w:asciiTheme="minorHAnsi" w:hAnsiTheme="minorHAnsi" w:cstheme="minorHAnsi"/>
                <w:b/>
                <w:bCs/>
                <w:color w:val="4A4A4A"/>
                <w:sz w:val="14"/>
                <w:szCs w:val="14"/>
              </w:rPr>
              <w:t>orest</w:t>
            </w:r>
            <w:r w:rsidR="008D1DD3" w:rsidRPr="00E43CC4">
              <w:rPr>
                <w:rFonts w:asciiTheme="minorHAnsi" w:hAnsiTheme="minorHAnsi" w:cstheme="minorHAnsi"/>
                <w:b/>
                <w:bCs/>
                <w:color w:val="4A4A4A"/>
                <w:sz w:val="14"/>
                <w:szCs w:val="14"/>
              </w:rPr>
              <w:t xml:space="preserve"> area change rate </w:t>
            </w: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5C39972F" w14:textId="77777777" w:rsidR="008D1DD3" w:rsidRPr="00E43CC4" w:rsidRDefault="008D1DD3"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sidRPr="00E43CC4">
              <w:rPr>
                <w:rFonts w:asciiTheme="minorHAnsi" w:hAnsiTheme="minorHAnsi" w:cstheme="minorHAnsi"/>
                <w:b/>
                <w:bCs/>
                <w:color w:val="4A4A4A"/>
                <w:sz w:val="14"/>
                <w:szCs w:val="14"/>
              </w:rPr>
              <w:t xml:space="preserve">Above-ground biomass stock in forest </w:t>
            </w: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2869C469" w14:textId="77777777" w:rsidR="008D1DD3" w:rsidRPr="00E43CC4" w:rsidRDefault="008D1DD3"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sidRPr="00E43CC4">
              <w:rPr>
                <w:rFonts w:asciiTheme="minorHAnsi" w:hAnsiTheme="minorHAnsi" w:cstheme="minorHAnsi"/>
                <w:b/>
                <w:bCs/>
                <w:color w:val="4A4A4A"/>
                <w:sz w:val="14"/>
                <w:szCs w:val="14"/>
              </w:rPr>
              <w:t xml:space="preserve">Proportion of forest area located within legally established protect areas </w:t>
            </w: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7CA0BDEB" w14:textId="77777777" w:rsidR="008D1DD3" w:rsidRPr="00E43CC4" w:rsidRDefault="008D1DD3"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sidRPr="00E43CC4">
              <w:rPr>
                <w:rFonts w:asciiTheme="minorHAnsi" w:hAnsiTheme="minorHAnsi" w:cstheme="minorHAnsi"/>
                <w:b/>
                <w:bCs/>
                <w:color w:val="4A4A4A"/>
                <w:sz w:val="14"/>
                <w:szCs w:val="14"/>
              </w:rPr>
              <w:t xml:space="preserve">Proportion of forest area under a long term forest management plan </w:t>
            </w: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3DA2CF0A" w14:textId="77777777" w:rsidR="008D1DD3" w:rsidRPr="00E43CC4" w:rsidRDefault="008D1DD3"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sidRPr="00E43CC4">
              <w:rPr>
                <w:rFonts w:asciiTheme="minorHAnsi" w:hAnsiTheme="minorHAnsi" w:cstheme="minorHAnsi"/>
                <w:b/>
                <w:bCs/>
                <w:color w:val="4A4A4A"/>
                <w:sz w:val="14"/>
                <w:szCs w:val="14"/>
              </w:rPr>
              <w:t>Forest area under an independently verified forest management certification scheme</w:t>
            </w: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29ED976A" w14:textId="77777777" w:rsidR="008D1DD3" w:rsidRPr="00E43CC4" w:rsidRDefault="008D1DD3"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sidRPr="00E43CC4">
              <w:rPr>
                <w:rFonts w:asciiTheme="minorHAnsi" w:hAnsiTheme="minorHAnsi" w:cstheme="minorHAnsi"/>
                <w:b/>
                <w:bCs/>
                <w:color w:val="4A4A4A"/>
                <w:sz w:val="14"/>
                <w:szCs w:val="14"/>
              </w:rPr>
              <w:t xml:space="preserve">Forest area annual net change rate </w:t>
            </w: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1AD67CC0" w14:textId="77777777" w:rsidR="008D1DD3" w:rsidRPr="00E43CC4" w:rsidRDefault="008D1DD3"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sidRPr="00E43CC4">
              <w:rPr>
                <w:rFonts w:asciiTheme="minorHAnsi" w:hAnsiTheme="minorHAnsi" w:cstheme="minorHAnsi"/>
                <w:b/>
                <w:bCs/>
                <w:color w:val="4A4A4A"/>
                <w:sz w:val="14"/>
                <w:szCs w:val="14"/>
              </w:rPr>
              <w:t xml:space="preserve">Above-ground biomass stock in forest </w:t>
            </w: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317C90EA" w14:textId="77777777" w:rsidR="008D1DD3" w:rsidRPr="00E43CC4" w:rsidRDefault="008D1DD3"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sidRPr="00E43CC4">
              <w:rPr>
                <w:rFonts w:asciiTheme="minorHAnsi" w:hAnsiTheme="minorHAnsi" w:cstheme="minorHAnsi"/>
                <w:b/>
                <w:bCs/>
                <w:color w:val="4A4A4A"/>
                <w:sz w:val="14"/>
                <w:szCs w:val="14"/>
              </w:rPr>
              <w:t xml:space="preserve">Proportion of forest area located within legally established protect areas </w:t>
            </w: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12D03F92" w14:textId="77777777" w:rsidR="008D1DD3" w:rsidRPr="00E43CC4" w:rsidRDefault="008D1DD3"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sidRPr="00E43CC4">
              <w:rPr>
                <w:rFonts w:asciiTheme="minorHAnsi" w:hAnsiTheme="minorHAnsi" w:cstheme="minorHAnsi"/>
                <w:b/>
                <w:bCs/>
                <w:color w:val="4A4A4A"/>
                <w:sz w:val="14"/>
                <w:szCs w:val="14"/>
              </w:rPr>
              <w:t xml:space="preserve">Proportion of forest area under a long term forest management plan </w:t>
            </w:r>
          </w:p>
        </w:tc>
        <w:tc>
          <w:tcPr>
            <w:tcW w:w="780" w:type="dxa"/>
            <w:tcBorders>
              <w:top w:val="single" w:sz="4" w:space="0" w:color="BDD6EE"/>
              <w:left w:val="single" w:sz="4" w:space="0" w:color="BDD6EE"/>
              <w:bottom w:val="single" w:sz="4" w:space="0" w:color="BDD6EE"/>
              <w:right w:val="single" w:sz="4" w:space="0" w:color="BDD6EE"/>
            </w:tcBorders>
            <w:textDirection w:val="btLr"/>
            <w:vAlign w:val="center"/>
            <w:hideMark/>
          </w:tcPr>
          <w:p w14:paraId="5A23805B" w14:textId="77777777" w:rsidR="008D1DD3" w:rsidRPr="00E43CC4" w:rsidRDefault="008D1DD3" w:rsidP="008D1DD3">
            <w:pPr>
              <w:autoSpaceDE w:val="0"/>
              <w:autoSpaceDN w:val="0"/>
              <w:adjustRightInd w:val="0"/>
              <w:ind w:lef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A4A4A"/>
                <w:sz w:val="14"/>
                <w:szCs w:val="14"/>
              </w:rPr>
            </w:pPr>
            <w:r w:rsidRPr="00E43CC4">
              <w:rPr>
                <w:rFonts w:asciiTheme="minorHAnsi" w:hAnsiTheme="minorHAnsi" w:cstheme="minorHAnsi"/>
                <w:b/>
                <w:bCs/>
                <w:color w:val="4A4A4A"/>
                <w:sz w:val="14"/>
                <w:szCs w:val="14"/>
              </w:rPr>
              <w:t>Forest area under an independently verified forest management certification scheme</w:t>
            </w:r>
          </w:p>
        </w:tc>
      </w:tr>
      <w:tr w:rsidR="00E43CC4" w:rsidRPr="00E43CC4" w14:paraId="189F70F7"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5EDAA69C"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World</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536A91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236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D02430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236</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AD1612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205</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D89865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162</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2FF46C3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128</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EE91A7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236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FA8BA1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6F8F2E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78B783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C907A5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DB29F8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564ABC42"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37BD6290"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Central and Southern Asia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77AF5F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33A114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14</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25B53B2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12</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34AA9AF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1007A2C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FFBF30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FA7F5E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991003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AC16C3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9620D3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1A0F10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494EF3DD"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0C250459"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Central Asia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324920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D035CF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511D5E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8471665"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6A32EBB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E88DEA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3D3C34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DF8581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B58FCA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FE2056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CF760F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06D1EEA9"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74EE37DA"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Southern Asia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1E1ACD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9B09DA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079DF38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519366D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1EDE25A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B57F4D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8591FF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E2C3F9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2905D2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753283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C3BA26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7B71CD5C"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3EBD8770"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Eastern and South-Eastern Asia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801967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FF58D8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16</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A44108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16</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303B98C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11</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9612D4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0123FC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7267B0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A49C5E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B3A288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131955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63A08D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47E8F35F"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57E03789"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Eastern Asia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FBF590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AC6A48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31A3949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6B88E0F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D2C2C3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2A91FC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D361C5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FEA352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705390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E69E66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FB82ED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076CF132"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4ECD6F7C"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South-Eastern Asia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A3AB81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11</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9B4641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11</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18702F6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11</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22D852A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5FE6786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7A6BF3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11</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301B39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35353D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EC42A7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69EA68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F6817F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297315EE"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796DCC20"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Northern Africa and Western Asia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43CD3F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C9CC41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25</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151C390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21</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6C530C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13</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05ED8E6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57CB0C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B9788D5"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F691D7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E9CEA2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52%</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4D088C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F1D131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34B99A10"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3F1D0F7F"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Northern Africa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8E8524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3A95125"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19AF31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606CED2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DD3FB8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864CFD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E856F1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003FAA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3B4D4E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B5981A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3CEEF2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0B1FFF02"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4F582B0F"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Western Asia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478B0B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18</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5206D9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18</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681A1A0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14</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C65009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59D390D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46883F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18</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89B57D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A86E83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78%</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488716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17294C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3C3019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371234CB"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65869AD9"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Sub-Saharan Africa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7EF51F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51</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328F5E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51</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56F8D1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48</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63849F3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43</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1DC13F5"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2F6933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51</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8799BE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C60179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D74ACD5"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0171FB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228ECD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317045C7"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508016ED"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Europe and Northern America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CFC715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B95F2D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55</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2293390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47</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0500214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40</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109892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38</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5E0117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009AED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E85F81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48BD08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2CC28D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D47400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55D6B2E8"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3B31B93D"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Europe</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D9C19B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894A44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50</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296E32C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44</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039F862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36</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19E9D83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B1968B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8D3E69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440FC3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88%</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C1915B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72%</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962BC6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68%</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BE1F09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702156D0"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289A4C05"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Northern America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2631835"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EA4928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3A9626C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2D59683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59FF14D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9CF4B4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088C8F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A91F56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C807C8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83660D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92F216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431EBD8A"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4A0C6711"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Latin America and the Caribbean</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8DADA9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F01479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50</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F238F05"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43</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22328AA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37</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07FD3E3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947D9B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478C56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83A04E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4DA7E1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74%</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D23007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2D6524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02A84F78"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0D5A31E0"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Oceania</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838109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9E0CC1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25</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0017AE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18</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13D4916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5CDB4A6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3C2226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25</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9AF23E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F016E9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72%</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4FCABF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C5DE80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99BA22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273A3B51"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0DFD62E6"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Oceania (exc. Australia and New Zealand)</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CC7BCC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22</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5A27AC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22</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654E207A"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16</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0140DAE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301A05E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160C3F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22</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84B7CD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3002D1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8CFFE3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32%</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E594D4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2F6F5A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75F7EB95"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000268BF" w14:textId="77777777" w:rsidR="008D1DD3" w:rsidRPr="00E43CC4" w:rsidRDefault="008D1DD3" w:rsidP="008D1DD3">
            <w:pPr>
              <w:autoSpaceDE w:val="0"/>
              <w:autoSpaceDN w:val="0"/>
              <w:adjustRightInd w:val="0"/>
              <w:spacing w:line="276" w:lineRule="auto"/>
              <w:ind w:left="284"/>
              <w:rPr>
                <w:rFonts w:asciiTheme="minorHAnsi" w:hAnsiTheme="minorHAnsi" w:cstheme="minorHAnsi"/>
                <w:i/>
                <w:iCs/>
                <w:color w:val="4A4A4A"/>
                <w:sz w:val="14"/>
                <w:szCs w:val="14"/>
              </w:rPr>
            </w:pPr>
            <w:r w:rsidRPr="00E43CC4">
              <w:rPr>
                <w:rFonts w:asciiTheme="minorHAnsi" w:hAnsiTheme="minorHAnsi" w:cstheme="minorHAnsi"/>
                <w:i/>
                <w:iCs/>
                <w:color w:val="4A4A4A"/>
                <w:sz w:val="14"/>
                <w:szCs w:val="14"/>
              </w:rPr>
              <w:t>Australia and New Zealand</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779247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D78516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0BD7CD5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0ED2BE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55B9A6E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E44436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BD9D62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EFA527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439879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E12FA0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90EC06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7B9B30D4"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4315ADDD"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Landlocked developing countries (LLDCs)</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1BBBF25"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32</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AA0A95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32</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508D193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28</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500E208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22</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904014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9B1561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32</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3404F4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52F177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88%</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AA4DA11"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69%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14EBF3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509FF7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4BB0E1DC"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0BAD2DBB"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Least Developed Countries (LDCs)</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DC00407"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1A6730A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47</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03C21B5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42</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489E78B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36</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028A0E94"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055DEE2E"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F8706D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A1E7CC6"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89%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EA5B3A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77%</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5E949D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1C34813"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r w:rsidR="00E43CC4" w:rsidRPr="00E43CC4" w14:paraId="444F4576" w14:textId="77777777" w:rsidTr="008D1DD3">
        <w:trPr>
          <w:trHeight w:val="113"/>
        </w:trPr>
        <w:tc>
          <w:tcPr>
            <w:cnfStyle w:val="001000000000" w:firstRow="0" w:lastRow="0" w:firstColumn="1" w:lastColumn="0" w:oddVBand="0" w:evenVBand="0" w:oddHBand="0" w:evenHBand="0" w:firstRowFirstColumn="0" w:firstRowLastColumn="0" w:lastRowFirstColumn="0" w:lastRowLastColumn="0"/>
            <w:tcW w:w="4120" w:type="dxa"/>
            <w:tcBorders>
              <w:top w:val="single" w:sz="4" w:space="0" w:color="BDD6EE"/>
              <w:left w:val="single" w:sz="4" w:space="0" w:color="BDD6EE"/>
              <w:bottom w:val="single" w:sz="4" w:space="0" w:color="BDD6EE"/>
              <w:right w:val="single" w:sz="4" w:space="0" w:color="BDD6EE"/>
            </w:tcBorders>
            <w:noWrap/>
            <w:vAlign w:val="center"/>
            <w:hideMark/>
          </w:tcPr>
          <w:p w14:paraId="5BD59068" w14:textId="77777777" w:rsidR="008D1DD3" w:rsidRPr="00E43CC4" w:rsidRDefault="008D1DD3" w:rsidP="008D1DD3">
            <w:pPr>
              <w:autoSpaceDE w:val="0"/>
              <w:autoSpaceDN w:val="0"/>
              <w:adjustRightInd w:val="0"/>
              <w:spacing w:line="276" w:lineRule="auto"/>
              <w:rPr>
                <w:rFonts w:asciiTheme="minorHAnsi" w:hAnsiTheme="minorHAnsi" w:cstheme="minorHAnsi"/>
                <w:color w:val="4A4A4A"/>
                <w:sz w:val="14"/>
                <w:szCs w:val="14"/>
              </w:rPr>
            </w:pPr>
            <w:r w:rsidRPr="00E43CC4">
              <w:rPr>
                <w:rFonts w:asciiTheme="minorHAnsi" w:hAnsiTheme="minorHAnsi" w:cstheme="minorHAnsi"/>
                <w:color w:val="4A4A4A"/>
                <w:sz w:val="14"/>
                <w:szCs w:val="14"/>
              </w:rPr>
              <w:t>Small island developing States (SIDS)</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2B11DDAB"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6771B49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53</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102941DF"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42</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19D0D305"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27</w:t>
            </w:r>
          </w:p>
        </w:tc>
        <w:tc>
          <w:tcPr>
            <w:tcW w:w="780" w:type="dxa"/>
            <w:tcBorders>
              <w:top w:val="single" w:sz="4" w:space="0" w:color="BDD6EE"/>
              <w:left w:val="single" w:sz="4" w:space="0" w:color="BDD6EE"/>
              <w:bottom w:val="single" w:sz="4" w:space="0" w:color="BDD6EE"/>
              <w:right w:val="single" w:sz="4" w:space="0" w:color="BDD6EE"/>
            </w:tcBorders>
            <w:vAlign w:val="center"/>
            <w:hideMark/>
          </w:tcPr>
          <w:p w14:paraId="7B3C137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12</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AC3ECB0"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595BECC9"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697B47C"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79%</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74F3CE3D"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51%</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483BE828"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23%</w:t>
            </w:r>
          </w:p>
        </w:tc>
        <w:tc>
          <w:tcPr>
            <w:tcW w:w="780" w:type="dxa"/>
            <w:tcBorders>
              <w:top w:val="single" w:sz="4" w:space="0" w:color="BDD6EE"/>
              <w:left w:val="single" w:sz="4" w:space="0" w:color="BDD6EE"/>
              <w:bottom w:val="single" w:sz="4" w:space="0" w:color="BDD6EE"/>
              <w:right w:val="single" w:sz="4" w:space="0" w:color="BDD6EE"/>
            </w:tcBorders>
            <w:noWrap/>
            <w:vAlign w:val="center"/>
            <w:hideMark/>
          </w:tcPr>
          <w:p w14:paraId="3D4612E2" w14:textId="77777777" w:rsidR="008D1DD3" w:rsidRPr="00E43CC4" w:rsidRDefault="008D1DD3" w:rsidP="008D1DD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A4A4A"/>
                <w:sz w:val="14"/>
                <w:szCs w:val="14"/>
              </w:rPr>
            </w:pPr>
            <w:r w:rsidRPr="00E43CC4">
              <w:rPr>
                <w:rFonts w:asciiTheme="minorHAnsi" w:hAnsiTheme="minorHAnsi" w:cstheme="minorHAnsi"/>
                <w:color w:val="4A4A4A"/>
                <w:sz w:val="14"/>
                <w:szCs w:val="14"/>
              </w:rPr>
              <w:t>100%</w:t>
            </w:r>
          </w:p>
        </w:tc>
      </w:tr>
    </w:tbl>
    <w:p w14:paraId="2D0542F7" w14:textId="33589514" w:rsidR="00D51E7C" w:rsidRPr="00E43CC4" w:rsidRDefault="00D51E7C" w:rsidP="00576CFA">
      <w:pPr>
        <w:pStyle w:val="MText"/>
        <w:rPr>
          <w:rFonts w:cstheme="minorHAnsi"/>
          <w:highlight w:val="cyan"/>
        </w:rPr>
      </w:pPr>
    </w:p>
    <w:p w14:paraId="5853D6F7" w14:textId="30881D60" w:rsidR="00D51E7C" w:rsidRPr="00E43CC4" w:rsidRDefault="00D51E7C" w:rsidP="00576CFA">
      <w:pPr>
        <w:pStyle w:val="MText"/>
        <w:rPr>
          <w:rFonts w:cstheme="minorHAnsi"/>
        </w:rPr>
      </w:pPr>
      <w:r w:rsidRPr="00E43CC4">
        <w:rPr>
          <w:rFonts w:cstheme="minorHAnsi"/>
        </w:rPr>
        <w:t>Time series:</w:t>
      </w:r>
    </w:p>
    <w:p w14:paraId="13FA6413"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2000, 2010, 2015, 2016, 2017, 2018, 2019, 2020 </w:t>
      </w:r>
    </w:p>
    <w:p w14:paraId="760C013A" w14:textId="41BCA21E" w:rsidR="00D51E7C" w:rsidRPr="00E43CC4" w:rsidRDefault="00D51E7C" w:rsidP="00576CFA">
      <w:pPr>
        <w:pStyle w:val="MText"/>
        <w:rPr>
          <w:rFonts w:cstheme="minorHAnsi"/>
          <w:highlight w:val="cyan"/>
        </w:rPr>
      </w:pPr>
    </w:p>
    <w:p w14:paraId="72C7C370" w14:textId="3864FA8D" w:rsidR="00D51E7C" w:rsidRPr="00E43CC4" w:rsidRDefault="00D51E7C" w:rsidP="00576CFA">
      <w:pPr>
        <w:pStyle w:val="MText"/>
        <w:rPr>
          <w:rFonts w:cstheme="minorHAnsi"/>
        </w:rPr>
      </w:pPr>
      <w:r w:rsidRPr="00E43CC4">
        <w:rPr>
          <w:rFonts w:cstheme="minorHAnsi"/>
        </w:rPr>
        <w:t>Disaggregation:</w:t>
      </w:r>
    </w:p>
    <w:p w14:paraId="089CA668"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No further disaggregation of this indicator. </w:t>
      </w:r>
    </w:p>
    <w:p w14:paraId="42E8CA56" w14:textId="61ADFCEE" w:rsidR="00D51E7C" w:rsidRPr="00E43CC4" w:rsidRDefault="00D51E7C" w:rsidP="00576CFA">
      <w:pPr>
        <w:pStyle w:val="MText"/>
        <w:rPr>
          <w:rFonts w:cstheme="minorHAnsi"/>
        </w:rPr>
      </w:pPr>
    </w:p>
    <w:p w14:paraId="4D0520F7" w14:textId="11F0E737" w:rsidR="00382CF3" w:rsidRPr="00E43CC4" w:rsidRDefault="00B31E2C" w:rsidP="000412A0">
      <w:pPr>
        <w:pStyle w:val="MHeader"/>
        <w:spacing w:after="100"/>
        <w:rPr>
          <w:rFonts w:cstheme="minorHAnsi"/>
        </w:rPr>
      </w:pPr>
      <w:r w:rsidRPr="00E43CC4">
        <w:rPr>
          <w:rFonts w:cstheme="minorHAnsi"/>
        </w:rPr>
        <w:t>6. Comparability / d</w:t>
      </w:r>
      <w:r w:rsidR="00576CFA" w:rsidRPr="00E43CC4">
        <w:rPr>
          <w:rFonts w:cstheme="minorHAnsi"/>
        </w:rPr>
        <w:t>eviatio</w:t>
      </w:r>
      <w:r w:rsidR="00382CF3" w:rsidRPr="00E43CC4">
        <w:rPr>
          <w:rFonts w:cstheme="minorHAnsi"/>
        </w:rPr>
        <w:t>n from international standards</w:t>
      </w:r>
    </w:p>
    <w:p w14:paraId="3595E072" w14:textId="371D2893" w:rsidR="00D51E7C" w:rsidRPr="00E43CC4" w:rsidRDefault="00D51E7C" w:rsidP="00576CFA">
      <w:pPr>
        <w:pStyle w:val="MText"/>
        <w:rPr>
          <w:rFonts w:cstheme="minorHAnsi"/>
        </w:rPr>
      </w:pPr>
      <w:r w:rsidRPr="00E43CC4">
        <w:rPr>
          <w:rFonts w:cstheme="minorHAnsi"/>
        </w:rPr>
        <w:t>Sources of discrepancies:</w:t>
      </w:r>
    </w:p>
    <w:p w14:paraId="57E89ABA"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national figures in the database are reported by the countries themselves following a standardized format, definitions and reporting years, thus eliminating any discrepancies between global and national figures. The reporting template requests that countries provide the full reference for original data </w:t>
      </w:r>
      <w:r w:rsidRPr="00E43CC4">
        <w:rPr>
          <w:rFonts w:eastAsia="Calibri" w:cstheme="minorHAnsi"/>
          <w:color w:val="4A4A4A"/>
          <w:sz w:val="21"/>
          <w:szCs w:val="21"/>
          <w:lang w:val="en-US" w:eastAsia="en-US"/>
        </w:rPr>
        <w:lastRenderedPageBreak/>
        <w:t xml:space="preserve">sources as well as national definitions and terminology. Separate sections in the template 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 </w:t>
      </w:r>
    </w:p>
    <w:p w14:paraId="1184BD3F"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Regarding the data on forest area under an independently verified forest management certification scheme, these are usually not part of official national statistics, and are maintained by local offices of the respective certification schemes. They in turn report their data to their head offices. As certified forest area is dynamic and can change monthly as some certificates expire and new certificates come. Therefore, the data are requested to correspond to the end of June each year. However, data are not always reported by the local offices according to that date. </w:t>
      </w:r>
    </w:p>
    <w:p w14:paraId="5AB6DD91" w14:textId="28BB2B6C" w:rsidR="00F719A8" w:rsidRPr="00E43CC4" w:rsidRDefault="00F719A8" w:rsidP="00576CFA">
      <w:pPr>
        <w:pStyle w:val="MText"/>
        <w:rPr>
          <w:rFonts w:cstheme="minorHAnsi"/>
        </w:rPr>
      </w:pPr>
    </w:p>
    <w:p w14:paraId="76DF099C" w14:textId="703C09F1" w:rsidR="00382CF3" w:rsidRPr="00E43CC4" w:rsidRDefault="00576CFA" w:rsidP="000412A0">
      <w:pPr>
        <w:pStyle w:val="MHeader"/>
        <w:spacing w:after="100"/>
        <w:rPr>
          <w:rFonts w:cstheme="minorHAnsi"/>
        </w:rPr>
      </w:pPr>
      <w:r w:rsidRPr="00E43CC4">
        <w:rPr>
          <w:rFonts w:cstheme="minorHAnsi"/>
        </w:rPr>
        <w:t>7</w:t>
      </w:r>
      <w:r w:rsidR="00382CF3" w:rsidRPr="00E43CC4">
        <w:rPr>
          <w:rFonts w:cstheme="minorHAnsi"/>
        </w:rPr>
        <w:t>. References and Documentation</w:t>
      </w:r>
    </w:p>
    <w:p w14:paraId="265EDD2D" w14:textId="77777777" w:rsidR="004C2F9D" w:rsidRPr="00957524" w:rsidRDefault="004C2F9D" w:rsidP="004C2F9D">
      <w:pPr>
        <w:autoSpaceDE w:val="0"/>
        <w:autoSpaceDN w:val="0"/>
        <w:adjustRightInd w:val="0"/>
        <w:spacing w:after="0"/>
        <w:rPr>
          <w:color w:val="000000"/>
          <w:sz w:val="21"/>
          <w:lang w:val="en-US"/>
        </w:rPr>
      </w:pPr>
      <w:r w:rsidRPr="00957524">
        <w:rPr>
          <w:b/>
          <w:color w:val="4A4A4A"/>
          <w:sz w:val="21"/>
          <w:lang w:val="en-US"/>
        </w:rPr>
        <w:t xml:space="preserve">URL: </w:t>
      </w:r>
      <w:hyperlink r:id="rId14" w:history="1">
        <w:r w:rsidRPr="00957524">
          <w:rPr>
            <w:color w:val="0563C1"/>
            <w:sz w:val="21"/>
            <w:u w:val="single"/>
            <w:lang w:val="en-US"/>
          </w:rPr>
          <w:t>http://www.fao.org/forest-resources-assessment/en/</w:t>
        </w:r>
      </w:hyperlink>
      <w:r w:rsidRPr="00957524">
        <w:rPr>
          <w:color w:val="000000"/>
          <w:sz w:val="21"/>
          <w:lang w:val="en-US"/>
        </w:rPr>
        <w:t xml:space="preserve">  </w:t>
      </w:r>
    </w:p>
    <w:p w14:paraId="2057CBE9" w14:textId="77777777" w:rsidR="004C2F9D" w:rsidRPr="00957524" w:rsidRDefault="004C2F9D" w:rsidP="004C2F9D">
      <w:pPr>
        <w:autoSpaceDE w:val="0"/>
        <w:autoSpaceDN w:val="0"/>
        <w:adjustRightInd w:val="0"/>
        <w:spacing w:after="0"/>
        <w:rPr>
          <w:color w:val="4A4A4A"/>
          <w:sz w:val="21"/>
          <w:lang w:val="en-US"/>
        </w:rPr>
      </w:pPr>
    </w:p>
    <w:p w14:paraId="633664D6" w14:textId="77777777" w:rsidR="004C2F9D" w:rsidRPr="00957524" w:rsidRDefault="004C2F9D" w:rsidP="004C2F9D">
      <w:pPr>
        <w:shd w:val="clear" w:color="auto" w:fill="FFFFFF"/>
        <w:spacing w:after="0" w:line="256" w:lineRule="auto"/>
        <w:contextualSpacing/>
        <w:rPr>
          <w:color w:val="4A4A4A"/>
          <w:sz w:val="21"/>
          <w:lang w:val="en-US"/>
        </w:rPr>
      </w:pPr>
      <w:r w:rsidRPr="00957524">
        <w:rPr>
          <w:b/>
          <w:color w:val="4A4A4A"/>
          <w:sz w:val="21"/>
          <w:lang w:val="en-US"/>
        </w:rPr>
        <w:t>References:</w:t>
      </w:r>
    </w:p>
    <w:p w14:paraId="145C147F" w14:textId="1CC07C73" w:rsidR="007A7EFD" w:rsidRPr="00957524" w:rsidRDefault="007A7EFD" w:rsidP="00E43CC4">
      <w:pPr>
        <w:shd w:val="clear" w:color="auto" w:fill="FFFFFF"/>
        <w:spacing w:after="0" w:line="256" w:lineRule="auto"/>
        <w:contextualSpacing/>
        <w:rPr>
          <w:color w:val="4A4A4A"/>
          <w:sz w:val="21"/>
          <w:lang w:val="en-US"/>
        </w:rPr>
      </w:pPr>
    </w:p>
    <w:p w14:paraId="6B07129B" w14:textId="25326892" w:rsidR="007A7EFD" w:rsidRDefault="0021071D" w:rsidP="00E43CC4">
      <w:pPr>
        <w:shd w:val="clear" w:color="auto" w:fill="FFFFFF"/>
        <w:spacing w:after="0" w:line="256" w:lineRule="auto"/>
        <w:contextualSpacing/>
        <w:rPr>
          <w:rFonts w:eastAsia="Calibri" w:cstheme="minorHAnsi"/>
          <w:color w:val="4A4A4A"/>
          <w:sz w:val="21"/>
          <w:szCs w:val="21"/>
          <w:lang w:val="en-US" w:eastAsia="en-US"/>
        </w:rPr>
      </w:pPr>
      <w:r>
        <w:rPr>
          <w:rFonts w:eastAsia="Calibri" w:cstheme="minorHAnsi"/>
          <w:color w:val="4A4A4A"/>
          <w:sz w:val="21"/>
          <w:szCs w:val="21"/>
          <w:lang w:val="en-US" w:eastAsia="en-US"/>
        </w:rPr>
        <w:t xml:space="preserve">Global Forest Resources Assessment 2020, </w:t>
      </w:r>
      <w:r w:rsidR="007A7EFD" w:rsidRPr="0021071D">
        <w:rPr>
          <w:rFonts w:eastAsia="Calibri" w:cstheme="minorHAnsi"/>
          <w:color w:val="4A4A4A"/>
          <w:sz w:val="21"/>
          <w:szCs w:val="21"/>
          <w:lang w:val="en-US" w:eastAsia="en-US"/>
        </w:rPr>
        <w:t>Guidelines and Specifications</w:t>
      </w:r>
      <w:r w:rsidR="007A7EFD" w:rsidRPr="00E43CC4">
        <w:rPr>
          <w:rFonts w:eastAsia="Calibri" w:cstheme="minorHAnsi"/>
          <w:color w:val="4A4A4A"/>
          <w:sz w:val="21"/>
          <w:szCs w:val="21"/>
          <w:lang w:val="en-US" w:eastAsia="en-US"/>
        </w:rPr>
        <w:t xml:space="preserve"> </w:t>
      </w:r>
      <w:r w:rsidR="007A7EFD" w:rsidRPr="00E43CC4">
        <w:rPr>
          <w:rFonts w:eastAsia="Calibri" w:cstheme="minorHAnsi"/>
          <w:color w:val="000000"/>
          <w:sz w:val="21"/>
          <w:szCs w:val="21"/>
          <w:lang w:val="en-US" w:eastAsia="en-US"/>
        </w:rPr>
        <w:t>(</w:t>
      </w:r>
      <w:hyperlink r:id="rId15" w:history="1">
        <w:r w:rsidR="007A7EFD" w:rsidRPr="00E43CC4">
          <w:rPr>
            <w:rFonts w:eastAsia="Calibri" w:cstheme="minorHAnsi"/>
            <w:color w:val="0563C1"/>
            <w:sz w:val="21"/>
            <w:szCs w:val="21"/>
            <w:u w:val="single"/>
            <w:lang w:val="en-US" w:eastAsia="en-US"/>
          </w:rPr>
          <w:t>www.fao.org/3/I8699EN/i8699en.pdf</w:t>
        </w:r>
      </w:hyperlink>
      <w:r w:rsidR="007A7EFD" w:rsidRPr="00E43CC4">
        <w:rPr>
          <w:rFonts w:eastAsia="Calibri" w:cstheme="minorHAnsi"/>
          <w:color w:val="000000"/>
          <w:sz w:val="21"/>
          <w:szCs w:val="21"/>
          <w:lang w:val="en-US" w:eastAsia="en-US"/>
        </w:rPr>
        <w:t>)</w:t>
      </w:r>
    </w:p>
    <w:p w14:paraId="070D23B8" w14:textId="77777777" w:rsidR="007A7EFD" w:rsidRDefault="007A7EFD" w:rsidP="00E43CC4">
      <w:pPr>
        <w:shd w:val="clear" w:color="auto" w:fill="FFFFFF"/>
        <w:spacing w:after="0" w:line="256" w:lineRule="auto"/>
        <w:contextualSpacing/>
        <w:rPr>
          <w:rFonts w:eastAsia="Calibri" w:cstheme="minorHAnsi"/>
          <w:color w:val="4A4A4A"/>
          <w:sz w:val="21"/>
          <w:szCs w:val="21"/>
          <w:lang w:val="en-US" w:eastAsia="en-US"/>
        </w:rPr>
      </w:pPr>
    </w:p>
    <w:p w14:paraId="404AFC50" w14:textId="0FB3B1A4" w:rsidR="007A7EFD" w:rsidRDefault="0021071D" w:rsidP="00E43CC4">
      <w:pPr>
        <w:shd w:val="clear" w:color="auto" w:fill="FFFFFF"/>
        <w:spacing w:after="0" w:line="256" w:lineRule="auto"/>
        <w:contextualSpacing/>
        <w:rPr>
          <w:rFonts w:eastAsia="Calibri" w:cstheme="minorHAnsi"/>
          <w:color w:val="000000"/>
          <w:sz w:val="21"/>
          <w:szCs w:val="21"/>
          <w:lang w:val="en-US" w:eastAsia="en-US"/>
        </w:rPr>
      </w:pPr>
      <w:r>
        <w:rPr>
          <w:rFonts w:eastAsia="Calibri" w:cstheme="minorHAnsi"/>
          <w:color w:val="4A4A4A"/>
          <w:sz w:val="21"/>
          <w:szCs w:val="21"/>
          <w:lang w:val="en-US" w:eastAsia="en-US"/>
        </w:rPr>
        <w:t xml:space="preserve">Global Forest Resources Assessment 2020, </w:t>
      </w:r>
      <w:r w:rsidR="007A7EFD" w:rsidRPr="0021071D">
        <w:rPr>
          <w:rFonts w:eastAsia="Calibri" w:cstheme="minorHAnsi"/>
          <w:color w:val="4A4A4A"/>
          <w:sz w:val="21"/>
          <w:szCs w:val="21"/>
          <w:lang w:val="en-US" w:eastAsia="en-US"/>
        </w:rPr>
        <w:t>Terms and Definitions</w:t>
      </w:r>
      <w:r w:rsidR="007A7EFD" w:rsidRPr="00E43CC4">
        <w:rPr>
          <w:rFonts w:eastAsia="Calibri" w:cstheme="minorHAnsi"/>
          <w:color w:val="4A4A4A"/>
          <w:sz w:val="21"/>
          <w:szCs w:val="21"/>
          <w:lang w:val="en-US" w:eastAsia="en-US"/>
        </w:rPr>
        <w:t xml:space="preserve"> </w:t>
      </w:r>
      <w:r w:rsidR="007A7EFD" w:rsidRPr="00E43CC4">
        <w:rPr>
          <w:rFonts w:eastAsia="Calibri" w:cstheme="minorHAnsi"/>
          <w:color w:val="000000"/>
          <w:sz w:val="21"/>
          <w:szCs w:val="21"/>
          <w:lang w:val="en-US" w:eastAsia="en-US"/>
        </w:rPr>
        <w:t>(</w:t>
      </w:r>
      <w:hyperlink r:id="rId16" w:history="1">
        <w:r w:rsidR="007A7EFD" w:rsidRPr="00E43CC4">
          <w:rPr>
            <w:rFonts w:eastAsia="Calibri" w:cstheme="minorHAnsi"/>
            <w:color w:val="0563C1"/>
            <w:sz w:val="21"/>
            <w:szCs w:val="21"/>
            <w:u w:val="single"/>
            <w:lang w:val="en-US" w:eastAsia="en-US"/>
          </w:rPr>
          <w:t>www.fao.org/3/I8661EN/i8661en.pdf</w:t>
        </w:r>
      </w:hyperlink>
      <w:r w:rsidR="007A7EFD" w:rsidRPr="00E43CC4">
        <w:rPr>
          <w:rFonts w:eastAsia="Calibri" w:cstheme="minorHAnsi"/>
          <w:color w:val="000000"/>
          <w:sz w:val="21"/>
          <w:szCs w:val="21"/>
          <w:lang w:val="en-US" w:eastAsia="en-US"/>
        </w:rPr>
        <w:t>).</w:t>
      </w:r>
    </w:p>
    <w:p w14:paraId="7CF67452" w14:textId="15D96A53" w:rsidR="007A7EFD" w:rsidRDefault="007A7EFD">
      <w:pPr>
        <w:rPr>
          <w:rFonts w:eastAsia="Calibri" w:cstheme="minorHAnsi"/>
          <w:color w:val="000000"/>
          <w:sz w:val="21"/>
          <w:szCs w:val="21"/>
          <w:lang w:val="en-US" w:eastAsia="en-US"/>
        </w:rPr>
      </w:pPr>
      <w:r>
        <w:rPr>
          <w:rFonts w:eastAsia="Calibri" w:cstheme="minorHAnsi"/>
          <w:color w:val="000000"/>
          <w:sz w:val="21"/>
          <w:szCs w:val="21"/>
          <w:lang w:val="en-US" w:eastAsia="en-US"/>
        </w:rPr>
        <w:br w:type="page"/>
      </w:r>
    </w:p>
    <w:p w14:paraId="68EF9932" w14:textId="44AF45B2" w:rsidR="007A7EFD" w:rsidRPr="00282BF7" w:rsidRDefault="007A7EFD" w:rsidP="007A7EFD">
      <w:pPr>
        <w:rPr>
          <w:rFonts w:cstheme="minorHAnsi"/>
          <w:b/>
          <w:sz w:val="28"/>
        </w:rPr>
      </w:pPr>
      <w:r w:rsidRPr="00282BF7">
        <w:rPr>
          <w:rFonts w:cstheme="minorHAnsi"/>
          <w:b/>
          <w:sz w:val="28"/>
        </w:rPr>
        <w:lastRenderedPageBreak/>
        <w:t xml:space="preserve">Annex 1 – Terms and Definitions </w:t>
      </w:r>
    </w:p>
    <w:p w14:paraId="4AD51397" w14:textId="77777777" w:rsidR="007A7EFD" w:rsidRPr="00282BF7" w:rsidRDefault="007A7EFD" w:rsidP="007A7EFD">
      <w:pPr>
        <w:rPr>
          <w:rFonts w:cstheme="minorHAnsi"/>
        </w:rPr>
      </w:pPr>
    </w:p>
    <w:p w14:paraId="6B5D6E6E"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FOREST</w:t>
      </w:r>
    </w:p>
    <w:p w14:paraId="7A626559" w14:textId="77777777" w:rsidR="007A7EFD" w:rsidRPr="009F1A9E" w:rsidRDefault="007A7EFD" w:rsidP="007A7EFD">
      <w:pPr>
        <w:spacing w:before="240" w:after="240"/>
        <w:rPr>
          <w:color w:val="000000"/>
          <w:sz w:val="21"/>
        </w:rPr>
      </w:pPr>
      <w:r w:rsidRPr="009F1A9E">
        <w:rPr>
          <w:color w:val="000000"/>
          <w:sz w:val="21"/>
        </w:rPr>
        <w:t xml:space="preserve">Land spanning more than 0.5 hectares with </w:t>
      </w:r>
      <w:r w:rsidRPr="009F1A9E">
        <w:rPr>
          <w:color w:val="000000"/>
          <w:sz w:val="21"/>
          <w:u w:val="single"/>
        </w:rPr>
        <w:t>tree</w:t>
      </w:r>
      <w:r w:rsidRPr="009F1A9E">
        <w:rPr>
          <w:color w:val="000000"/>
          <w:sz w:val="21"/>
        </w:rPr>
        <w:t xml:space="preserve">s higher than 5 meters and a </w:t>
      </w:r>
      <w:r w:rsidRPr="009F1A9E">
        <w:rPr>
          <w:color w:val="000000"/>
          <w:sz w:val="21"/>
          <w:u w:val="single"/>
        </w:rPr>
        <w:t>canopy cover</w:t>
      </w:r>
      <w:r w:rsidRPr="009F1A9E">
        <w:rPr>
          <w:color w:val="000000"/>
          <w:sz w:val="21"/>
        </w:rPr>
        <w:t xml:space="preserve"> of more than 10 percent, or trees able to reach these thresholds </w:t>
      </w:r>
      <w:r w:rsidRPr="009F1A9E">
        <w:rPr>
          <w:i/>
          <w:color w:val="000000"/>
          <w:sz w:val="21"/>
        </w:rPr>
        <w:t>in situ</w:t>
      </w:r>
      <w:r w:rsidRPr="009F1A9E">
        <w:rPr>
          <w:color w:val="000000"/>
          <w:sz w:val="21"/>
        </w:rPr>
        <w:t xml:space="preserve">. It does not include land that is predominantly under agricultural or urban land use. </w:t>
      </w:r>
    </w:p>
    <w:p w14:paraId="2BD6FD0C" w14:textId="77777777" w:rsidR="007A7EFD" w:rsidRPr="00C71032" w:rsidRDefault="007A7EFD" w:rsidP="007A7EFD">
      <w:pPr>
        <w:rPr>
          <w:rFonts w:cstheme="minorHAnsi"/>
          <w:sz w:val="18"/>
          <w:szCs w:val="18"/>
          <w:u w:val="single"/>
        </w:rPr>
      </w:pPr>
      <w:r w:rsidRPr="00C71032">
        <w:rPr>
          <w:rFonts w:cstheme="minorHAnsi"/>
          <w:sz w:val="18"/>
          <w:szCs w:val="18"/>
          <w:u w:val="single"/>
        </w:rPr>
        <w:t>Explanatory notes</w:t>
      </w:r>
    </w:p>
    <w:p w14:paraId="71B6769F"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5378FC">
        <w:rPr>
          <w:rFonts w:cstheme="minorHAnsi"/>
          <w:sz w:val="18"/>
          <w:szCs w:val="18"/>
        </w:rPr>
        <w:t xml:space="preserve">Forest is determined both by the presence of trees and the absence of other predominant land uses. The trees should be able to reach a minimum height of 5 meters. </w:t>
      </w:r>
    </w:p>
    <w:p w14:paraId="7FF1939D"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71B8F6ED"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forest roads, firebreaks and other small open areas; forest in national parks, nature reserves and other protected areas such as those of specific environmental, scientific, historical, cultural or spiritual interest.</w:t>
      </w:r>
    </w:p>
    <w:p w14:paraId="5FE5DCE7"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windbreaks, shelterbelts and corridors of trees with an area of more than 0.5 hectares and width of more than 20 meters.</w:t>
      </w:r>
    </w:p>
    <w:p w14:paraId="10587F09"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abandoned shifting cultivation land with a regeneration of trees that have, or are expected to reach, a canopy cover of at least 10 percent and tree height of at least 5 meters.</w:t>
      </w:r>
    </w:p>
    <w:p w14:paraId="2E0E2C13"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areas with mangroves in tidal zones, regardless whether this area is classified as land area or not.</w:t>
      </w:r>
    </w:p>
    <w:p w14:paraId="70BDAA65"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 xml:space="preserve">Includes rubberwood, cork oak and Christmas tree plantations. </w:t>
      </w:r>
    </w:p>
    <w:p w14:paraId="373EC832"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areas with bamboo and palms provided that land use, height and canopy cover criteria are met.</w:t>
      </w:r>
    </w:p>
    <w:p w14:paraId="7E930864" w14:textId="77777777" w:rsidR="007A7EFD" w:rsidRPr="009F1A9E" w:rsidRDefault="007A7EFD" w:rsidP="00957524">
      <w:pPr>
        <w:numPr>
          <w:ilvl w:val="0"/>
          <w:numId w:val="8"/>
        </w:numPr>
        <w:suppressAutoHyphens/>
        <w:spacing w:before="80" w:after="120" w:line="240" w:lineRule="auto"/>
        <w:ind w:left="357" w:hanging="357"/>
        <w:rPr>
          <w:sz w:val="21"/>
        </w:rPr>
      </w:pPr>
      <w:r w:rsidRPr="00656DA6">
        <w:rPr>
          <w:rFonts w:cstheme="minorHAnsi"/>
          <w:sz w:val="18"/>
          <w:szCs w:val="18"/>
          <w:u w:val="single"/>
        </w:rPr>
        <w:t>Excludes</w:t>
      </w:r>
      <w:r w:rsidRPr="00656DA6">
        <w:rPr>
          <w:rFonts w:cstheme="minorHAnsi"/>
          <w:sz w:val="18"/>
          <w:szCs w:val="18"/>
        </w:rPr>
        <w:t xml:space="preserve"> tree stands in agricultural production systems, such as fruit tree plantations, oil palm plantations, olive orchards and agroforestry systems when crops are grown under tree cover. </w:t>
      </w:r>
      <w:r w:rsidRPr="00656DA6">
        <w:rPr>
          <w:rFonts w:cstheme="minorHAnsi"/>
          <w:sz w:val="18"/>
          <w:szCs w:val="18"/>
          <w:u w:val="single"/>
        </w:rPr>
        <w:t>Note:</w:t>
      </w:r>
      <w:r w:rsidRPr="00656DA6">
        <w:rPr>
          <w:rFonts w:cstheme="minorHAnsi"/>
          <w:sz w:val="18"/>
          <w:szCs w:val="18"/>
        </w:rPr>
        <w:t xml:space="preserve"> Some agroforestry systems such as the “Taungya” system where crops are grown only during the first years of the forest rotation should be classified as forest.</w:t>
      </w:r>
    </w:p>
    <w:p w14:paraId="69B5E98C" w14:textId="77777777" w:rsidR="007A7EFD" w:rsidRPr="00282BF7" w:rsidRDefault="007A7EFD" w:rsidP="007A7EFD">
      <w:pPr>
        <w:rPr>
          <w:rFonts w:cstheme="minorHAnsi"/>
        </w:rPr>
      </w:pPr>
    </w:p>
    <w:p w14:paraId="02CD9E91"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ABOVE-GROUND BIOMASS</w:t>
      </w:r>
    </w:p>
    <w:p w14:paraId="2548DA13" w14:textId="77777777" w:rsidR="007A7EFD" w:rsidRPr="009F1A9E" w:rsidRDefault="007A7EFD" w:rsidP="007A7EFD">
      <w:pPr>
        <w:spacing w:before="240" w:after="240"/>
        <w:rPr>
          <w:color w:val="000000"/>
          <w:sz w:val="21"/>
        </w:rPr>
      </w:pPr>
      <w:r w:rsidRPr="009F1A9E">
        <w:rPr>
          <w:color w:val="000000"/>
          <w:sz w:val="21"/>
        </w:rPr>
        <w:t>All living biomass above the soil including stem, stump, branches, bark, seeds, and foliage.</w:t>
      </w:r>
    </w:p>
    <w:p w14:paraId="76E2C39F" w14:textId="77777777" w:rsidR="007A7EFD" w:rsidRPr="00C71032" w:rsidRDefault="007A7EFD" w:rsidP="007A7EFD">
      <w:pPr>
        <w:rPr>
          <w:rFonts w:cstheme="minorHAnsi"/>
          <w:spacing w:val="-2"/>
          <w:sz w:val="18"/>
          <w:szCs w:val="18"/>
          <w:u w:val="single"/>
        </w:rPr>
      </w:pPr>
      <w:r w:rsidRPr="00C71032">
        <w:rPr>
          <w:rFonts w:cstheme="minorHAnsi"/>
          <w:spacing w:val="-2"/>
          <w:sz w:val="18"/>
          <w:szCs w:val="18"/>
          <w:u w:val="single"/>
        </w:rPr>
        <w:t xml:space="preserve">Explanatory note </w:t>
      </w:r>
    </w:p>
    <w:p w14:paraId="7477AEDC" w14:textId="77777777" w:rsidR="007A7EFD" w:rsidRPr="00656DA6" w:rsidRDefault="007A7EFD" w:rsidP="00957524">
      <w:pPr>
        <w:numPr>
          <w:ilvl w:val="0"/>
          <w:numId w:val="9"/>
        </w:numPr>
        <w:suppressAutoHyphens/>
        <w:spacing w:before="60" w:after="0" w:line="240" w:lineRule="auto"/>
        <w:ind w:left="357" w:hanging="357"/>
        <w:rPr>
          <w:rFonts w:cstheme="minorHAnsi"/>
          <w:spacing w:val="-2"/>
          <w:sz w:val="18"/>
          <w:szCs w:val="18"/>
        </w:rPr>
      </w:pPr>
      <w:r w:rsidRPr="005378FC">
        <w:rPr>
          <w:rFonts w:cstheme="minorHAnsi"/>
          <w:spacing w:val="-2"/>
          <w:sz w:val="18"/>
          <w:szCs w:val="18"/>
        </w:rPr>
        <w:t>In cases where forest understorey is a relatively small component of the aboveground biomass carbon pool, it is acceptable to exclude it, provided this is done in a consistent manner throughout the inventory time series.</w:t>
      </w:r>
    </w:p>
    <w:p w14:paraId="2E7C10C1" w14:textId="77777777" w:rsidR="007A7EFD" w:rsidRPr="00282BF7" w:rsidRDefault="007A7EFD" w:rsidP="007A7EFD">
      <w:pPr>
        <w:rPr>
          <w:rFonts w:cstheme="minorHAnsi"/>
        </w:rPr>
      </w:pPr>
    </w:p>
    <w:p w14:paraId="689B8611"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PROTECTED AREAS</w:t>
      </w:r>
    </w:p>
    <w:p w14:paraId="31731EBB" w14:textId="77777777" w:rsidR="007A7EFD" w:rsidRPr="009F1A9E" w:rsidRDefault="007A7EFD" w:rsidP="007A7EFD">
      <w:pPr>
        <w:spacing w:before="240" w:after="240"/>
        <w:rPr>
          <w:color w:val="000000"/>
          <w:sz w:val="21"/>
        </w:rPr>
      </w:pPr>
      <w:r w:rsidRPr="009F1A9E">
        <w:rPr>
          <w:color w:val="000000"/>
          <w:sz w:val="21"/>
        </w:rPr>
        <w:t>Areas especially dedicated to the protection and maintenance of biological diversity, and of natural and associated cultural resources, and managed through legal or other effective means.</w:t>
      </w:r>
    </w:p>
    <w:p w14:paraId="286EBCA2" w14:textId="77777777" w:rsidR="007A7EFD" w:rsidRPr="00282BF7" w:rsidRDefault="007A7EFD" w:rsidP="007A7EFD">
      <w:pPr>
        <w:rPr>
          <w:rFonts w:cstheme="minorHAnsi"/>
        </w:rPr>
      </w:pPr>
    </w:p>
    <w:p w14:paraId="3B475E61" w14:textId="77777777" w:rsidR="007A7EFD" w:rsidRPr="00282BF7" w:rsidRDefault="007A7EFD" w:rsidP="007A7EFD">
      <w:pPr>
        <w:keepNext/>
        <w:snapToGrid w:val="0"/>
        <w:rPr>
          <w:rFonts w:cstheme="minorHAnsi"/>
          <w:b/>
          <w:color w:val="365F91" w:themeColor="accent1" w:themeShade="BF"/>
          <w:sz w:val="20"/>
          <w:szCs w:val="20"/>
        </w:rPr>
      </w:pPr>
      <w:r w:rsidRPr="00282BF7">
        <w:rPr>
          <w:rFonts w:cstheme="minorHAnsi"/>
          <w:b/>
          <w:color w:val="365F91" w:themeColor="accent1" w:themeShade="BF"/>
          <w:sz w:val="20"/>
          <w:szCs w:val="20"/>
        </w:rPr>
        <w:lastRenderedPageBreak/>
        <w:t>FOREST AREA WITHIN PROTECTED AREAS</w:t>
      </w:r>
    </w:p>
    <w:p w14:paraId="3BFC8CAD" w14:textId="77777777" w:rsidR="007A7EFD" w:rsidRPr="009F1A9E" w:rsidRDefault="007A7EFD" w:rsidP="007A7EFD">
      <w:pPr>
        <w:spacing w:before="240" w:after="240"/>
        <w:rPr>
          <w:color w:val="000000"/>
          <w:sz w:val="21"/>
        </w:rPr>
      </w:pPr>
      <w:r w:rsidRPr="009F1A9E">
        <w:rPr>
          <w:color w:val="000000"/>
          <w:sz w:val="21"/>
        </w:rPr>
        <w:t xml:space="preserve">Forest area within formally established protected areas independently of the purpose for which the protected areas were established. </w:t>
      </w:r>
    </w:p>
    <w:p w14:paraId="62AD8FBA" w14:textId="77777777" w:rsidR="007A7EFD" w:rsidRPr="00C71032" w:rsidRDefault="007A7EFD" w:rsidP="007A7EFD">
      <w:pPr>
        <w:rPr>
          <w:rFonts w:cstheme="minorHAnsi"/>
          <w:sz w:val="18"/>
          <w:szCs w:val="18"/>
          <w:u w:val="single"/>
        </w:rPr>
      </w:pPr>
      <w:r w:rsidRPr="00C71032">
        <w:rPr>
          <w:rFonts w:cstheme="minorHAnsi"/>
          <w:sz w:val="18"/>
          <w:szCs w:val="18"/>
          <w:u w:val="single"/>
        </w:rPr>
        <w:t>Explanatory notes</w:t>
      </w:r>
    </w:p>
    <w:p w14:paraId="376FCC54" w14:textId="77777777" w:rsidR="007A7EFD" w:rsidRPr="00656DA6" w:rsidRDefault="007A7EFD" w:rsidP="00957524">
      <w:pPr>
        <w:numPr>
          <w:ilvl w:val="0"/>
          <w:numId w:val="10"/>
        </w:numPr>
        <w:suppressAutoHyphens/>
        <w:spacing w:before="60" w:after="0" w:line="240" w:lineRule="auto"/>
        <w:rPr>
          <w:rFonts w:cstheme="minorHAnsi"/>
          <w:sz w:val="18"/>
          <w:szCs w:val="18"/>
        </w:rPr>
      </w:pPr>
      <w:r w:rsidRPr="005378FC">
        <w:rPr>
          <w:rFonts w:cstheme="minorHAnsi"/>
          <w:sz w:val="18"/>
          <w:szCs w:val="18"/>
        </w:rPr>
        <w:t xml:space="preserve">Includes </w:t>
      </w:r>
      <w:r w:rsidRPr="00656DA6">
        <w:rPr>
          <w:rFonts w:cstheme="minorHAnsi"/>
          <w:sz w:val="18"/>
          <w:szCs w:val="18"/>
        </w:rPr>
        <w:t>IUCN Categories I – IV</w:t>
      </w:r>
    </w:p>
    <w:p w14:paraId="56FE92B9" w14:textId="77777777" w:rsidR="007A7EFD" w:rsidRPr="00656DA6" w:rsidRDefault="007A7EFD" w:rsidP="00957524">
      <w:pPr>
        <w:numPr>
          <w:ilvl w:val="0"/>
          <w:numId w:val="10"/>
        </w:numPr>
        <w:suppressAutoHyphens/>
        <w:spacing w:before="60" w:after="0" w:line="240" w:lineRule="auto"/>
        <w:rPr>
          <w:rFonts w:cstheme="minorHAnsi"/>
          <w:sz w:val="18"/>
          <w:szCs w:val="18"/>
        </w:rPr>
      </w:pPr>
      <w:r w:rsidRPr="00656DA6">
        <w:rPr>
          <w:rFonts w:cstheme="minorHAnsi"/>
          <w:sz w:val="18"/>
          <w:szCs w:val="18"/>
          <w:u w:val="single"/>
        </w:rPr>
        <w:t>Excludes</w:t>
      </w:r>
      <w:r w:rsidRPr="00656DA6">
        <w:rPr>
          <w:rFonts w:cstheme="minorHAnsi"/>
          <w:sz w:val="18"/>
          <w:szCs w:val="18"/>
        </w:rPr>
        <w:t xml:space="preserve"> IUCN Categories V-VI</w:t>
      </w:r>
    </w:p>
    <w:p w14:paraId="7F4FA5BC" w14:textId="77777777" w:rsidR="007A7EFD" w:rsidRPr="009F1A9E" w:rsidRDefault="007A7EFD" w:rsidP="007A7EFD">
      <w:pPr>
        <w:spacing w:before="60"/>
        <w:rPr>
          <w:sz w:val="21"/>
        </w:rPr>
      </w:pPr>
    </w:p>
    <w:p w14:paraId="2D961808"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FOREST AREA WITH MANAGEMENT PLAN</w:t>
      </w:r>
    </w:p>
    <w:p w14:paraId="7224B2C2" w14:textId="77777777" w:rsidR="007A7EFD" w:rsidRPr="009F1A9E" w:rsidRDefault="007A7EFD" w:rsidP="007A7EFD">
      <w:pPr>
        <w:spacing w:before="240" w:after="240"/>
        <w:rPr>
          <w:color w:val="000000"/>
          <w:sz w:val="21"/>
        </w:rPr>
      </w:pPr>
      <w:r w:rsidRPr="009F1A9E">
        <w:rPr>
          <w:color w:val="000000"/>
          <w:sz w:val="21"/>
        </w:rPr>
        <w:t xml:space="preserve">Forest area that has a long-term documented management plan, aiming at defined management goals, which is periodically revised. </w:t>
      </w:r>
    </w:p>
    <w:p w14:paraId="04EAC41A" w14:textId="77777777" w:rsidR="007A7EFD" w:rsidRPr="00282BF7" w:rsidRDefault="007A7EFD" w:rsidP="007A7EFD">
      <w:pPr>
        <w:rPr>
          <w:rFonts w:cstheme="minorHAnsi"/>
          <w:sz w:val="18"/>
          <w:u w:val="single"/>
        </w:rPr>
      </w:pPr>
      <w:r w:rsidRPr="00282BF7">
        <w:rPr>
          <w:rFonts w:cstheme="minorHAnsi"/>
          <w:sz w:val="18"/>
          <w:u w:val="single"/>
        </w:rPr>
        <w:t>Explanatory notes</w:t>
      </w:r>
    </w:p>
    <w:p w14:paraId="3D71C43B" w14:textId="77777777" w:rsidR="007A7EFD" w:rsidRPr="00282BF7" w:rsidRDefault="007A7EFD" w:rsidP="00957524">
      <w:pPr>
        <w:numPr>
          <w:ilvl w:val="0"/>
          <w:numId w:val="11"/>
        </w:numPr>
        <w:tabs>
          <w:tab w:val="clear" w:pos="360"/>
        </w:tabs>
        <w:suppressAutoHyphens/>
        <w:spacing w:before="60" w:after="0" w:line="240" w:lineRule="auto"/>
        <w:rPr>
          <w:rFonts w:cstheme="minorHAnsi"/>
          <w:sz w:val="18"/>
          <w:szCs w:val="20"/>
        </w:rPr>
      </w:pPr>
      <w:r w:rsidRPr="00282BF7">
        <w:rPr>
          <w:rFonts w:cstheme="minorHAnsi"/>
          <w:sz w:val="18"/>
          <w:szCs w:val="20"/>
        </w:rPr>
        <w:t>A forest area with management plan may refer to forest management unit level or aggregated forest management unit level (forest blocks, farms, enterprises, watersheds, municipalities, or wider units).</w:t>
      </w:r>
    </w:p>
    <w:p w14:paraId="5081DA68" w14:textId="77777777" w:rsidR="007A7EFD" w:rsidRPr="00282BF7" w:rsidRDefault="007A7EFD" w:rsidP="00957524">
      <w:pPr>
        <w:numPr>
          <w:ilvl w:val="0"/>
          <w:numId w:val="11"/>
        </w:numPr>
        <w:tabs>
          <w:tab w:val="clear" w:pos="360"/>
        </w:tabs>
        <w:suppressAutoHyphens/>
        <w:spacing w:before="60" w:after="0" w:line="240" w:lineRule="auto"/>
        <w:rPr>
          <w:rFonts w:cstheme="minorHAnsi"/>
          <w:sz w:val="18"/>
          <w:szCs w:val="20"/>
        </w:rPr>
      </w:pPr>
      <w:r w:rsidRPr="00282BF7">
        <w:rPr>
          <w:rFonts w:cstheme="minorHAnsi"/>
          <w:sz w:val="18"/>
          <w:szCs w:val="20"/>
        </w:rPr>
        <w:t>A management plan must include adequate detail on operations planned for individual operational units (stands or compartments) but may also provide general strategies and activities planned to reach management goals.</w:t>
      </w:r>
    </w:p>
    <w:p w14:paraId="20A4B2DB" w14:textId="77777777" w:rsidR="007A7EFD" w:rsidRPr="00282BF7" w:rsidRDefault="007A7EFD" w:rsidP="00957524">
      <w:pPr>
        <w:numPr>
          <w:ilvl w:val="0"/>
          <w:numId w:val="11"/>
        </w:numPr>
        <w:tabs>
          <w:tab w:val="clear" w:pos="360"/>
        </w:tabs>
        <w:suppressAutoHyphens/>
        <w:spacing w:before="60" w:after="0" w:line="240" w:lineRule="auto"/>
        <w:rPr>
          <w:rFonts w:cstheme="minorHAnsi"/>
          <w:sz w:val="18"/>
          <w:szCs w:val="20"/>
        </w:rPr>
      </w:pPr>
      <w:r w:rsidRPr="00282BF7">
        <w:rPr>
          <w:rFonts w:cstheme="minorHAnsi"/>
          <w:sz w:val="18"/>
          <w:szCs w:val="20"/>
        </w:rPr>
        <w:t>Includes forest area in protected areas with management plan.</w:t>
      </w:r>
    </w:p>
    <w:p w14:paraId="696E44B0" w14:textId="77777777" w:rsidR="007A7EFD" w:rsidRPr="00282BF7" w:rsidRDefault="007A7EFD" w:rsidP="007A7EFD">
      <w:pPr>
        <w:spacing w:before="60"/>
        <w:rPr>
          <w:rFonts w:cstheme="minorHAnsi"/>
          <w:sz w:val="18"/>
          <w:szCs w:val="20"/>
        </w:rPr>
      </w:pPr>
    </w:p>
    <w:p w14:paraId="464DF891"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INDEPENDENTLY VERIFIED FOREST MANAGEMENT CERTIFICATION</w:t>
      </w:r>
    </w:p>
    <w:p w14:paraId="3845AA58" w14:textId="77777777" w:rsidR="007A7EFD" w:rsidRPr="009F1A9E" w:rsidRDefault="007A7EFD" w:rsidP="007A7EFD">
      <w:pPr>
        <w:spacing w:before="240" w:after="240"/>
        <w:rPr>
          <w:color w:val="000000"/>
          <w:sz w:val="21"/>
        </w:rPr>
      </w:pPr>
      <w:r w:rsidRPr="009F1A9E">
        <w:rPr>
          <w:color w:val="000000"/>
          <w:sz w:val="21"/>
        </w:rPr>
        <w:t>Forest area certified under a forest management certification scheme with published standards and is independently verified by a third-party.</w:t>
      </w:r>
    </w:p>
    <w:p w14:paraId="63A4B960" w14:textId="77777777" w:rsidR="007A7EFD" w:rsidRPr="00282BF7" w:rsidRDefault="007A7EFD" w:rsidP="007A7EFD">
      <w:pPr>
        <w:rPr>
          <w:rFonts w:cstheme="minorHAnsi"/>
          <w:b/>
          <w:color w:val="000000"/>
          <w:sz w:val="18"/>
          <w:szCs w:val="20"/>
        </w:rPr>
      </w:pPr>
      <w:r w:rsidRPr="00282BF7">
        <w:rPr>
          <w:rFonts w:cstheme="minorHAnsi"/>
          <w:b/>
          <w:color w:val="000000"/>
          <w:sz w:val="18"/>
          <w:szCs w:val="20"/>
        </w:rPr>
        <w:br w:type="page"/>
      </w:r>
    </w:p>
    <w:p w14:paraId="416875AF" w14:textId="77777777" w:rsidR="007A7EFD" w:rsidRPr="00282BF7" w:rsidRDefault="007A7EFD" w:rsidP="007A7EFD">
      <w:pPr>
        <w:rPr>
          <w:rFonts w:eastAsia="Times New Roman" w:cstheme="minorHAnsi"/>
          <w:b/>
          <w:sz w:val="28"/>
          <w:szCs w:val="24"/>
          <w:lang w:eastAsia="en-GB"/>
        </w:rPr>
      </w:pPr>
      <w:r w:rsidRPr="00282BF7">
        <w:rPr>
          <w:rFonts w:eastAsia="Times New Roman" w:cstheme="minorHAnsi"/>
          <w:b/>
          <w:sz w:val="28"/>
          <w:szCs w:val="24"/>
          <w:lang w:eastAsia="en-GB"/>
        </w:rPr>
        <w:lastRenderedPageBreak/>
        <w:t>Annex 2 – Methodology</w:t>
      </w:r>
    </w:p>
    <w:p w14:paraId="5F77A44C" w14:textId="77777777" w:rsidR="007A7EFD" w:rsidRPr="00957524" w:rsidRDefault="007A7EFD" w:rsidP="007A7EFD">
      <w:pPr>
        <w:rPr>
          <w:b/>
          <w:sz w:val="21"/>
        </w:rPr>
      </w:pPr>
      <w:r w:rsidRPr="009F1A9E">
        <w:rPr>
          <w:b/>
          <w:sz w:val="21"/>
        </w:rPr>
        <w:t xml:space="preserve">Sub-indicator 1 - </w:t>
      </w:r>
      <w:r>
        <w:rPr>
          <w:b/>
          <w:sz w:val="21"/>
        </w:rPr>
        <w:t>A</w:t>
      </w:r>
      <w:r w:rsidRPr="009F1A9E">
        <w:rPr>
          <w:b/>
          <w:sz w:val="21"/>
        </w:rPr>
        <w:t xml:space="preserve">nnual </w:t>
      </w:r>
      <w:r>
        <w:rPr>
          <w:b/>
          <w:sz w:val="21"/>
        </w:rPr>
        <w:t>f</w:t>
      </w:r>
      <w:r w:rsidRPr="009F1A9E">
        <w:rPr>
          <w:b/>
          <w:sz w:val="21"/>
        </w:rPr>
        <w:t>orest area change rate</w:t>
      </w:r>
    </w:p>
    <w:p w14:paraId="0BE6DCC4" w14:textId="77777777" w:rsidR="007A7EFD" w:rsidRPr="009F1A9E" w:rsidRDefault="007A7EFD" w:rsidP="007A7EFD">
      <w:pPr>
        <w:rPr>
          <w:sz w:val="21"/>
        </w:rPr>
      </w:pPr>
      <w:r w:rsidRPr="009F1A9E">
        <w:rPr>
          <w:sz w:val="21"/>
          <w:u w:val="single"/>
        </w:rPr>
        <w:t>Unit</w:t>
      </w:r>
      <w:r w:rsidRPr="009F1A9E">
        <w:rPr>
          <w:sz w:val="21"/>
        </w:rPr>
        <w:t>: Percent</w:t>
      </w:r>
    </w:p>
    <w:p w14:paraId="32B006EC" w14:textId="77777777" w:rsidR="007A7EFD" w:rsidRPr="009F1A9E" w:rsidRDefault="007A7EFD" w:rsidP="007A7EFD">
      <w:pPr>
        <w:rPr>
          <w:sz w:val="21"/>
        </w:rPr>
      </w:pPr>
      <w:r w:rsidRPr="009F1A9E">
        <w:rPr>
          <w:sz w:val="21"/>
          <w:u w:val="single"/>
        </w:rPr>
        <w:t>Reference period:</w:t>
      </w:r>
      <w:r w:rsidRPr="009F1A9E">
        <w:rPr>
          <w:sz w:val="21"/>
        </w:rPr>
        <w:t xml:space="preserve"> </w:t>
      </w:r>
      <w:r>
        <w:rPr>
          <w:sz w:val="21"/>
        </w:rPr>
        <w:t>2010-2020</w:t>
      </w:r>
    </w:p>
    <w:p w14:paraId="26065CA9" w14:textId="77777777" w:rsidR="007A7EFD" w:rsidRDefault="007A7EFD" w:rsidP="007A7EFD">
      <w:pPr>
        <w:rPr>
          <w:sz w:val="21"/>
        </w:rPr>
      </w:pPr>
      <w:r w:rsidRPr="009F1A9E">
        <w:rPr>
          <w:sz w:val="21"/>
          <w:u w:val="single"/>
        </w:rPr>
        <w:t>Method of estimation:</w:t>
      </w:r>
      <w:r w:rsidRPr="009F1A9E">
        <w:rPr>
          <w:sz w:val="21"/>
        </w:rPr>
        <w:t xml:space="preserve"> Compound </w:t>
      </w:r>
      <w:r>
        <w:rPr>
          <w:rFonts w:eastAsia="Calibri" w:cstheme="minorHAnsi"/>
          <w:sz w:val="21"/>
          <w:szCs w:val="21"/>
        </w:rPr>
        <w:t>annual change rate</w:t>
      </w:r>
      <w:r w:rsidRPr="00656DA6">
        <w:rPr>
          <w:rFonts w:eastAsia="Calibri" w:cstheme="minorHAnsi"/>
          <w:sz w:val="21"/>
          <w:szCs w:val="21"/>
        </w:rPr>
        <w:t xml:space="preserve"> </w:t>
      </w:r>
      <w:r w:rsidRPr="009F1A9E">
        <w:rPr>
          <w:sz w:val="21"/>
        </w:rPr>
        <w:t>formula</w:t>
      </w:r>
      <w:r>
        <w:rPr>
          <w:sz w:val="21"/>
        </w:rPr>
        <w:t xml:space="preserve"> as follows:</w:t>
      </w:r>
    </w:p>
    <w:p w14:paraId="5D1D7976" w14:textId="77777777" w:rsidR="007A7EFD" w:rsidRDefault="007A7EFD" w:rsidP="007A7EFD">
      <w:pPr>
        <w:pStyle w:val="CommentText"/>
        <w:ind w:left="1276"/>
      </w:pPr>
      <w:r>
        <w:t>r = [(A</w:t>
      </w:r>
      <w:r w:rsidRPr="001537FC">
        <w:rPr>
          <w:vertAlign w:val="subscript"/>
        </w:rPr>
        <w:t>t2</w:t>
      </w:r>
      <w:r>
        <w:t>/A</w:t>
      </w:r>
      <w:r w:rsidRPr="001537FC">
        <w:rPr>
          <w:vertAlign w:val="subscript"/>
        </w:rPr>
        <w:t>t1</w:t>
      </w:r>
      <w:r>
        <w:t>)</w:t>
      </w:r>
      <w:r w:rsidRPr="001537FC">
        <w:rPr>
          <w:vertAlign w:val="superscript"/>
        </w:rPr>
        <w:t>1</w:t>
      </w:r>
      <w:r>
        <w:rPr>
          <w:vertAlign w:val="superscript"/>
        </w:rPr>
        <w:t>/</w:t>
      </w:r>
      <w:r w:rsidRPr="001537FC">
        <w:rPr>
          <w:vertAlign w:val="superscript"/>
        </w:rPr>
        <w:t xml:space="preserve">(t2-t1) </w:t>
      </w:r>
      <w:r>
        <w:t>– 1]*100</w:t>
      </w:r>
    </w:p>
    <w:p w14:paraId="4EC99B4D" w14:textId="77777777" w:rsidR="007A7EFD" w:rsidRDefault="007A7EFD" w:rsidP="007A7EFD">
      <w:pPr>
        <w:pStyle w:val="CommentText"/>
        <w:ind w:left="1276"/>
      </w:pPr>
      <w:r>
        <w:t xml:space="preserve">with: </w:t>
      </w:r>
      <w:r>
        <w:tab/>
      </w:r>
    </w:p>
    <w:p w14:paraId="2757C758" w14:textId="77777777" w:rsidR="007A7EFD" w:rsidRDefault="007A7EFD" w:rsidP="007A7EFD">
      <w:pPr>
        <w:pStyle w:val="CommentText"/>
        <w:ind w:left="1996" w:firstLine="164"/>
      </w:pPr>
      <w:r>
        <w:t>r = compound annual change rate for the period t</w:t>
      </w:r>
      <w:r w:rsidRPr="00C16DC3">
        <w:rPr>
          <w:vertAlign w:val="subscript"/>
        </w:rPr>
        <w:t>1</w:t>
      </w:r>
      <w:r>
        <w:rPr>
          <w:vertAlign w:val="subscript"/>
        </w:rPr>
        <w:t xml:space="preserve"> - </w:t>
      </w:r>
      <w:r>
        <w:t>t</w:t>
      </w:r>
      <w:r w:rsidRPr="00C16DC3">
        <w:rPr>
          <w:vertAlign w:val="subscript"/>
        </w:rPr>
        <w:t>2</w:t>
      </w:r>
      <w:r>
        <w:rPr>
          <w:vertAlign w:val="subscript"/>
        </w:rPr>
        <w:t xml:space="preserve"> </w:t>
      </w:r>
    </w:p>
    <w:p w14:paraId="6D8743CC" w14:textId="77777777" w:rsidR="007A7EFD" w:rsidRPr="001537FC" w:rsidRDefault="007A7EFD" w:rsidP="007A7EFD">
      <w:pPr>
        <w:pStyle w:val="CommentText"/>
        <w:ind w:left="1832" w:firstLine="328"/>
      </w:pPr>
      <w:r>
        <w:t>t</w:t>
      </w:r>
      <w:r w:rsidRPr="00C16DC3">
        <w:rPr>
          <w:vertAlign w:val="subscript"/>
        </w:rPr>
        <w:t>i</w:t>
      </w:r>
      <w:r>
        <w:t xml:space="preserve"> = time i (year)</w:t>
      </w:r>
    </w:p>
    <w:p w14:paraId="7940D83A" w14:textId="77777777" w:rsidR="007A7EFD" w:rsidRDefault="007A7EFD" w:rsidP="007A7EFD">
      <w:pPr>
        <w:pStyle w:val="CommentText"/>
        <w:ind w:left="1996" w:firstLine="164"/>
      </w:pPr>
      <w:r>
        <w:t>A</w:t>
      </w:r>
      <w:r>
        <w:rPr>
          <w:vertAlign w:val="subscript"/>
        </w:rPr>
        <w:t xml:space="preserve">t1 </w:t>
      </w:r>
      <w:r>
        <w:t>= forest area at t</w:t>
      </w:r>
      <w:r w:rsidRPr="00C16DC3">
        <w:rPr>
          <w:vertAlign w:val="subscript"/>
        </w:rPr>
        <w:t>1</w:t>
      </w:r>
      <w:r>
        <w:rPr>
          <w:vertAlign w:val="subscript"/>
        </w:rPr>
        <w:t xml:space="preserve"> </w:t>
      </w:r>
    </w:p>
    <w:p w14:paraId="47B4114C" w14:textId="77777777" w:rsidR="007A7EFD" w:rsidRDefault="007A7EFD" w:rsidP="007A7EFD">
      <w:pPr>
        <w:pStyle w:val="CommentText"/>
        <w:ind w:left="1832" w:firstLine="328"/>
      </w:pPr>
      <w:r>
        <w:t>A</w:t>
      </w:r>
      <w:r w:rsidRPr="001537FC">
        <w:rPr>
          <w:vertAlign w:val="subscript"/>
        </w:rPr>
        <w:t>t2</w:t>
      </w:r>
      <w:r>
        <w:rPr>
          <w:vertAlign w:val="subscript"/>
        </w:rPr>
        <w:t xml:space="preserve"> </w:t>
      </w:r>
      <w:r>
        <w:t>= forest area at t</w:t>
      </w:r>
      <w:r w:rsidRPr="00C16DC3">
        <w:rPr>
          <w:vertAlign w:val="subscript"/>
        </w:rPr>
        <w:t>2</w:t>
      </w:r>
    </w:p>
    <w:p w14:paraId="62085D8F" w14:textId="77777777" w:rsidR="007A7EFD" w:rsidRPr="009F1A9E" w:rsidRDefault="007A7EFD" w:rsidP="007A7EFD">
      <w:pPr>
        <w:rPr>
          <w:sz w:val="21"/>
        </w:rPr>
      </w:pPr>
    </w:p>
    <w:p w14:paraId="75FA25B1" w14:textId="77777777" w:rsidR="007A7EFD" w:rsidRPr="009F1A9E" w:rsidRDefault="007A7EFD" w:rsidP="007A7EFD">
      <w:pPr>
        <w:rPr>
          <w:sz w:val="21"/>
          <w:u w:val="single"/>
        </w:rPr>
      </w:pPr>
      <w:r w:rsidRPr="009F1A9E">
        <w:rPr>
          <w:sz w:val="21"/>
          <w:u w:val="single"/>
        </w:rPr>
        <w:t>Translation to dashboard/traffic light:</w:t>
      </w:r>
    </w:p>
    <w:p w14:paraId="1884E2FA" w14:textId="77777777" w:rsidR="007A7EFD" w:rsidRPr="009F1A9E" w:rsidRDefault="007A7EFD" w:rsidP="007A7EFD">
      <w:pPr>
        <w:rPr>
          <w:sz w:val="21"/>
        </w:rPr>
      </w:pPr>
      <w:r w:rsidRPr="009F1A9E">
        <w:rPr>
          <w:sz w:val="21"/>
        </w:rPr>
        <w:t>The following flowchart explains the logic behind the translation of this indicator to a dashboard/traffic light:</w:t>
      </w:r>
    </w:p>
    <w:p w14:paraId="3D04450C" w14:textId="77777777" w:rsidR="007A7EFD" w:rsidRPr="00282BF7" w:rsidRDefault="007A7EFD" w:rsidP="007A7EFD">
      <w:pPr>
        <w:ind w:left="360"/>
        <w:rPr>
          <w:rFonts w:eastAsia="Calibri" w:cstheme="minorHAnsi"/>
        </w:rPr>
      </w:pPr>
      <w:r w:rsidRPr="00282BF7">
        <w:rPr>
          <w:rFonts w:eastAsia="Calibri" w:cstheme="minorHAnsi"/>
          <w:noProof/>
          <w:lang w:val="en-US" w:eastAsia="en-US"/>
        </w:rPr>
        <mc:AlternateContent>
          <mc:Choice Requires="wpg">
            <w:drawing>
              <wp:inline distT="0" distB="0" distL="0" distR="0" wp14:anchorId="41813DCC" wp14:editId="162C9E05">
                <wp:extent cx="1924050" cy="2729865"/>
                <wp:effectExtent l="19050" t="19050" r="19050" b="1333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0" cy="2729865"/>
                          <a:chOff x="0" y="0"/>
                          <a:chExt cx="28997" cy="37548"/>
                        </a:xfrm>
                      </wpg:grpSpPr>
                      <wps:wsp>
                        <wps:cNvPr id="50" name="Flowchart: Decision 32"/>
                        <wps:cNvSpPr>
                          <a:spLocks noChangeArrowheads="1"/>
                        </wps:cNvSpPr>
                        <wps:spPr bwMode="auto">
                          <a:xfrm>
                            <a:off x="0" y="0"/>
                            <a:ext cx="18287" cy="11430"/>
                          </a:xfrm>
                          <a:prstGeom prst="flowChartDecision">
                            <a:avLst/>
                          </a:prstGeom>
                          <a:solidFill>
                            <a:srgbClr val="5B9BD5"/>
                          </a:solidFill>
                          <a:ln w="12700">
                            <a:solidFill>
                              <a:srgbClr val="41719C"/>
                            </a:solidFill>
                            <a:miter lim="800000"/>
                            <a:headEnd/>
                            <a:tailEnd/>
                          </a:ln>
                        </wps:spPr>
                        <wps:txbx>
                          <w:txbxContent>
                            <w:p w14:paraId="42A7B477" w14:textId="77777777" w:rsidR="00B82BA0" w:rsidRPr="009675AD" w:rsidRDefault="00B82BA0" w:rsidP="007A7EFD">
                              <w:pPr>
                                <w:jc w:val="center"/>
                                <w:rPr>
                                  <w:sz w:val="12"/>
                                  <w:szCs w:val="12"/>
                                </w:rPr>
                              </w:pPr>
                              <w:r w:rsidRPr="009675AD">
                                <w:rPr>
                                  <w:sz w:val="12"/>
                                  <w:szCs w:val="12"/>
                                </w:rPr>
                                <w:t xml:space="preserve">Forest area </w:t>
                              </w:r>
                              <w:r>
                                <w:rPr>
                                  <w:sz w:val="12"/>
                                  <w:szCs w:val="12"/>
                                </w:rPr>
                                <w:t>change direction</w:t>
                              </w:r>
                            </w:p>
                          </w:txbxContent>
                        </wps:txbx>
                        <wps:bodyPr rot="0" vert="horz" wrap="square" lIns="91440" tIns="45720" rIns="91440" bIns="45720" anchor="ctr" anchorCtr="0" upright="1">
                          <a:noAutofit/>
                        </wps:bodyPr>
                      </wps:wsp>
                      <wps:wsp>
                        <wps:cNvPr id="51" name="Text Box 33"/>
                        <wps:cNvSpPr txBox="1">
                          <a:spLocks noChangeArrowheads="1"/>
                        </wps:cNvSpPr>
                        <wps:spPr bwMode="auto">
                          <a:xfrm>
                            <a:off x="16240" y="0"/>
                            <a:ext cx="11111" cy="4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802E0E" w14:textId="77777777" w:rsidR="00B82BA0" w:rsidRPr="009675AD" w:rsidRDefault="00B82BA0" w:rsidP="007A7EFD">
                              <w:pPr>
                                <w:spacing w:after="0"/>
                                <w:rPr>
                                  <w:sz w:val="12"/>
                                  <w:szCs w:val="12"/>
                                </w:rPr>
                              </w:pPr>
                              <w:r w:rsidRPr="009675AD">
                                <w:rPr>
                                  <w:sz w:val="12"/>
                                  <w:szCs w:val="12"/>
                                </w:rPr>
                                <w:t xml:space="preserve">Forest area stable </w:t>
                              </w:r>
                            </w:p>
                            <w:p w14:paraId="7473B669" w14:textId="77777777" w:rsidR="00B82BA0" w:rsidRPr="009675AD" w:rsidRDefault="00B82BA0" w:rsidP="007A7EFD">
                              <w:pPr>
                                <w:rPr>
                                  <w:sz w:val="12"/>
                                  <w:szCs w:val="12"/>
                                </w:rPr>
                              </w:pPr>
                              <w:r w:rsidRPr="009675AD">
                                <w:rPr>
                                  <w:sz w:val="12"/>
                                  <w:szCs w:val="12"/>
                                </w:rPr>
                                <w:t>or increasing</w:t>
                              </w:r>
                            </w:p>
                          </w:txbxContent>
                        </wps:txbx>
                        <wps:bodyPr rot="0" vert="horz" wrap="none" lIns="91440" tIns="45720" rIns="91440" bIns="45720" anchor="t" anchorCtr="0" upright="1">
                          <a:noAutofit/>
                        </wps:bodyPr>
                      </wps:wsp>
                      <wps:wsp>
                        <wps:cNvPr id="52" name="Text Box 34"/>
                        <wps:cNvSpPr txBox="1">
                          <a:spLocks noChangeArrowheads="1"/>
                        </wps:cNvSpPr>
                        <wps:spPr bwMode="auto">
                          <a:xfrm>
                            <a:off x="545" y="11327"/>
                            <a:ext cx="11430"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B37C38" w14:textId="77777777" w:rsidR="00B82BA0" w:rsidRPr="009675AD" w:rsidRDefault="00B82BA0" w:rsidP="007A7EFD">
                              <w:pPr>
                                <w:rPr>
                                  <w:sz w:val="12"/>
                                  <w:szCs w:val="12"/>
                                </w:rPr>
                              </w:pPr>
                              <w:r w:rsidRPr="009675AD">
                                <w:rPr>
                                  <w:sz w:val="12"/>
                                  <w:szCs w:val="12"/>
                                </w:rPr>
                                <w:t>Forest area decreasing</w:t>
                              </w:r>
                            </w:p>
                          </w:txbxContent>
                        </wps:txbx>
                        <wps:bodyPr rot="0" vert="horz" wrap="square" lIns="91440" tIns="45720" rIns="91440" bIns="45720" anchor="t" anchorCtr="0" upright="1">
                          <a:noAutofit/>
                        </wps:bodyPr>
                      </wps:wsp>
                      <wps:wsp>
                        <wps:cNvPr id="53" name="Flowchart: Connector 35"/>
                        <wps:cNvSpPr>
                          <a:spLocks noChangeArrowheads="1"/>
                        </wps:cNvSpPr>
                        <wps:spPr bwMode="auto">
                          <a:xfrm>
                            <a:off x="24770" y="3889"/>
                            <a:ext cx="3620" cy="3429"/>
                          </a:xfrm>
                          <a:prstGeom prst="flowChartConnector">
                            <a:avLst/>
                          </a:prstGeom>
                          <a:solidFill>
                            <a:srgbClr val="00B050"/>
                          </a:solidFill>
                          <a:ln w="12700">
                            <a:solidFill>
                              <a:srgbClr val="41719C"/>
                            </a:solidFill>
                            <a:miter lim="800000"/>
                            <a:headEnd/>
                            <a:tailEnd/>
                          </a:ln>
                        </wps:spPr>
                        <wps:bodyPr rot="0" vert="horz" wrap="square" lIns="91440" tIns="45720" rIns="91440" bIns="45720" anchor="ctr" anchorCtr="0" upright="1">
                          <a:noAutofit/>
                        </wps:bodyPr>
                      </wps:wsp>
                      <wps:wsp>
                        <wps:cNvPr id="54" name="Flowchart: Decision 36"/>
                        <wps:cNvSpPr>
                          <a:spLocks noChangeArrowheads="1"/>
                        </wps:cNvSpPr>
                        <wps:spPr bwMode="auto">
                          <a:xfrm>
                            <a:off x="0" y="16036"/>
                            <a:ext cx="18287" cy="11088"/>
                          </a:xfrm>
                          <a:prstGeom prst="flowChartDecision">
                            <a:avLst/>
                          </a:prstGeom>
                          <a:solidFill>
                            <a:srgbClr val="5B9BD5"/>
                          </a:solidFill>
                          <a:ln w="12700">
                            <a:solidFill>
                              <a:srgbClr val="41719C"/>
                            </a:solidFill>
                            <a:miter lim="800000"/>
                            <a:headEnd/>
                            <a:tailEnd/>
                          </a:ln>
                        </wps:spPr>
                        <wps:txbx>
                          <w:txbxContent>
                            <w:p w14:paraId="2282BBB3" w14:textId="77777777" w:rsidR="00B82BA0" w:rsidRPr="00A17263" w:rsidRDefault="00B82BA0" w:rsidP="007A7EFD">
                              <w:pPr>
                                <w:pStyle w:val="NormalWeb"/>
                                <w:spacing w:line="256" w:lineRule="auto"/>
                                <w:jc w:val="center"/>
                                <w:rPr>
                                  <w:rFonts w:ascii="Calibri" w:hAnsi="Calibri"/>
                                  <w:sz w:val="12"/>
                                  <w:szCs w:val="12"/>
                                </w:rPr>
                              </w:pPr>
                              <w:r w:rsidRPr="00A17263">
                                <w:rPr>
                                  <w:rFonts w:ascii="Calibri" w:eastAsia="Calibri" w:hAnsi="Calibri"/>
                                  <w:sz w:val="12"/>
                                  <w:szCs w:val="12"/>
                                </w:rPr>
                                <w:t xml:space="preserve">Change in forest area loss rate </w:t>
                              </w:r>
                            </w:p>
                          </w:txbxContent>
                        </wps:txbx>
                        <wps:bodyPr rot="0" vert="horz" wrap="square" lIns="91440" tIns="45720" rIns="91440" bIns="45720" anchor="ctr" anchorCtr="0" upright="1">
                          <a:noAutofit/>
                        </wps:bodyPr>
                      </wps:wsp>
                      <wps:wsp>
                        <wps:cNvPr id="55" name="Text Box 12"/>
                        <wps:cNvSpPr txBox="1">
                          <a:spLocks noChangeArrowheads="1"/>
                        </wps:cNvSpPr>
                        <wps:spPr bwMode="auto">
                          <a:xfrm>
                            <a:off x="16355" y="16027"/>
                            <a:ext cx="7800" cy="4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D1E4D77" w14:textId="77777777" w:rsidR="00B82BA0" w:rsidRPr="00A17263" w:rsidRDefault="00B82BA0" w:rsidP="007A7EFD">
                              <w:pPr>
                                <w:pStyle w:val="NormalWeb"/>
                                <w:spacing w:after="0" w:line="256" w:lineRule="auto"/>
                                <w:rPr>
                                  <w:rFonts w:ascii="Calibri" w:eastAsia="Calibri" w:hAnsi="Calibri"/>
                                  <w:sz w:val="12"/>
                                  <w:szCs w:val="12"/>
                                </w:rPr>
                              </w:pPr>
                              <w:r w:rsidRPr="00A17263">
                                <w:rPr>
                                  <w:rFonts w:ascii="Calibri" w:eastAsia="Calibri" w:hAnsi="Calibri"/>
                                  <w:sz w:val="12"/>
                                  <w:szCs w:val="12"/>
                                </w:rPr>
                                <w:t>Loss rate</w:t>
                              </w:r>
                            </w:p>
                            <w:p w14:paraId="0E8EC512" w14:textId="77777777" w:rsidR="00B82BA0" w:rsidRPr="00A17263" w:rsidRDefault="00B82BA0" w:rsidP="007A7EFD">
                              <w:pPr>
                                <w:pStyle w:val="NormalWeb"/>
                                <w:spacing w:line="256" w:lineRule="auto"/>
                                <w:rPr>
                                  <w:rFonts w:ascii="Calibri" w:hAnsi="Calibri"/>
                                  <w:sz w:val="12"/>
                                  <w:szCs w:val="12"/>
                                </w:rPr>
                              </w:pPr>
                              <w:r w:rsidRPr="00A17263">
                                <w:rPr>
                                  <w:rFonts w:ascii="Calibri" w:eastAsia="Calibri" w:hAnsi="Calibri"/>
                                  <w:sz w:val="12"/>
                                  <w:szCs w:val="12"/>
                                </w:rPr>
                                <w:t>decreasing</w:t>
                              </w:r>
                            </w:p>
                          </w:txbxContent>
                        </wps:txbx>
                        <wps:bodyPr rot="0" vert="horz" wrap="none" lIns="91440" tIns="45720" rIns="91440" bIns="45720" anchor="t" anchorCtr="0" upright="1">
                          <a:noAutofit/>
                        </wps:bodyPr>
                      </wps:wsp>
                      <wps:wsp>
                        <wps:cNvPr id="56" name="Text Box 12"/>
                        <wps:cNvSpPr txBox="1">
                          <a:spLocks noChangeArrowheads="1"/>
                        </wps:cNvSpPr>
                        <wps:spPr bwMode="auto">
                          <a:xfrm>
                            <a:off x="9905" y="30858"/>
                            <a:ext cx="9991" cy="4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D1A070" w14:textId="77777777" w:rsidR="00B82BA0" w:rsidRPr="00A17263" w:rsidRDefault="00B82BA0" w:rsidP="007A7EFD">
                              <w:pPr>
                                <w:pStyle w:val="NormalWeb"/>
                                <w:spacing w:after="0" w:line="254" w:lineRule="auto"/>
                                <w:rPr>
                                  <w:rFonts w:ascii="Calibri" w:eastAsia="Calibri" w:hAnsi="Calibri"/>
                                  <w:sz w:val="12"/>
                                  <w:szCs w:val="12"/>
                                </w:rPr>
                              </w:pPr>
                              <w:r w:rsidRPr="00A17263">
                                <w:rPr>
                                  <w:rFonts w:ascii="Calibri" w:eastAsia="Calibri" w:hAnsi="Calibri"/>
                                  <w:sz w:val="12"/>
                                  <w:szCs w:val="12"/>
                                </w:rPr>
                                <w:t>Loss rate stable</w:t>
                              </w:r>
                            </w:p>
                            <w:p w14:paraId="4A04A634" w14:textId="77777777" w:rsidR="00B82BA0" w:rsidRPr="00A17263" w:rsidRDefault="00B82BA0" w:rsidP="007A7EFD">
                              <w:pPr>
                                <w:pStyle w:val="NormalWeb"/>
                                <w:spacing w:line="254" w:lineRule="auto"/>
                                <w:rPr>
                                  <w:rFonts w:ascii="Calibri" w:hAnsi="Calibri"/>
                                  <w:sz w:val="12"/>
                                  <w:szCs w:val="12"/>
                                </w:rPr>
                              </w:pPr>
                              <w:r w:rsidRPr="00A17263">
                                <w:rPr>
                                  <w:rFonts w:ascii="Calibri" w:eastAsia="Calibri" w:hAnsi="Calibri"/>
                                  <w:sz w:val="12"/>
                                  <w:szCs w:val="12"/>
                                </w:rPr>
                                <w:t>or increasing</w:t>
                              </w:r>
                            </w:p>
                          </w:txbxContent>
                        </wps:txbx>
                        <wps:bodyPr rot="0" vert="horz" wrap="none" lIns="91440" tIns="45720" rIns="91440" bIns="45720" anchor="t" anchorCtr="0" upright="1">
                          <a:noAutofit/>
                        </wps:bodyPr>
                      </wps:wsp>
                      <wps:wsp>
                        <wps:cNvPr id="57" name="Flowchart: Connector 39"/>
                        <wps:cNvSpPr>
                          <a:spLocks noChangeArrowheads="1"/>
                        </wps:cNvSpPr>
                        <wps:spPr bwMode="auto">
                          <a:xfrm>
                            <a:off x="25111" y="19857"/>
                            <a:ext cx="3620" cy="3429"/>
                          </a:xfrm>
                          <a:prstGeom prst="flowChartConnector">
                            <a:avLst/>
                          </a:prstGeom>
                          <a:solidFill>
                            <a:srgbClr val="FFFF00"/>
                          </a:solidFill>
                          <a:ln w="12700">
                            <a:solidFill>
                              <a:srgbClr val="41719C"/>
                            </a:solidFill>
                            <a:miter lim="800000"/>
                            <a:headEnd/>
                            <a:tailEnd/>
                          </a:ln>
                        </wps:spPr>
                        <wps:bodyPr rot="0" vert="horz" wrap="square" lIns="91440" tIns="45720" rIns="91440" bIns="45720" anchor="ctr" anchorCtr="0" upright="1">
                          <a:noAutofit/>
                        </wps:bodyPr>
                      </wps:wsp>
                      <wps:wsp>
                        <wps:cNvPr id="58" name="Flowchart: Connector 40"/>
                        <wps:cNvSpPr>
                          <a:spLocks noChangeArrowheads="1"/>
                        </wps:cNvSpPr>
                        <wps:spPr bwMode="auto">
                          <a:xfrm>
                            <a:off x="25384" y="34119"/>
                            <a:ext cx="3613" cy="3429"/>
                          </a:xfrm>
                          <a:prstGeom prst="flowChartConnector">
                            <a:avLst/>
                          </a:prstGeom>
                          <a:solidFill>
                            <a:srgbClr val="FF0000"/>
                          </a:solidFill>
                          <a:ln w="12700">
                            <a:solidFill>
                              <a:srgbClr val="41719C"/>
                            </a:solidFill>
                            <a:miter lim="800000"/>
                            <a:headEnd/>
                            <a:tailEnd/>
                          </a:ln>
                        </wps:spPr>
                        <wps:bodyPr rot="0" vert="horz" wrap="square" lIns="91440" tIns="45720" rIns="91440" bIns="45720" anchor="ctr" anchorCtr="0" upright="1">
                          <a:noAutofit/>
                        </wps:bodyPr>
                      </wps:wsp>
                      <wps:wsp>
                        <wps:cNvPr id="59" name="Straight Arrow Connector 4"/>
                        <wps:cNvCnPr>
                          <a:cxnSpLocks noChangeShapeType="1"/>
                        </wps:cNvCnPr>
                        <wps:spPr bwMode="auto">
                          <a:xfrm>
                            <a:off x="9075" y="11464"/>
                            <a:ext cx="38" cy="4572"/>
                          </a:xfrm>
                          <a:prstGeom prst="straightConnector1">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0" name="Straight Arrow Connector 8"/>
                        <wps:cNvCnPr>
                          <a:cxnSpLocks noChangeShapeType="1"/>
                        </wps:cNvCnPr>
                        <wps:spPr bwMode="auto">
                          <a:xfrm flipV="1">
                            <a:off x="18288" y="5595"/>
                            <a:ext cx="6479" cy="128"/>
                          </a:xfrm>
                          <a:prstGeom prst="straightConnector1">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1" name="Straight Arrow Connector 9"/>
                        <wps:cNvCnPr>
                          <a:cxnSpLocks noChangeShapeType="1"/>
                        </wps:cNvCnPr>
                        <wps:spPr bwMode="auto">
                          <a:xfrm flipV="1">
                            <a:off x="18288" y="21563"/>
                            <a:ext cx="6817" cy="10"/>
                          </a:xfrm>
                          <a:prstGeom prst="straightConnector1">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2" name="Elbow Connector 24"/>
                        <wps:cNvCnPr>
                          <a:cxnSpLocks noChangeShapeType="1"/>
                        </wps:cNvCnPr>
                        <wps:spPr bwMode="auto">
                          <a:xfrm rot="16200000" flipH="1">
                            <a:off x="12931" y="23303"/>
                            <a:ext cx="8692" cy="16264"/>
                          </a:xfrm>
                          <a:prstGeom prst="bentConnector2">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1813DCC" id="Group 49" o:spid="_x0000_s1026" style="width:151.5pt;height:214.95pt;mso-position-horizontal-relative:char;mso-position-vertical-relative:line" coordsize="28997,3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">
                <v:shapetype id="_x0000_t110" coordsize="21600,21600" o:spt="110" path="m10800,l,10800,10800,21600,21600,10800xe">
                  <v:stroke joinstyle="miter"/>
                  <v:path gradientshapeok="t" o:connecttype="rect" textboxrect="5400,5400,16200,16200"/>
                </v:shapetype>
                <v:shape id="Flowchart: Decision 32" o:spid="_x0000_s1027" type="#_x0000_t110" style="position:absolute;width:18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" fillcolor="#5b9bd5" strokecolor="#41719c" strokeweight="1pt">
                  <v:textbox>
                    <w:txbxContent>
                      <w:p w14:paraId="42A7B477" w14:textId="77777777" w:rsidR="00B82BA0" w:rsidRPr="009675AD" w:rsidRDefault="00B82BA0" w:rsidP="007A7EFD">
                        <w:pPr>
                          <w:jc w:val="center"/>
                          <w:rPr>
                            <w:sz w:val="12"/>
                            <w:szCs w:val="12"/>
                          </w:rPr>
                        </w:pPr>
                        <w:r w:rsidRPr="009675AD">
                          <w:rPr>
                            <w:sz w:val="12"/>
                            <w:szCs w:val="12"/>
                          </w:rPr>
                          <w:t xml:space="preserve">Forest area </w:t>
                        </w:r>
                        <w:r>
                          <w:rPr>
                            <w:sz w:val="12"/>
                            <w:szCs w:val="12"/>
                          </w:rPr>
                          <w:t>change direction</w:t>
                        </w:r>
                      </w:p>
                    </w:txbxContent>
                  </v:textbox>
                </v:shape>
                <v:shapetype id="_x0000_t202" coordsize="21600,21600" o:spt="202" path="m,l,21600r21600,l21600,xe">
                  <v:stroke joinstyle="miter"/>
                  <v:path gradientshapeok="t" o:connecttype="rect"/>
                </v:shapetype>
                <v:shape id="Text Box 33" o:spid="_x0000_s1028" type="#_x0000_t202" style="position:absolute;left:16240;width:11111;height:4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14:paraId="74802E0E" w14:textId="77777777" w:rsidR="00B82BA0" w:rsidRPr="009675AD" w:rsidRDefault="00B82BA0" w:rsidP="007A7EFD">
                        <w:pPr>
                          <w:spacing w:after="0"/>
                          <w:rPr>
                            <w:sz w:val="12"/>
                            <w:szCs w:val="12"/>
                          </w:rPr>
                        </w:pPr>
                        <w:r w:rsidRPr="009675AD">
                          <w:rPr>
                            <w:sz w:val="12"/>
                            <w:szCs w:val="12"/>
                          </w:rPr>
                          <w:t xml:space="preserve">Forest area stable </w:t>
                        </w:r>
                      </w:p>
                      <w:p w14:paraId="7473B669" w14:textId="77777777" w:rsidR="00B82BA0" w:rsidRPr="009675AD" w:rsidRDefault="00B82BA0" w:rsidP="007A7EFD">
                        <w:pPr>
                          <w:rPr>
                            <w:sz w:val="12"/>
                            <w:szCs w:val="12"/>
                          </w:rPr>
                        </w:pPr>
                        <w:r w:rsidRPr="009675AD">
                          <w:rPr>
                            <w:sz w:val="12"/>
                            <w:szCs w:val="12"/>
                          </w:rPr>
                          <w:t>or increasing</w:t>
                        </w:r>
                      </w:p>
                    </w:txbxContent>
                  </v:textbox>
                </v:shape>
                <v:shape id="Text Box 34" o:spid="_x0000_s1029" type="#_x0000_t202" style="position:absolute;left:545;top:11327;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5BB37C38" w14:textId="77777777" w:rsidR="00B82BA0" w:rsidRPr="009675AD" w:rsidRDefault="00B82BA0" w:rsidP="007A7EFD">
                        <w:pPr>
                          <w:rPr>
                            <w:sz w:val="12"/>
                            <w:szCs w:val="12"/>
                          </w:rPr>
                        </w:pPr>
                        <w:r w:rsidRPr="009675AD">
                          <w:rPr>
                            <w:sz w:val="12"/>
                            <w:szCs w:val="12"/>
                          </w:rPr>
                          <w:t>Forest area decreasing</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30" type="#_x0000_t120" style="position:absolute;left:24770;top:3889;width:362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" fillcolor="#00b050" strokecolor="#41719c" strokeweight="1pt">
                  <v:stroke joinstyle="miter"/>
                </v:shape>
                <v:shape id="Flowchart: Decision 36" o:spid="_x0000_s1031" type="#_x0000_t110" style="position:absolute;top:16036;width:18287;height:11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" fillcolor="#5b9bd5" strokecolor="#41719c" strokeweight="1pt">
                  <v:textbox>
                    <w:txbxContent>
                      <w:p w14:paraId="2282BBB3" w14:textId="77777777" w:rsidR="00B82BA0" w:rsidRPr="00A17263" w:rsidRDefault="00B82BA0" w:rsidP="007A7EFD">
                        <w:pPr>
                          <w:pStyle w:val="NormalWeb"/>
                          <w:spacing w:line="256" w:lineRule="auto"/>
                          <w:jc w:val="center"/>
                          <w:rPr>
                            <w:rFonts w:ascii="Calibri" w:hAnsi="Calibri"/>
                            <w:sz w:val="12"/>
                            <w:szCs w:val="12"/>
                          </w:rPr>
                        </w:pPr>
                        <w:r w:rsidRPr="00A17263">
                          <w:rPr>
                            <w:rFonts w:ascii="Calibri" w:eastAsia="Calibri" w:hAnsi="Calibri"/>
                            <w:sz w:val="12"/>
                            <w:szCs w:val="12"/>
                          </w:rPr>
                          <w:t xml:space="preserve">Change in forest area loss rate </w:t>
                        </w:r>
                      </w:p>
                    </w:txbxContent>
                  </v:textbox>
                </v:shape>
                <v:shape id="Text Box 12" o:spid="_x0000_s1032" type="#_x0000_t202" style="position:absolute;left:16355;top:16027;width:7800;height:42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7D1E4D77" w14:textId="77777777" w:rsidR="00B82BA0" w:rsidRPr="00A17263" w:rsidRDefault="00B82BA0" w:rsidP="007A7EFD">
                        <w:pPr>
                          <w:pStyle w:val="NormalWeb"/>
                          <w:spacing w:after="0" w:line="256" w:lineRule="auto"/>
                          <w:rPr>
                            <w:rFonts w:ascii="Calibri" w:eastAsia="Calibri" w:hAnsi="Calibri"/>
                            <w:sz w:val="12"/>
                            <w:szCs w:val="12"/>
                          </w:rPr>
                        </w:pPr>
                        <w:r w:rsidRPr="00A17263">
                          <w:rPr>
                            <w:rFonts w:ascii="Calibri" w:eastAsia="Calibri" w:hAnsi="Calibri"/>
                            <w:sz w:val="12"/>
                            <w:szCs w:val="12"/>
                          </w:rPr>
                          <w:t>Loss rate</w:t>
                        </w:r>
                      </w:p>
                      <w:p w14:paraId="0E8EC512" w14:textId="77777777" w:rsidR="00B82BA0" w:rsidRPr="00A17263" w:rsidRDefault="00B82BA0" w:rsidP="007A7EFD">
                        <w:pPr>
                          <w:pStyle w:val="NormalWeb"/>
                          <w:spacing w:line="256" w:lineRule="auto"/>
                          <w:rPr>
                            <w:rFonts w:ascii="Calibri" w:hAnsi="Calibri"/>
                            <w:sz w:val="12"/>
                            <w:szCs w:val="12"/>
                          </w:rPr>
                        </w:pPr>
                        <w:r w:rsidRPr="00A17263">
                          <w:rPr>
                            <w:rFonts w:ascii="Calibri" w:eastAsia="Calibri" w:hAnsi="Calibri"/>
                            <w:sz w:val="12"/>
                            <w:szCs w:val="12"/>
                          </w:rPr>
                          <w:t>decreasing</w:t>
                        </w:r>
                      </w:p>
                    </w:txbxContent>
                  </v:textbox>
                </v:shape>
                <v:shape id="Text Box 12" o:spid="_x0000_s1033" type="#_x0000_t202" style="position:absolute;left:9905;top:30858;width:9991;height:4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09D1A070" w14:textId="77777777" w:rsidR="00B82BA0" w:rsidRPr="00A17263" w:rsidRDefault="00B82BA0" w:rsidP="007A7EFD">
                        <w:pPr>
                          <w:pStyle w:val="NormalWeb"/>
                          <w:spacing w:after="0" w:line="254" w:lineRule="auto"/>
                          <w:rPr>
                            <w:rFonts w:ascii="Calibri" w:eastAsia="Calibri" w:hAnsi="Calibri"/>
                            <w:sz w:val="12"/>
                            <w:szCs w:val="12"/>
                          </w:rPr>
                        </w:pPr>
                        <w:r w:rsidRPr="00A17263">
                          <w:rPr>
                            <w:rFonts w:ascii="Calibri" w:eastAsia="Calibri" w:hAnsi="Calibri"/>
                            <w:sz w:val="12"/>
                            <w:szCs w:val="12"/>
                          </w:rPr>
                          <w:t>Loss rate stable</w:t>
                        </w:r>
                      </w:p>
                      <w:p w14:paraId="4A04A634" w14:textId="77777777" w:rsidR="00B82BA0" w:rsidRPr="00A17263" w:rsidRDefault="00B82BA0" w:rsidP="007A7EFD">
                        <w:pPr>
                          <w:pStyle w:val="NormalWeb"/>
                          <w:spacing w:line="254" w:lineRule="auto"/>
                          <w:rPr>
                            <w:rFonts w:ascii="Calibri" w:hAnsi="Calibri"/>
                            <w:sz w:val="12"/>
                            <w:szCs w:val="12"/>
                          </w:rPr>
                        </w:pPr>
                        <w:r w:rsidRPr="00A17263">
                          <w:rPr>
                            <w:rFonts w:ascii="Calibri" w:eastAsia="Calibri" w:hAnsi="Calibri"/>
                            <w:sz w:val="12"/>
                            <w:szCs w:val="12"/>
                          </w:rPr>
                          <w:t>or increasing</w:t>
                        </w:r>
                      </w:p>
                    </w:txbxContent>
                  </v:textbox>
                </v:shape>
                <v:shape id="Flowchart: Connector 39" o:spid="_x0000_s1034" type="#_x0000_t120" style="position:absolute;left:25111;top:19857;width:362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" fillcolor="yellow" strokecolor="#41719c" strokeweight="1pt">
                  <v:stroke joinstyle="miter"/>
                </v:shape>
                <v:shape id="Flowchart: Connector 40" o:spid="_x0000_s1035" type="#_x0000_t120" style="position:absolute;left:25384;top:34119;width:361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" fillcolor="red" strokecolor="#41719c" strokeweight="1pt">
                  <v:stroke joinstyle="miter"/>
                </v:shape>
                <v:shapetype id="_x0000_t32" coordsize="21600,21600" o:spt="32" o:oned="t" path="m,l21600,21600e" filled="f">
                  <v:path arrowok="t" fillok="f" o:connecttype="none"/>
                  <o:lock v:ext="edit" shapetype="t"/>
                </v:shapetype>
                <v:shape id="Straight Arrow Connector 4" o:spid="_x0000_s1036" type="#_x0000_t32" style="position:absolute;left:9075;top:11464;width:38;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" strokecolor="#5b9bd5" strokeweight="1.5pt">
                  <v:stroke endarrow="block" joinstyle="miter"/>
                </v:shape>
                <v:shape id="Straight Arrow Connector 8" o:spid="_x0000_s1037" type="#_x0000_t32" style="position:absolute;left:18288;top:5595;width:6479;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" strokecolor="#5b9bd5" strokeweight="1.5pt">
                  <v:stroke endarrow="block" joinstyle="miter"/>
                </v:shape>
                <v:shape id="Straight Arrow Connector 9" o:spid="_x0000_s1038" type="#_x0000_t32" style="position:absolute;left:18288;top:21563;width:6817;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" strokecolor="#5b9bd5" strokeweight="1.5pt">
                  <v:stroke endarrow="block" joinstyle="miter"/>
                </v:shape>
                <v:shapetype id="_x0000_t33" coordsize="21600,21600" o:spt="33" o:oned="t" path="m,l21600,r,21600e" filled="f">
                  <v:stroke joinstyle="miter"/>
                  <v:path arrowok="t" fillok="f" o:connecttype="none"/>
                  <o:lock v:ext="edit" shapetype="t"/>
                </v:shapetype>
                <v:shape id="Elbow Connector 24" o:spid="_x0000_s1039" type="#_x0000_t33" style="position:absolute;left:12931;top:23303;width:8692;height:162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" strokecolor="#5b9bd5" strokeweight="1.5pt">
                  <v:stroke endarrow="block"/>
                </v:shape>
                <w10:anchorlock/>
              </v:group>
            </w:pict>
          </mc:Fallback>
        </mc:AlternateContent>
      </w:r>
    </w:p>
    <w:p w14:paraId="67D9A7FC" w14:textId="77777777" w:rsidR="007A7EFD" w:rsidRPr="009F1A9E" w:rsidRDefault="007A7EFD" w:rsidP="007A7EFD">
      <w:pPr>
        <w:rPr>
          <w:sz w:val="21"/>
        </w:rPr>
      </w:pPr>
      <w:r w:rsidRPr="009F1A9E">
        <w:rPr>
          <w:sz w:val="21"/>
        </w:rPr>
        <w:t>The forest area change direction is determined by examining the value of the forest area change rate for the most recent period, a negative value indicate a loss of forest area, a zero value means that forest area is stable and a positive value means that forest area has increased. The change in forest area loss rate</w:t>
      </w:r>
      <w:r>
        <w:rPr>
          <w:rStyle w:val="FootnoteReference"/>
          <w:sz w:val="21"/>
        </w:rPr>
        <w:footnoteReference w:id="2"/>
      </w:r>
      <w:r w:rsidRPr="009F1A9E">
        <w:rPr>
          <w:sz w:val="21"/>
        </w:rPr>
        <w:t xml:space="preserve"> is based on a comparison of the </w:t>
      </w:r>
      <w:r>
        <w:rPr>
          <w:sz w:val="21"/>
        </w:rPr>
        <w:t xml:space="preserve">annual </w:t>
      </w:r>
      <w:r w:rsidRPr="009F1A9E">
        <w:rPr>
          <w:sz w:val="21"/>
        </w:rPr>
        <w:t xml:space="preserve">forest area change rate </w:t>
      </w:r>
      <w:r>
        <w:rPr>
          <w:rFonts w:eastAsia="Calibri" w:cstheme="minorHAnsi"/>
          <w:sz w:val="21"/>
          <w:szCs w:val="21"/>
        </w:rPr>
        <w:t xml:space="preserve">for the period 2010-2020 </w:t>
      </w:r>
      <w:r w:rsidRPr="009F1A9E">
        <w:rPr>
          <w:sz w:val="21"/>
        </w:rPr>
        <w:t xml:space="preserve">with the </w:t>
      </w:r>
      <w:r>
        <w:rPr>
          <w:sz w:val="21"/>
        </w:rPr>
        <w:t xml:space="preserve">annual </w:t>
      </w:r>
      <w:r w:rsidRPr="009F1A9E">
        <w:rPr>
          <w:sz w:val="21"/>
          <w:u w:val="single"/>
        </w:rPr>
        <w:t xml:space="preserve">forest area change rate for the period </w:t>
      </w:r>
      <w:r w:rsidRPr="00656DA6">
        <w:rPr>
          <w:rFonts w:eastAsia="Calibri" w:cstheme="minorHAnsi"/>
          <w:sz w:val="21"/>
          <w:szCs w:val="21"/>
          <w:u w:val="single"/>
        </w:rPr>
        <w:t>2000-</w:t>
      </w:r>
      <w:r w:rsidRPr="009F1A9E">
        <w:rPr>
          <w:sz w:val="21"/>
          <w:u w:val="single"/>
        </w:rPr>
        <w:t>2010</w:t>
      </w:r>
      <w:r>
        <w:rPr>
          <w:sz w:val="21"/>
          <w:u w:val="single"/>
        </w:rPr>
        <w:t xml:space="preserve"> </w:t>
      </w:r>
      <w:r>
        <w:rPr>
          <w:sz w:val="21"/>
        </w:rPr>
        <w:t>(</w:t>
      </w:r>
      <w:r w:rsidRPr="009F1A9E">
        <w:rPr>
          <w:sz w:val="21"/>
          <w:u w:val="single"/>
        </w:rPr>
        <w:t>baseline</w:t>
      </w:r>
      <w:r>
        <w:rPr>
          <w:sz w:val="21"/>
          <w:u w:val="single"/>
        </w:rPr>
        <w:t>)</w:t>
      </w:r>
      <w:r w:rsidRPr="009F1A9E">
        <w:rPr>
          <w:sz w:val="21"/>
          <w:u w:val="single"/>
        </w:rPr>
        <w:t>.</w:t>
      </w:r>
    </w:p>
    <w:p w14:paraId="240E6B74" w14:textId="77777777" w:rsidR="007A7EFD" w:rsidRPr="009F1A9E" w:rsidRDefault="007A7EFD" w:rsidP="007A7EFD">
      <w:pPr>
        <w:rPr>
          <w:sz w:val="21"/>
        </w:rPr>
      </w:pPr>
    </w:p>
    <w:p w14:paraId="583D131C" w14:textId="77777777" w:rsidR="007A7EFD" w:rsidRPr="009F1A9E" w:rsidRDefault="007A7EFD" w:rsidP="007A7EFD">
      <w:pPr>
        <w:rPr>
          <w:sz w:val="21"/>
          <w:u w:val="single"/>
        </w:rPr>
      </w:pPr>
      <w:r w:rsidRPr="009F1A9E">
        <w:rPr>
          <w:sz w:val="21"/>
          <w:u w:val="single"/>
        </w:rPr>
        <w:t>Comments:</w:t>
      </w:r>
    </w:p>
    <w:p w14:paraId="3A130E6F" w14:textId="77777777" w:rsidR="007A7EFD" w:rsidRPr="009F1A9E" w:rsidRDefault="007A7EFD" w:rsidP="007A7EFD">
      <w:pPr>
        <w:rPr>
          <w:sz w:val="21"/>
        </w:rPr>
      </w:pPr>
      <w:r w:rsidRPr="009F1A9E">
        <w:rPr>
          <w:sz w:val="21"/>
        </w:rPr>
        <w:t xml:space="preserve">This traffic light takes into consideration both the direction of forest area change (if forest area increases or decreases) as well as changes in the rate of forest area loss – the latter important in order to indicate progress among countries that are losing forest area but manage to reduce the loss rate. </w:t>
      </w:r>
    </w:p>
    <w:p w14:paraId="081D9C6F" w14:textId="77777777" w:rsidR="007A7EFD" w:rsidRPr="009F1A9E" w:rsidRDefault="007A7EFD" w:rsidP="007A7EFD">
      <w:pPr>
        <w:rPr>
          <w:sz w:val="21"/>
        </w:rPr>
      </w:pPr>
      <w:r w:rsidRPr="009F1A9E">
        <w:rPr>
          <w:sz w:val="21"/>
        </w:rPr>
        <w:t>The baseline should be updated every 5 years</w:t>
      </w:r>
      <w:r w:rsidRPr="00656DA6">
        <w:rPr>
          <w:rFonts w:eastAsia="Calibri" w:cstheme="minorHAnsi"/>
          <w:sz w:val="21"/>
          <w:szCs w:val="21"/>
        </w:rPr>
        <w:t>. In</w:t>
      </w:r>
      <w:r w:rsidRPr="009F1A9E">
        <w:rPr>
          <w:sz w:val="21"/>
        </w:rPr>
        <w:t xml:space="preserve"> 2020 a new baseline </w:t>
      </w:r>
      <w:r w:rsidRPr="00656DA6">
        <w:rPr>
          <w:rFonts w:eastAsia="Calibri" w:cstheme="minorHAnsi"/>
          <w:sz w:val="21"/>
          <w:szCs w:val="21"/>
        </w:rPr>
        <w:t>was</w:t>
      </w:r>
      <w:r w:rsidRPr="009F1A9E">
        <w:rPr>
          <w:sz w:val="21"/>
        </w:rPr>
        <w:t xml:space="preserve"> calculated</w:t>
      </w:r>
      <w:r>
        <w:rPr>
          <w:sz w:val="21"/>
        </w:rPr>
        <w:t xml:space="preserve"> </w:t>
      </w:r>
      <w:r>
        <w:rPr>
          <w:rFonts w:eastAsia="Calibri" w:cstheme="minorHAnsi"/>
          <w:sz w:val="21"/>
          <w:szCs w:val="21"/>
        </w:rPr>
        <w:t>for the period 2000-2010 based on updated country data</w:t>
      </w:r>
      <w:r w:rsidRPr="009F1A9E">
        <w:rPr>
          <w:sz w:val="21"/>
        </w:rPr>
        <w:t xml:space="preserve">. Also, if a country </w:t>
      </w:r>
      <w:r>
        <w:rPr>
          <w:sz w:val="21"/>
        </w:rPr>
        <w:t xml:space="preserve">reports new historical data to FAO within a 5-year cycle, </w:t>
      </w:r>
      <w:r w:rsidRPr="009F1A9E">
        <w:rPr>
          <w:sz w:val="21"/>
        </w:rPr>
        <w:t>the baseline for the country will be recalculated</w:t>
      </w:r>
      <w:r>
        <w:rPr>
          <w:sz w:val="21"/>
        </w:rPr>
        <w:t xml:space="preserve"> accordingly</w:t>
      </w:r>
      <w:r w:rsidRPr="009F1A9E">
        <w:rPr>
          <w:sz w:val="21"/>
        </w:rPr>
        <w:t>.</w:t>
      </w:r>
    </w:p>
    <w:p w14:paraId="7306F536" w14:textId="77777777" w:rsidR="007A7EFD" w:rsidRDefault="007A7EFD" w:rsidP="007A7EFD"/>
    <w:p w14:paraId="6CF9FCDE" w14:textId="77777777" w:rsidR="007A7EFD" w:rsidRPr="009F1A9E" w:rsidRDefault="007A7EFD" w:rsidP="007A7EFD">
      <w:pPr>
        <w:rPr>
          <w:b/>
          <w:sz w:val="21"/>
        </w:rPr>
      </w:pPr>
      <w:r w:rsidRPr="009F1A9E">
        <w:rPr>
          <w:b/>
          <w:sz w:val="21"/>
        </w:rPr>
        <w:t xml:space="preserve">Sub-indicator 2 – Above-ground biomass stock in forest </w:t>
      </w:r>
    </w:p>
    <w:p w14:paraId="4D66D259" w14:textId="77777777" w:rsidR="007A7EFD" w:rsidRPr="009F1A9E" w:rsidRDefault="007A7EFD" w:rsidP="007A7EFD">
      <w:pPr>
        <w:rPr>
          <w:sz w:val="21"/>
        </w:rPr>
      </w:pPr>
      <w:r w:rsidRPr="009F1A9E">
        <w:rPr>
          <w:sz w:val="21"/>
          <w:u w:val="single"/>
        </w:rPr>
        <w:t>Unit</w:t>
      </w:r>
      <w:r w:rsidRPr="009F1A9E">
        <w:rPr>
          <w:sz w:val="21"/>
        </w:rPr>
        <w:t>: tonnes/hectare</w:t>
      </w:r>
    </w:p>
    <w:p w14:paraId="7CA08A5A" w14:textId="77777777" w:rsidR="007A7EFD" w:rsidRPr="009F1A9E" w:rsidRDefault="007A7EFD" w:rsidP="007A7EFD">
      <w:pPr>
        <w:rPr>
          <w:sz w:val="21"/>
        </w:rPr>
      </w:pPr>
      <w:r w:rsidRPr="009F1A9E">
        <w:rPr>
          <w:sz w:val="21"/>
          <w:u w:val="single"/>
        </w:rPr>
        <w:t>Reference year:</w:t>
      </w:r>
      <w:r w:rsidRPr="009F1A9E">
        <w:rPr>
          <w:sz w:val="21"/>
        </w:rPr>
        <w:t xml:space="preserve"> Latest reporting year</w:t>
      </w:r>
    </w:p>
    <w:p w14:paraId="35E89FB9" w14:textId="77777777" w:rsidR="007A7EFD" w:rsidRPr="009F1A9E" w:rsidRDefault="007A7EFD" w:rsidP="007A7EFD">
      <w:pPr>
        <w:rPr>
          <w:sz w:val="21"/>
        </w:rPr>
      </w:pPr>
      <w:r w:rsidRPr="009F1A9E">
        <w:rPr>
          <w:sz w:val="21"/>
          <w:u w:val="single"/>
        </w:rPr>
        <w:t>Method of estimation:</w:t>
      </w:r>
      <w:r w:rsidRPr="009F1A9E">
        <w:rPr>
          <w:sz w:val="21"/>
        </w:rPr>
        <w:t xml:space="preserve"> </w:t>
      </w:r>
      <w:r w:rsidRPr="00656DA6">
        <w:rPr>
          <w:rFonts w:eastAsia="Calibri" w:cstheme="minorHAnsi"/>
          <w:sz w:val="21"/>
          <w:szCs w:val="21"/>
        </w:rPr>
        <w:t>Reported directly by countries</w:t>
      </w:r>
    </w:p>
    <w:p w14:paraId="38444DF4" w14:textId="77777777" w:rsidR="007A7EFD" w:rsidRPr="009F1A9E" w:rsidRDefault="007A7EFD" w:rsidP="007A7EFD">
      <w:pPr>
        <w:rPr>
          <w:sz w:val="21"/>
          <w:u w:val="single"/>
        </w:rPr>
      </w:pPr>
      <w:r w:rsidRPr="009F1A9E">
        <w:rPr>
          <w:sz w:val="21"/>
          <w:u w:val="single"/>
        </w:rPr>
        <w:t>Translation to dashboard/traffic light:</w:t>
      </w:r>
    </w:p>
    <w:p w14:paraId="2F6F6A00" w14:textId="77777777" w:rsidR="007A7EFD" w:rsidRPr="009F1A9E" w:rsidRDefault="007A7EFD" w:rsidP="007A7EFD">
      <w:pPr>
        <w:rPr>
          <w:sz w:val="21"/>
        </w:rPr>
      </w:pPr>
      <w:r w:rsidRPr="009F1A9E">
        <w:rPr>
          <w:sz w:val="21"/>
        </w:rPr>
        <w:t>The indicator value for the latest reporting year is compared with the indicator value for previous reporting year for assessment of continuity of progress since last report.</w:t>
      </w:r>
    </w:p>
    <w:p w14:paraId="60424C1A" w14:textId="77777777" w:rsidR="007A7EFD" w:rsidRPr="009F1A9E" w:rsidRDefault="007A7EFD" w:rsidP="007A7EFD">
      <w:pPr>
        <w:rPr>
          <w:sz w:val="21"/>
        </w:rPr>
      </w:pPr>
      <w:r w:rsidRPr="009F1A9E">
        <w:rPr>
          <w:sz w:val="21"/>
        </w:rPr>
        <w:t>The ratio (r) between the current indicator value and the previously reported value is calculated; r&gt;1 means an increase in stock per hectare, r&lt;1 means a decrease while 1 indicates no change. A narrow interval for r has been established to indicate a stable condition, and traffic-light colors are assigned as follows:</w:t>
      </w:r>
    </w:p>
    <w:p w14:paraId="6A6E73EF" w14:textId="13C6735F"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59264" behindDoc="0" locked="0" layoutInCell="1" allowOverlap="1" wp14:anchorId="48B6D04D" wp14:editId="2861F370">
                <wp:simplePos x="0" y="0"/>
                <wp:positionH relativeFrom="column">
                  <wp:posOffset>1706880</wp:posOffset>
                </wp:positionH>
                <wp:positionV relativeFrom="paragraph">
                  <wp:posOffset>5715</wp:posOffset>
                </wp:positionV>
                <wp:extent cx="163830" cy="156845"/>
                <wp:effectExtent l="0" t="0" r="26670" b="14605"/>
                <wp:wrapNone/>
                <wp:docPr id="48" name="Flowchart: Connector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265458" id="Flowchart: Connector 48" o:spid="_x0000_s1026" type="#_x0000_t120" style="position:absolute;margin-left:134.4pt;margin-top:.45pt;width:12.9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" fillcolor="#93d123" strokecolor="#41719c" strokeweight="1pt">
                <v:stroke joinstyle="miter"/>
                <v:path arrowok="t"/>
              </v:shape>
            </w:pict>
          </mc:Fallback>
        </mc:AlternateContent>
      </w:r>
      <w:r w:rsidRPr="009F1A9E">
        <w:rPr>
          <w:sz w:val="21"/>
        </w:rPr>
        <w:tab/>
        <w:t xml:space="preserve">r ≥ 1.01 </w:t>
      </w:r>
      <w:r w:rsidRPr="009F1A9E">
        <w:rPr>
          <w:sz w:val="21"/>
        </w:rPr>
        <w:tab/>
      </w:r>
    </w:p>
    <w:p w14:paraId="2A6286A5" w14:textId="4A4BE5D8"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0288" behindDoc="0" locked="0" layoutInCell="1" allowOverlap="1" wp14:anchorId="50C4E4E1" wp14:editId="2C8D79BC">
                <wp:simplePos x="0" y="0"/>
                <wp:positionH relativeFrom="column">
                  <wp:posOffset>1706880</wp:posOffset>
                </wp:positionH>
                <wp:positionV relativeFrom="paragraph">
                  <wp:posOffset>18415</wp:posOffset>
                </wp:positionV>
                <wp:extent cx="163830" cy="156845"/>
                <wp:effectExtent l="0" t="0" r="26670" b="14605"/>
                <wp:wrapNone/>
                <wp:docPr id="47" name="Flowchart: Connector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34E6F3" id="Flowchart: Connector 47" o:spid="_x0000_s1026" type="#_x0000_t120" style="position:absolute;margin-left:134.4pt;margin-top:1.45pt;width:12.9pt;height:1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ielg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" fillcolor="yellow" strokecolor="#41719c" strokeweight="1pt">
                <v:stroke joinstyle="miter"/>
                <v:path arrowok="t"/>
              </v:shape>
            </w:pict>
          </mc:Fallback>
        </mc:AlternateContent>
      </w:r>
      <w:r w:rsidRPr="009F1A9E">
        <w:rPr>
          <w:sz w:val="21"/>
        </w:rPr>
        <w:tab/>
        <w:t>0.99 &lt; r &lt; 1.01</w:t>
      </w:r>
    </w:p>
    <w:p w14:paraId="20D43438" w14:textId="47B9C9B0"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1312" behindDoc="0" locked="0" layoutInCell="1" allowOverlap="1" wp14:anchorId="4A83EDA6" wp14:editId="4240D6AA">
                <wp:simplePos x="0" y="0"/>
                <wp:positionH relativeFrom="column">
                  <wp:posOffset>1706880</wp:posOffset>
                </wp:positionH>
                <wp:positionV relativeFrom="paragraph">
                  <wp:posOffset>31115</wp:posOffset>
                </wp:positionV>
                <wp:extent cx="163830" cy="156845"/>
                <wp:effectExtent l="0" t="0" r="26670" b="14605"/>
                <wp:wrapNone/>
                <wp:docPr id="46" name="Flowchart: Connector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3D18FE" id="Flowchart: Connector 46" o:spid="_x0000_s1026" type="#_x0000_t120" style="position:absolute;margin-left:134.4pt;margin-top:2.45pt;width:12.9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" fillcolor="red" strokecolor="#41719c" strokeweight="1pt">
                <v:stroke joinstyle="miter"/>
                <v:path arrowok="t"/>
              </v:shape>
            </w:pict>
          </mc:Fallback>
        </mc:AlternateContent>
      </w:r>
      <w:r w:rsidRPr="009F1A9E">
        <w:rPr>
          <w:sz w:val="21"/>
        </w:rPr>
        <w:tab/>
        <w:t>r ≤ 0.99</w:t>
      </w:r>
    </w:p>
    <w:p w14:paraId="07E41EBD" w14:textId="77777777" w:rsidR="007A7EFD" w:rsidRPr="009F1A9E" w:rsidRDefault="007A7EFD" w:rsidP="007A7EFD">
      <w:pPr>
        <w:rPr>
          <w:sz w:val="21"/>
        </w:rPr>
      </w:pPr>
    </w:p>
    <w:p w14:paraId="557BFCB2" w14:textId="77777777" w:rsidR="007A7EFD" w:rsidRPr="009F1A9E" w:rsidRDefault="007A7EFD" w:rsidP="007A7EFD">
      <w:pPr>
        <w:rPr>
          <w:b/>
          <w:sz w:val="21"/>
        </w:rPr>
      </w:pPr>
      <w:r w:rsidRPr="009F1A9E">
        <w:rPr>
          <w:b/>
          <w:sz w:val="21"/>
        </w:rPr>
        <w:t>Sub-indicator 3 – Proportion of forest area located within legally established protected areas.</w:t>
      </w:r>
    </w:p>
    <w:p w14:paraId="109A0FCF" w14:textId="77777777" w:rsidR="007A7EFD" w:rsidRPr="009F1A9E" w:rsidRDefault="007A7EFD" w:rsidP="007A7EFD">
      <w:pPr>
        <w:rPr>
          <w:sz w:val="21"/>
        </w:rPr>
      </w:pPr>
      <w:r w:rsidRPr="009F1A9E">
        <w:rPr>
          <w:sz w:val="21"/>
          <w:u w:val="single"/>
        </w:rPr>
        <w:t>Unit</w:t>
      </w:r>
      <w:r w:rsidRPr="009F1A9E">
        <w:rPr>
          <w:sz w:val="21"/>
        </w:rPr>
        <w:t>: Percent</w:t>
      </w:r>
    </w:p>
    <w:p w14:paraId="015D3532" w14:textId="77777777" w:rsidR="007A7EFD" w:rsidRPr="009F1A9E" w:rsidRDefault="007A7EFD" w:rsidP="007A7EFD">
      <w:pPr>
        <w:rPr>
          <w:sz w:val="21"/>
        </w:rPr>
      </w:pPr>
      <w:r w:rsidRPr="009F1A9E">
        <w:rPr>
          <w:sz w:val="21"/>
          <w:u w:val="single"/>
        </w:rPr>
        <w:t>Reference year:</w:t>
      </w:r>
      <w:r w:rsidRPr="009F1A9E">
        <w:rPr>
          <w:sz w:val="21"/>
        </w:rPr>
        <w:t xml:space="preserve"> Latest reporting year</w:t>
      </w:r>
    </w:p>
    <w:p w14:paraId="6FCE6D18" w14:textId="77777777" w:rsidR="007A7EFD" w:rsidRPr="009F1A9E" w:rsidRDefault="007A7EFD" w:rsidP="007A7EFD">
      <w:pPr>
        <w:rPr>
          <w:sz w:val="21"/>
        </w:rPr>
      </w:pPr>
      <w:r w:rsidRPr="009F1A9E">
        <w:rPr>
          <w:sz w:val="21"/>
          <w:u w:val="single"/>
        </w:rPr>
        <w:t>Method of estimation:</w:t>
      </w:r>
      <w:r w:rsidRPr="009F1A9E">
        <w:rPr>
          <w:sz w:val="21"/>
        </w:rPr>
        <w:t xml:space="preserve"> Forest area within legally established protected areas / forest area 2015 * 100</w:t>
      </w:r>
    </w:p>
    <w:p w14:paraId="5D3C18D2" w14:textId="77777777" w:rsidR="007A7EFD" w:rsidRPr="009F1A9E" w:rsidRDefault="007A7EFD" w:rsidP="007A7EFD">
      <w:pPr>
        <w:rPr>
          <w:sz w:val="21"/>
          <w:u w:val="single"/>
        </w:rPr>
      </w:pPr>
      <w:r w:rsidRPr="009F1A9E">
        <w:rPr>
          <w:sz w:val="21"/>
          <w:u w:val="single"/>
        </w:rPr>
        <w:t>Translation to dashboard/traffic light:</w:t>
      </w:r>
    </w:p>
    <w:p w14:paraId="65911344" w14:textId="77777777" w:rsidR="007A7EFD" w:rsidRPr="009F1A9E" w:rsidRDefault="007A7EFD" w:rsidP="007A7EFD">
      <w:pPr>
        <w:rPr>
          <w:sz w:val="21"/>
        </w:rPr>
      </w:pPr>
      <w:r w:rsidRPr="009F1A9E">
        <w:rPr>
          <w:sz w:val="21"/>
        </w:rPr>
        <w:t>The indicator value for latest reporting year is compared the indicator value for previous reporting year for assessment of continuity of progress since last report.</w:t>
      </w:r>
    </w:p>
    <w:p w14:paraId="099D15E3" w14:textId="77777777" w:rsidR="007A7EFD" w:rsidRPr="009F1A9E" w:rsidRDefault="007A7EFD" w:rsidP="007A7EFD">
      <w:pPr>
        <w:rPr>
          <w:sz w:val="21"/>
        </w:rPr>
      </w:pPr>
      <w:r w:rsidRPr="009F1A9E">
        <w:rPr>
          <w:sz w:val="21"/>
        </w:rPr>
        <w:t xml:space="preserve">The ratio (r) between the current indicator value and the previously reported value is calculated; r&gt;1 means an increase in forest area within protected areas, r&lt;1 means a decrease while 1 indicates no </w:t>
      </w:r>
      <w:r w:rsidRPr="009F1A9E">
        <w:rPr>
          <w:sz w:val="21"/>
        </w:rPr>
        <w:lastRenderedPageBreak/>
        <w:t>change. A narrow interval for r has been established to indicate a stable condition, and traffic-light colors are assigned as follows:</w:t>
      </w:r>
    </w:p>
    <w:p w14:paraId="6A5D5471" w14:textId="1DC88B65"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2336" behindDoc="0" locked="0" layoutInCell="1" allowOverlap="1" wp14:anchorId="4C781E09" wp14:editId="372516C9">
                <wp:simplePos x="0" y="0"/>
                <wp:positionH relativeFrom="column">
                  <wp:posOffset>1706880</wp:posOffset>
                </wp:positionH>
                <wp:positionV relativeFrom="paragraph">
                  <wp:posOffset>5715</wp:posOffset>
                </wp:positionV>
                <wp:extent cx="163830" cy="156845"/>
                <wp:effectExtent l="0" t="0" r="26670" b="14605"/>
                <wp:wrapNone/>
                <wp:docPr id="45" name="Flowchart: Connector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A06C53" id="Flowchart: Connector 45" o:spid="_x0000_s1026" type="#_x0000_t120" style="position:absolute;margin-left:134.4pt;margin-top:.45pt;width:12.9pt;height:1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" fillcolor="#93d123" strokecolor="#41719c" strokeweight="1pt">
                <v:stroke joinstyle="miter"/>
                <v:path arrowok="t"/>
              </v:shape>
            </w:pict>
          </mc:Fallback>
        </mc:AlternateContent>
      </w:r>
      <w:r w:rsidRPr="009F1A9E">
        <w:rPr>
          <w:sz w:val="21"/>
        </w:rPr>
        <w:tab/>
        <w:t xml:space="preserve">r ≥ 1.01 </w:t>
      </w:r>
      <w:r w:rsidRPr="009F1A9E">
        <w:rPr>
          <w:sz w:val="21"/>
        </w:rPr>
        <w:tab/>
      </w:r>
    </w:p>
    <w:p w14:paraId="197D6EFC" w14:textId="144A45D7"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3360" behindDoc="0" locked="0" layoutInCell="1" allowOverlap="1" wp14:anchorId="24E7FCDB" wp14:editId="72DC1D3F">
                <wp:simplePos x="0" y="0"/>
                <wp:positionH relativeFrom="column">
                  <wp:posOffset>1706880</wp:posOffset>
                </wp:positionH>
                <wp:positionV relativeFrom="paragraph">
                  <wp:posOffset>18415</wp:posOffset>
                </wp:positionV>
                <wp:extent cx="163830" cy="156845"/>
                <wp:effectExtent l="0" t="0" r="26670" b="14605"/>
                <wp:wrapNone/>
                <wp:docPr id="41" name="Flowchart: Connector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C436A4" id="Flowchart: Connector 41" o:spid="_x0000_s1026" type="#_x0000_t120" style="position:absolute;margin-left:134.4pt;margin-top:1.45pt;width:12.9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dXlQ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" fillcolor="yellow" strokecolor="#41719c" strokeweight="1pt">
                <v:stroke joinstyle="miter"/>
                <v:path arrowok="t"/>
              </v:shape>
            </w:pict>
          </mc:Fallback>
        </mc:AlternateContent>
      </w:r>
      <w:r w:rsidRPr="009F1A9E">
        <w:rPr>
          <w:sz w:val="21"/>
        </w:rPr>
        <w:tab/>
        <w:t>0.99 &lt; r &lt; 1.01</w:t>
      </w:r>
    </w:p>
    <w:p w14:paraId="7C177DA7" w14:textId="5D871970"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4384" behindDoc="0" locked="0" layoutInCell="1" allowOverlap="1" wp14:anchorId="015AE2DE" wp14:editId="16BDFE32">
                <wp:simplePos x="0" y="0"/>
                <wp:positionH relativeFrom="column">
                  <wp:posOffset>1706880</wp:posOffset>
                </wp:positionH>
                <wp:positionV relativeFrom="paragraph">
                  <wp:posOffset>31115</wp:posOffset>
                </wp:positionV>
                <wp:extent cx="163830" cy="156845"/>
                <wp:effectExtent l="0" t="0" r="26670" b="14605"/>
                <wp:wrapNone/>
                <wp:docPr id="40" name="Flowchart: Connector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7EF415" id="Flowchart: Connector 40" o:spid="_x0000_s1026" type="#_x0000_t120" style="position:absolute;margin-left:134.4pt;margin-top:2.45pt;width:12.9pt;height:1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n2kg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" fillcolor="red" strokecolor="#41719c" strokeweight="1pt">
                <v:stroke joinstyle="miter"/>
                <v:path arrowok="t"/>
              </v:shape>
            </w:pict>
          </mc:Fallback>
        </mc:AlternateContent>
      </w:r>
      <w:r w:rsidRPr="009F1A9E">
        <w:rPr>
          <w:sz w:val="21"/>
        </w:rPr>
        <w:tab/>
        <w:t>r ≤ 0.99</w:t>
      </w:r>
    </w:p>
    <w:p w14:paraId="2C3C7425" w14:textId="77777777" w:rsidR="007A7EFD" w:rsidRPr="009F1A9E" w:rsidRDefault="007A7EFD" w:rsidP="007A7EFD">
      <w:pPr>
        <w:rPr>
          <w:sz w:val="21"/>
          <w:u w:val="single"/>
        </w:rPr>
      </w:pPr>
    </w:p>
    <w:p w14:paraId="26406850" w14:textId="77777777" w:rsidR="007A7EFD" w:rsidRPr="009F1A9E" w:rsidRDefault="007A7EFD" w:rsidP="007A7EFD">
      <w:pPr>
        <w:rPr>
          <w:sz w:val="21"/>
          <w:u w:val="single"/>
        </w:rPr>
      </w:pPr>
      <w:r w:rsidRPr="009F1A9E">
        <w:rPr>
          <w:sz w:val="21"/>
          <w:u w:val="single"/>
        </w:rPr>
        <w:t>Comment:</w:t>
      </w:r>
    </w:p>
    <w:p w14:paraId="0FEE99BC" w14:textId="77777777" w:rsidR="007A7EFD" w:rsidRPr="009F1A9E" w:rsidRDefault="007A7EFD" w:rsidP="007A7EFD">
      <w:pPr>
        <w:rPr>
          <w:sz w:val="21"/>
        </w:rPr>
      </w:pPr>
      <w:r w:rsidRPr="009F1A9E">
        <w:rPr>
          <w:sz w:val="21"/>
        </w:rPr>
        <w:t xml:space="preserve">Using forest area in 2015 as denominator for estimating this indicator ensures that the time series of percentages reflect real changes in the forest area within legally established protected areas and is not affected by changes (losses or gains) in total forest area. </w:t>
      </w:r>
    </w:p>
    <w:p w14:paraId="4F8C7E83" w14:textId="77777777" w:rsidR="007A7EFD" w:rsidRDefault="007A7EFD" w:rsidP="007A7EFD">
      <w:pPr>
        <w:rPr>
          <w:rFonts w:eastAsia="Calibri" w:cstheme="minorHAnsi"/>
          <w:b/>
          <w:sz w:val="21"/>
          <w:szCs w:val="21"/>
        </w:rPr>
      </w:pPr>
    </w:p>
    <w:p w14:paraId="5BDE50CA" w14:textId="77777777" w:rsidR="007A7EFD" w:rsidRPr="009F1A9E" w:rsidRDefault="007A7EFD" w:rsidP="007A7EFD">
      <w:pPr>
        <w:rPr>
          <w:b/>
          <w:sz w:val="21"/>
        </w:rPr>
      </w:pPr>
      <w:r w:rsidRPr="009F1A9E">
        <w:rPr>
          <w:b/>
          <w:sz w:val="21"/>
        </w:rPr>
        <w:t>Sub-indicator 4 – Proportion of forest area under a long-term forest management plan.</w:t>
      </w:r>
    </w:p>
    <w:p w14:paraId="7ACE301E" w14:textId="77777777" w:rsidR="007A7EFD" w:rsidRPr="009F1A9E" w:rsidRDefault="007A7EFD" w:rsidP="007A7EFD">
      <w:pPr>
        <w:rPr>
          <w:sz w:val="21"/>
        </w:rPr>
      </w:pPr>
      <w:r w:rsidRPr="009F1A9E">
        <w:rPr>
          <w:sz w:val="21"/>
          <w:u w:val="single"/>
        </w:rPr>
        <w:t>Unit</w:t>
      </w:r>
      <w:r w:rsidRPr="009F1A9E">
        <w:rPr>
          <w:sz w:val="21"/>
        </w:rPr>
        <w:t>: Percent</w:t>
      </w:r>
    </w:p>
    <w:p w14:paraId="5318EDD3" w14:textId="77777777" w:rsidR="007A7EFD" w:rsidRPr="009F1A9E" w:rsidRDefault="007A7EFD" w:rsidP="007A7EFD">
      <w:pPr>
        <w:rPr>
          <w:sz w:val="21"/>
        </w:rPr>
      </w:pPr>
      <w:r w:rsidRPr="009F1A9E">
        <w:rPr>
          <w:sz w:val="21"/>
          <w:u w:val="single"/>
        </w:rPr>
        <w:t>Reference year:</w:t>
      </w:r>
      <w:r w:rsidRPr="009F1A9E">
        <w:rPr>
          <w:sz w:val="21"/>
        </w:rPr>
        <w:t xml:space="preserve"> Latest reporting year</w:t>
      </w:r>
    </w:p>
    <w:p w14:paraId="7E68AC76" w14:textId="77777777" w:rsidR="007A7EFD" w:rsidRPr="009F1A9E" w:rsidRDefault="007A7EFD" w:rsidP="007A7EFD">
      <w:pPr>
        <w:rPr>
          <w:sz w:val="21"/>
        </w:rPr>
      </w:pPr>
      <w:r w:rsidRPr="009F1A9E">
        <w:rPr>
          <w:sz w:val="21"/>
          <w:u w:val="single"/>
        </w:rPr>
        <w:t>Method of estimation:</w:t>
      </w:r>
      <w:r w:rsidRPr="009F1A9E">
        <w:rPr>
          <w:sz w:val="21"/>
        </w:rPr>
        <w:t xml:space="preserve"> Forest area under a long term forest management plan / forest area 2015 * 100</w:t>
      </w:r>
    </w:p>
    <w:p w14:paraId="10AD31E4" w14:textId="77777777" w:rsidR="007A7EFD" w:rsidRPr="009F1A9E" w:rsidRDefault="007A7EFD" w:rsidP="007A7EFD">
      <w:pPr>
        <w:rPr>
          <w:sz w:val="21"/>
        </w:rPr>
      </w:pPr>
      <w:r w:rsidRPr="009F1A9E">
        <w:rPr>
          <w:sz w:val="21"/>
          <w:u w:val="single"/>
        </w:rPr>
        <w:t xml:space="preserve">Translation to dashboard/traffic light: </w:t>
      </w:r>
      <w:r w:rsidRPr="009F1A9E">
        <w:rPr>
          <w:sz w:val="21"/>
        </w:rPr>
        <w:t>The indicator value for latest reporting year is compared with the indicator value for previous reporting year for assessment of continuity of progress since last report.</w:t>
      </w:r>
    </w:p>
    <w:p w14:paraId="5F5FB797" w14:textId="77777777" w:rsidR="007A7EFD" w:rsidRPr="009F1A9E" w:rsidRDefault="007A7EFD" w:rsidP="007A7EFD">
      <w:pPr>
        <w:rPr>
          <w:sz w:val="21"/>
        </w:rPr>
      </w:pPr>
      <w:r w:rsidRPr="009F1A9E">
        <w:rPr>
          <w:sz w:val="21"/>
        </w:rPr>
        <w:t>The ratio (r) between the current indicator value and the previously reported value is calculated; r&gt;1 means an increase in areas under forest management plan, r&lt;1 means a decrease while 1 indicates no change. A narrow interval for r has been established to indicate a stable condition, and traffic-light colors are assigned as follows:</w:t>
      </w:r>
    </w:p>
    <w:p w14:paraId="76130BCC" w14:textId="7DDCC6E2"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5408" behindDoc="0" locked="0" layoutInCell="1" allowOverlap="1" wp14:anchorId="11CD89B4" wp14:editId="15286C96">
                <wp:simplePos x="0" y="0"/>
                <wp:positionH relativeFrom="column">
                  <wp:posOffset>1706880</wp:posOffset>
                </wp:positionH>
                <wp:positionV relativeFrom="paragraph">
                  <wp:posOffset>5715</wp:posOffset>
                </wp:positionV>
                <wp:extent cx="163830" cy="156845"/>
                <wp:effectExtent l="0" t="0" r="26670" b="14605"/>
                <wp:wrapNone/>
                <wp:docPr id="39" name="Flowchart: Connector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D108A7" id="Flowchart: Connector 39" o:spid="_x0000_s1026" type="#_x0000_t120" style="position:absolute;margin-left:134.4pt;margin-top:.45pt;width:12.9pt;height:1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" fillcolor="#93d123" strokecolor="#41719c" strokeweight="1pt">
                <v:stroke joinstyle="miter"/>
                <v:path arrowok="t"/>
              </v:shape>
            </w:pict>
          </mc:Fallback>
        </mc:AlternateContent>
      </w:r>
      <w:r w:rsidRPr="009F1A9E">
        <w:rPr>
          <w:sz w:val="21"/>
        </w:rPr>
        <w:tab/>
        <w:t xml:space="preserve">r ≥ 1.01 </w:t>
      </w:r>
      <w:r w:rsidRPr="009F1A9E">
        <w:rPr>
          <w:sz w:val="21"/>
        </w:rPr>
        <w:tab/>
      </w:r>
    </w:p>
    <w:p w14:paraId="53B8792F" w14:textId="2D0B4616"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6432" behindDoc="0" locked="0" layoutInCell="1" allowOverlap="1" wp14:anchorId="4ADA7C70" wp14:editId="3AE4B0E3">
                <wp:simplePos x="0" y="0"/>
                <wp:positionH relativeFrom="column">
                  <wp:posOffset>1706880</wp:posOffset>
                </wp:positionH>
                <wp:positionV relativeFrom="paragraph">
                  <wp:posOffset>18415</wp:posOffset>
                </wp:positionV>
                <wp:extent cx="163830" cy="156845"/>
                <wp:effectExtent l="0" t="0" r="26670" b="14605"/>
                <wp:wrapNone/>
                <wp:docPr id="38" name="Flowchart: Connector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3A2B10" id="Flowchart: Connector 38" o:spid="_x0000_s1026" type="#_x0000_t120" style="position:absolute;margin-left:134.4pt;margin-top:1.45pt;width:12.9pt;height: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KWlQ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" fillcolor="yellow" strokecolor="#41719c" strokeweight="1pt">
                <v:stroke joinstyle="miter"/>
                <v:path arrowok="t"/>
              </v:shape>
            </w:pict>
          </mc:Fallback>
        </mc:AlternateContent>
      </w:r>
      <w:r w:rsidRPr="009F1A9E">
        <w:rPr>
          <w:sz w:val="21"/>
        </w:rPr>
        <w:tab/>
        <w:t>0.99 &lt; r &lt; 1.01</w:t>
      </w:r>
    </w:p>
    <w:p w14:paraId="670DE573" w14:textId="500DB510"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7456" behindDoc="0" locked="0" layoutInCell="1" allowOverlap="1" wp14:anchorId="7262CEAD" wp14:editId="539FB75C">
                <wp:simplePos x="0" y="0"/>
                <wp:positionH relativeFrom="column">
                  <wp:posOffset>1706880</wp:posOffset>
                </wp:positionH>
                <wp:positionV relativeFrom="paragraph">
                  <wp:posOffset>31115</wp:posOffset>
                </wp:positionV>
                <wp:extent cx="163830" cy="156845"/>
                <wp:effectExtent l="0" t="0" r="26670" b="14605"/>
                <wp:wrapNone/>
                <wp:docPr id="37" name="Flowchart: Connector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60B8A8" id="Flowchart: Connector 37" o:spid="_x0000_s1026" type="#_x0000_t120" style="position:absolute;margin-left:134.4pt;margin-top:2.45pt;width:12.9pt;height:1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Pkw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" fillcolor="red" strokecolor="#41719c" strokeweight="1pt">
                <v:stroke joinstyle="miter"/>
                <v:path arrowok="t"/>
              </v:shape>
            </w:pict>
          </mc:Fallback>
        </mc:AlternateContent>
      </w:r>
      <w:r w:rsidRPr="009F1A9E">
        <w:rPr>
          <w:sz w:val="21"/>
        </w:rPr>
        <w:tab/>
        <w:t>r ≤ 0.99</w:t>
      </w:r>
    </w:p>
    <w:p w14:paraId="1B2863C4" w14:textId="77777777" w:rsidR="007A7EFD" w:rsidRPr="009F1A9E" w:rsidRDefault="007A7EFD" w:rsidP="007A7EFD">
      <w:pPr>
        <w:spacing w:before="240"/>
        <w:rPr>
          <w:sz w:val="21"/>
          <w:u w:val="single"/>
        </w:rPr>
      </w:pPr>
      <w:r w:rsidRPr="009F1A9E">
        <w:rPr>
          <w:sz w:val="21"/>
          <w:u w:val="single"/>
        </w:rPr>
        <w:t>Comment:</w:t>
      </w:r>
    </w:p>
    <w:p w14:paraId="77881AC2" w14:textId="77777777" w:rsidR="007A7EFD" w:rsidRPr="009F1A9E" w:rsidRDefault="007A7EFD" w:rsidP="007A7EFD">
      <w:pPr>
        <w:rPr>
          <w:sz w:val="21"/>
        </w:rPr>
      </w:pPr>
      <w:r w:rsidRPr="009F1A9E">
        <w:rPr>
          <w:sz w:val="21"/>
        </w:rPr>
        <w:t xml:space="preserve">Using forest area in 2015 as denominator for estimating this indicator ensures that the time series of percentages reflect real changes in the forest area under forest management plan and is not affected by changes (losses or gains) in total forest area. </w:t>
      </w:r>
    </w:p>
    <w:p w14:paraId="3B778C66" w14:textId="77777777" w:rsidR="007A7EFD" w:rsidRPr="009F1A9E" w:rsidRDefault="007A7EFD" w:rsidP="007A7EFD">
      <w:pPr>
        <w:rPr>
          <w:sz w:val="21"/>
        </w:rPr>
      </w:pPr>
    </w:p>
    <w:p w14:paraId="7451EBB6" w14:textId="77777777" w:rsidR="007A7EFD" w:rsidRPr="009F1A9E" w:rsidRDefault="007A7EFD" w:rsidP="007A7EFD">
      <w:pPr>
        <w:rPr>
          <w:b/>
          <w:sz w:val="21"/>
        </w:rPr>
      </w:pPr>
      <w:r w:rsidRPr="009F1A9E">
        <w:rPr>
          <w:b/>
          <w:sz w:val="21"/>
        </w:rPr>
        <w:t>Sub-indicator 5 – Forest area under an independently verified forest management certification scheme.</w:t>
      </w:r>
    </w:p>
    <w:p w14:paraId="05CC89F9" w14:textId="77777777" w:rsidR="007A7EFD" w:rsidRPr="009F1A9E" w:rsidRDefault="007A7EFD" w:rsidP="007A7EFD">
      <w:pPr>
        <w:rPr>
          <w:sz w:val="21"/>
        </w:rPr>
      </w:pPr>
      <w:r w:rsidRPr="009F1A9E">
        <w:rPr>
          <w:sz w:val="21"/>
          <w:u w:val="single"/>
        </w:rPr>
        <w:t>Unit</w:t>
      </w:r>
      <w:r w:rsidRPr="009F1A9E">
        <w:rPr>
          <w:sz w:val="21"/>
        </w:rPr>
        <w:t>: Thousand hectares</w:t>
      </w:r>
    </w:p>
    <w:p w14:paraId="12D5DBD1" w14:textId="77777777" w:rsidR="007A7EFD" w:rsidRPr="009F1A9E" w:rsidRDefault="007A7EFD" w:rsidP="007A7EFD">
      <w:pPr>
        <w:rPr>
          <w:sz w:val="21"/>
        </w:rPr>
      </w:pPr>
      <w:r w:rsidRPr="009F1A9E">
        <w:rPr>
          <w:sz w:val="21"/>
          <w:u w:val="single"/>
        </w:rPr>
        <w:t>Reference year:</w:t>
      </w:r>
      <w:r w:rsidRPr="009F1A9E">
        <w:rPr>
          <w:sz w:val="21"/>
        </w:rPr>
        <w:t xml:space="preserve"> Latest reporting year (as of June 30)</w:t>
      </w:r>
    </w:p>
    <w:p w14:paraId="315EA9E8" w14:textId="77777777" w:rsidR="007A7EFD" w:rsidRPr="009F1A9E" w:rsidRDefault="007A7EFD" w:rsidP="007A7EFD">
      <w:pPr>
        <w:rPr>
          <w:sz w:val="21"/>
        </w:rPr>
      </w:pPr>
      <w:r w:rsidRPr="009F1A9E">
        <w:rPr>
          <w:sz w:val="21"/>
          <w:u w:val="single"/>
        </w:rPr>
        <w:t>Method of estimation:</w:t>
      </w:r>
      <w:r w:rsidRPr="009F1A9E">
        <w:rPr>
          <w:sz w:val="21"/>
        </w:rPr>
        <w:t xml:space="preserve"> Data is collected directly from the databases of each certification scheme and provided to countries for validation.</w:t>
      </w:r>
    </w:p>
    <w:p w14:paraId="17A8FFFA" w14:textId="77777777" w:rsidR="007A7EFD" w:rsidRPr="009F1A9E" w:rsidRDefault="007A7EFD" w:rsidP="007A7EFD">
      <w:pPr>
        <w:rPr>
          <w:sz w:val="21"/>
        </w:rPr>
      </w:pPr>
      <w:r w:rsidRPr="009F1A9E">
        <w:rPr>
          <w:sz w:val="21"/>
          <w:u w:val="single"/>
        </w:rPr>
        <w:lastRenderedPageBreak/>
        <w:t xml:space="preserve">Translation to dashboard/traffic light: </w:t>
      </w:r>
      <w:r w:rsidRPr="009F1A9E">
        <w:rPr>
          <w:sz w:val="21"/>
        </w:rPr>
        <w:t>The indicator value for latest reporting year is compared with the indicator value for previous reporting year for assessment of continuity of progress since last report.</w:t>
      </w:r>
    </w:p>
    <w:p w14:paraId="4970D35D" w14:textId="77777777" w:rsidR="007A7EFD" w:rsidRPr="009F1A9E" w:rsidRDefault="007A7EFD" w:rsidP="007A7EFD">
      <w:pPr>
        <w:rPr>
          <w:sz w:val="21"/>
        </w:rPr>
      </w:pPr>
      <w:r w:rsidRPr="009F1A9E">
        <w:rPr>
          <w:sz w:val="21"/>
        </w:rPr>
        <w:t>The ratio (r) between the current indicator value and the previously reported value is calculated; r&gt;1 means an increase in areas under an independent forest management certification scheme, r&lt;1 means a decrease while 1 indicates no change. A small interval for r has been established to indicate a stable condition, and traffic-light colors are assigned as follows:</w:t>
      </w:r>
    </w:p>
    <w:p w14:paraId="086983CF" w14:textId="14D0C6B6"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8480" behindDoc="0" locked="0" layoutInCell="1" allowOverlap="1" wp14:anchorId="314A2FA5" wp14:editId="0612A403">
                <wp:simplePos x="0" y="0"/>
                <wp:positionH relativeFrom="column">
                  <wp:posOffset>1706880</wp:posOffset>
                </wp:positionH>
                <wp:positionV relativeFrom="paragraph">
                  <wp:posOffset>5715</wp:posOffset>
                </wp:positionV>
                <wp:extent cx="163830" cy="156845"/>
                <wp:effectExtent l="0" t="0" r="26670" b="14605"/>
                <wp:wrapNone/>
                <wp:docPr id="36" name="Flowchart: Connector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7E967" id="Flowchart: Connector 36" o:spid="_x0000_s1026" type="#_x0000_t120" style="position:absolute;margin-left:134.4pt;margin-top:.45pt;width:12.9pt;height:1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" fillcolor="#93d123" strokecolor="#41719c" strokeweight="1pt">
                <v:stroke joinstyle="miter"/>
                <v:path arrowok="t"/>
              </v:shape>
            </w:pict>
          </mc:Fallback>
        </mc:AlternateContent>
      </w:r>
      <w:r w:rsidRPr="009F1A9E">
        <w:rPr>
          <w:sz w:val="21"/>
        </w:rPr>
        <w:tab/>
        <w:t xml:space="preserve">r ≥ 1.01 </w:t>
      </w:r>
      <w:r w:rsidRPr="009F1A9E">
        <w:rPr>
          <w:sz w:val="21"/>
        </w:rPr>
        <w:tab/>
      </w:r>
    </w:p>
    <w:p w14:paraId="52F25AB0" w14:textId="5A52487E"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9504" behindDoc="0" locked="0" layoutInCell="1" allowOverlap="1" wp14:anchorId="142ABD1E" wp14:editId="46A5D9F3">
                <wp:simplePos x="0" y="0"/>
                <wp:positionH relativeFrom="column">
                  <wp:posOffset>1706880</wp:posOffset>
                </wp:positionH>
                <wp:positionV relativeFrom="paragraph">
                  <wp:posOffset>18415</wp:posOffset>
                </wp:positionV>
                <wp:extent cx="163830" cy="156845"/>
                <wp:effectExtent l="0" t="0" r="26670" b="14605"/>
                <wp:wrapNone/>
                <wp:docPr id="35" name="Flowchart: Connector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417E20" id="Flowchart: Connector 35" o:spid="_x0000_s1026" type="#_x0000_t120" style="position:absolute;margin-left:134.4pt;margin-top:1.45pt;width:12.9pt;height:1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5KmA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" fillcolor="yellow" strokecolor="#41719c" strokeweight="1pt">
                <v:stroke joinstyle="miter"/>
                <v:path arrowok="t"/>
              </v:shape>
            </w:pict>
          </mc:Fallback>
        </mc:AlternateContent>
      </w:r>
      <w:r w:rsidRPr="009F1A9E">
        <w:rPr>
          <w:sz w:val="21"/>
        </w:rPr>
        <w:tab/>
        <w:t>0.99 &lt; r &lt; 1.01</w:t>
      </w:r>
    </w:p>
    <w:p w14:paraId="368DFE82" w14:textId="000B7C14"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70528" behindDoc="0" locked="0" layoutInCell="1" allowOverlap="1" wp14:anchorId="63A72601" wp14:editId="1E69CF54">
                <wp:simplePos x="0" y="0"/>
                <wp:positionH relativeFrom="column">
                  <wp:posOffset>1706880</wp:posOffset>
                </wp:positionH>
                <wp:positionV relativeFrom="paragraph">
                  <wp:posOffset>31115</wp:posOffset>
                </wp:positionV>
                <wp:extent cx="163830" cy="156845"/>
                <wp:effectExtent l="0" t="0" r="26670" b="14605"/>
                <wp:wrapNone/>
                <wp:docPr id="34"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ECD88" id="Flowchart: Connector 34" o:spid="_x0000_s1026" type="#_x0000_t120" style="position:absolute;margin-left:134.4pt;margin-top:2.45pt;width:12.9pt;height:1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Drkw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" fillcolor="red" strokecolor="#41719c" strokeweight="1pt">
                <v:stroke joinstyle="miter"/>
                <v:path arrowok="t"/>
              </v:shape>
            </w:pict>
          </mc:Fallback>
        </mc:AlternateContent>
      </w:r>
      <w:r w:rsidRPr="009F1A9E">
        <w:rPr>
          <w:sz w:val="21"/>
        </w:rPr>
        <w:tab/>
        <w:t>r ≤ 0.99</w:t>
      </w:r>
    </w:p>
    <w:p w14:paraId="0069A2A3" w14:textId="77777777" w:rsidR="007A7EFD" w:rsidRPr="009F1A9E" w:rsidRDefault="007A7EFD" w:rsidP="007A7EFD">
      <w:pPr>
        <w:rPr>
          <w:sz w:val="21"/>
          <w:u w:val="single"/>
        </w:rPr>
      </w:pPr>
    </w:p>
    <w:p w14:paraId="6F90FFC8" w14:textId="77777777" w:rsidR="007A7EFD" w:rsidRPr="009F1A9E" w:rsidRDefault="007A7EFD" w:rsidP="007A7EFD">
      <w:pPr>
        <w:spacing w:before="240"/>
        <w:rPr>
          <w:sz w:val="21"/>
        </w:rPr>
      </w:pPr>
      <w:r w:rsidRPr="009F1A9E">
        <w:rPr>
          <w:sz w:val="21"/>
          <w:u w:val="single"/>
        </w:rPr>
        <w:t>Comments:</w:t>
      </w:r>
    </w:p>
    <w:p w14:paraId="28B1A12F" w14:textId="77777777" w:rsidR="007A7EFD" w:rsidRPr="009F1A9E" w:rsidRDefault="007A7EFD" w:rsidP="007A7EFD">
      <w:pPr>
        <w:rPr>
          <w:sz w:val="21"/>
        </w:rPr>
      </w:pPr>
      <w:r w:rsidRPr="009F1A9E">
        <w:rPr>
          <w:sz w:val="21"/>
        </w:rPr>
        <w:t>Using June 30 as the date for reporting, allows for the certification bodies to have their databases updated so they can provide information to FAO by end of the year, and then be included in the annual reporting to SDG in the beginning of the following year.</w:t>
      </w:r>
    </w:p>
    <w:p w14:paraId="50D0A16E" w14:textId="77777777" w:rsidR="007A7EFD" w:rsidRPr="00E43CC4" w:rsidRDefault="007A7EFD" w:rsidP="00E43CC4">
      <w:pPr>
        <w:shd w:val="clear" w:color="auto" w:fill="FFFFFF"/>
        <w:spacing w:after="0" w:line="256" w:lineRule="auto"/>
        <w:contextualSpacing/>
        <w:rPr>
          <w:rFonts w:cstheme="minorHAnsi"/>
          <w:color w:val="4A4A4A"/>
        </w:rPr>
      </w:pPr>
    </w:p>
    <w:sectPr w:rsidR="007A7EFD" w:rsidRPr="00E43CC4">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457A" w14:textId="77777777" w:rsidR="0009627D" w:rsidRDefault="0009627D" w:rsidP="00573C0B">
      <w:pPr>
        <w:spacing w:after="0" w:line="240" w:lineRule="auto"/>
      </w:pPr>
      <w:r>
        <w:separator/>
      </w:r>
    </w:p>
  </w:endnote>
  <w:endnote w:type="continuationSeparator" w:id="0">
    <w:p w14:paraId="16673B3E" w14:textId="77777777" w:rsidR="0009627D" w:rsidRDefault="0009627D" w:rsidP="00573C0B">
      <w:pPr>
        <w:spacing w:after="0" w:line="240" w:lineRule="auto"/>
      </w:pPr>
      <w:r>
        <w:continuationSeparator/>
      </w:r>
    </w:p>
  </w:endnote>
  <w:endnote w:type="continuationNotice" w:id="1">
    <w:p w14:paraId="08AAE70E" w14:textId="77777777" w:rsidR="0009627D" w:rsidRDefault="00096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A102" w14:textId="77777777" w:rsidR="0009627D" w:rsidRDefault="00096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FAE61" w14:textId="77777777" w:rsidR="0009627D" w:rsidRDefault="0009627D" w:rsidP="00573C0B">
      <w:pPr>
        <w:spacing w:after="0" w:line="240" w:lineRule="auto"/>
      </w:pPr>
      <w:r>
        <w:separator/>
      </w:r>
    </w:p>
  </w:footnote>
  <w:footnote w:type="continuationSeparator" w:id="0">
    <w:p w14:paraId="37B6D3C7" w14:textId="77777777" w:rsidR="0009627D" w:rsidRDefault="0009627D" w:rsidP="00573C0B">
      <w:pPr>
        <w:spacing w:after="0" w:line="240" w:lineRule="auto"/>
      </w:pPr>
      <w:r>
        <w:continuationSeparator/>
      </w:r>
    </w:p>
  </w:footnote>
  <w:footnote w:type="continuationNotice" w:id="1">
    <w:p w14:paraId="7173534B" w14:textId="77777777" w:rsidR="0009627D" w:rsidRDefault="0009627D">
      <w:pPr>
        <w:spacing w:after="0" w:line="240" w:lineRule="auto"/>
      </w:pPr>
    </w:p>
  </w:footnote>
  <w:footnote w:id="2">
    <w:p w14:paraId="27100C10" w14:textId="77777777" w:rsidR="00B82BA0" w:rsidRPr="004E33D3" w:rsidRDefault="00B82BA0" w:rsidP="007A7EFD">
      <w:pPr>
        <w:pStyle w:val="FootnoteText"/>
      </w:pPr>
      <w:r>
        <w:rPr>
          <w:rStyle w:val="FootnoteReference"/>
        </w:rPr>
        <w:footnoteRef/>
      </w:r>
      <w:r>
        <w:t xml:space="preserve"> annual forest area loss rate = </w:t>
      </w:r>
      <w:r w:rsidRPr="004E33D3">
        <w:rPr>
          <w:b/>
        </w:rPr>
        <w:t>-</w:t>
      </w:r>
      <w:r>
        <w:t xml:space="preserve"> (annual forest area change 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803E099" w:rsidR="00B82BA0" w:rsidRPr="00757E8A" w:rsidRDefault="00B82BA0"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singleLevel"/>
    <w:tmpl w:val="0000000E"/>
    <w:name w:val="WW8Num13"/>
    <w:lvl w:ilvl="0">
      <w:start w:val="1"/>
      <w:numFmt w:val="decimal"/>
      <w:lvlText w:val="%1."/>
      <w:lvlJc w:val="left"/>
      <w:pPr>
        <w:tabs>
          <w:tab w:val="num" w:pos="360"/>
        </w:tabs>
        <w:ind w:left="360" w:hanging="360"/>
      </w:pPr>
    </w:lvl>
  </w:abstractNum>
  <w:abstractNum w:abstractNumId="1" w15:restartNumberingAfterBreak="0">
    <w:nsid w:val="00000041"/>
    <w:multiLevelType w:val="singleLevel"/>
    <w:tmpl w:val="00000041"/>
    <w:name w:val="WW8Num65"/>
    <w:lvl w:ilvl="0">
      <w:start w:val="1"/>
      <w:numFmt w:val="decimal"/>
      <w:lvlText w:val="%1."/>
      <w:lvlJc w:val="left"/>
      <w:pPr>
        <w:tabs>
          <w:tab w:val="num" w:pos="360"/>
        </w:tabs>
        <w:ind w:left="360" w:hanging="360"/>
      </w:pPr>
    </w:lvl>
  </w:abstractNum>
  <w:abstractNum w:abstractNumId="2" w15:restartNumberingAfterBreak="0">
    <w:nsid w:val="00000042"/>
    <w:multiLevelType w:val="singleLevel"/>
    <w:tmpl w:val="00000042"/>
    <w:lvl w:ilvl="0">
      <w:start w:val="1"/>
      <w:numFmt w:val="decimal"/>
      <w:lvlText w:val="%1."/>
      <w:lvlJc w:val="left"/>
      <w:pPr>
        <w:tabs>
          <w:tab w:val="num" w:pos="360"/>
        </w:tabs>
        <w:ind w:left="360" w:hanging="360"/>
      </w:pPr>
    </w:lvl>
  </w:abstractNum>
  <w:abstractNum w:abstractNumId="3" w15:restartNumberingAfterBreak="0">
    <w:nsid w:val="083C0DEE"/>
    <w:multiLevelType w:val="hybridMultilevel"/>
    <w:tmpl w:val="A120BBD0"/>
    <w:lvl w:ilvl="0" w:tplc="92D693E0">
      <w:start w:val="1"/>
      <w:numFmt w:val="decimal"/>
      <w:lvlText w:val="%1."/>
      <w:lvlJc w:val="left"/>
      <w:pPr>
        <w:ind w:left="360" w:hanging="360"/>
      </w:pPr>
      <w:rPr>
        <w:rFonts w:ascii="Times New Roman" w:hAnsi="Times New Roman" w:cs="Times New Roman" w:hint="default"/>
        <w:sz w:val="19"/>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0E6B5F65"/>
    <w:multiLevelType w:val="hybridMultilevel"/>
    <w:tmpl w:val="F07E9F86"/>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4523FAF"/>
    <w:multiLevelType w:val="singleLevel"/>
    <w:tmpl w:val="00000042"/>
    <w:lvl w:ilvl="0">
      <w:start w:val="1"/>
      <w:numFmt w:val="decimal"/>
      <w:lvlText w:val="%1."/>
      <w:lvlJc w:val="left"/>
      <w:pPr>
        <w:tabs>
          <w:tab w:val="num" w:pos="360"/>
        </w:tabs>
        <w:ind w:left="360" w:hanging="360"/>
      </w:pPr>
    </w:lvl>
  </w:abstractNum>
  <w:abstractNum w:abstractNumId="6"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171D2"/>
    <w:multiLevelType w:val="hybridMultilevel"/>
    <w:tmpl w:val="00622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7"/>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1"/>
  </w:num>
  <w:num w:numId="10">
    <w:abstractNumId w:val="2"/>
  </w:num>
  <w:num w:numId="11">
    <w:abstractNumId w:val="5"/>
  </w:num>
  <w:num w:numId="12">
    <w:abstractNumId w:val="0"/>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5D74"/>
    <w:rsid w:val="00096186"/>
    <w:rsid w:val="0009627D"/>
    <w:rsid w:val="000A72E4"/>
    <w:rsid w:val="000B0E2F"/>
    <w:rsid w:val="000B2430"/>
    <w:rsid w:val="000D0B30"/>
    <w:rsid w:val="000D5189"/>
    <w:rsid w:val="000E21F1"/>
    <w:rsid w:val="000F703E"/>
    <w:rsid w:val="00120E86"/>
    <w:rsid w:val="00125DE9"/>
    <w:rsid w:val="001332E0"/>
    <w:rsid w:val="00134DE7"/>
    <w:rsid w:val="001408AE"/>
    <w:rsid w:val="00185354"/>
    <w:rsid w:val="001854DC"/>
    <w:rsid w:val="00186795"/>
    <w:rsid w:val="00194D09"/>
    <w:rsid w:val="001A7D5C"/>
    <w:rsid w:val="001B60AA"/>
    <w:rsid w:val="001B63C8"/>
    <w:rsid w:val="001C1972"/>
    <w:rsid w:val="001C421F"/>
    <w:rsid w:val="001C7EBF"/>
    <w:rsid w:val="001D360D"/>
    <w:rsid w:val="001F3245"/>
    <w:rsid w:val="0021071D"/>
    <w:rsid w:val="00260132"/>
    <w:rsid w:val="00261A8D"/>
    <w:rsid w:val="00283C1C"/>
    <w:rsid w:val="0029151E"/>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C2F9D"/>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B4AC2"/>
    <w:rsid w:val="005D0AF4"/>
    <w:rsid w:val="005E54BD"/>
    <w:rsid w:val="005F6CCA"/>
    <w:rsid w:val="006104AF"/>
    <w:rsid w:val="00616932"/>
    <w:rsid w:val="00621893"/>
    <w:rsid w:val="006351E1"/>
    <w:rsid w:val="006447B1"/>
    <w:rsid w:val="00662775"/>
    <w:rsid w:val="006852FC"/>
    <w:rsid w:val="00685844"/>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A7EFD"/>
    <w:rsid w:val="007B0364"/>
    <w:rsid w:val="007D0981"/>
    <w:rsid w:val="007D1929"/>
    <w:rsid w:val="00803CF1"/>
    <w:rsid w:val="008104BB"/>
    <w:rsid w:val="0081686A"/>
    <w:rsid w:val="008249C5"/>
    <w:rsid w:val="00833275"/>
    <w:rsid w:val="008526F9"/>
    <w:rsid w:val="0085285E"/>
    <w:rsid w:val="00853023"/>
    <w:rsid w:val="008534D4"/>
    <w:rsid w:val="00881E28"/>
    <w:rsid w:val="00894C4B"/>
    <w:rsid w:val="008A12E3"/>
    <w:rsid w:val="008A42FA"/>
    <w:rsid w:val="008B0AC7"/>
    <w:rsid w:val="008C2335"/>
    <w:rsid w:val="008C67C1"/>
    <w:rsid w:val="008D1A7D"/>
    <w:rsid w:val="008D1D39"/>
    <w:rsid w:val="008D1DD3"/>
    <w:rsid w:val="008F07D2"/>
    <w:rsid w:val="00917851"/>
    <w:rsid w:val="00917F65"/>
    <w:rsid w:val="009311E7"/>
    <w:rsid w:val="00942694"/>
    <w:rsid w:val="00957524"/>
    <w:rsid w:val="009A7E3A"/>
    <w:rsid w:val="009B1265"/>
    <w:rsid w:val="009B4A15"/>
    <w:rsid w:val="009B5693"/>
    <w:rsid w:val="009C61A2"/>
    <w:rsid w:val="009C78E4"/>
    <w:rsid w:val="009D687E"/>
    <w:rsid w:val="009F6DE7"/>
    <w:rsid w:val="00A07CEF"/>
    <w:rsid w:val="00A10583"/>
    <w:rsid w:val="00A37FCB"/>
    <w:rsid w:val="00A54863"/>
    <w:rsid w:val="00A61D74"/>
    <w:rsid w:val="00A72969"/>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08DD"/>
    <w:rsid w:val="00B52AFD"/>
    <w:rsid w:val="00B54077"/>
    <w:rsid w:val="00B55FFD"/>
    <w:rsid w:val="00B8087E"/>
    <w:rsid w:val="00B82BA0"/>
    <w:rsid w:val="00B841C6"/>
    <w:rsid w:val="00BB646E"/>
    <w:rsid w:val="00BD1BA1"/>
    <w:rsid w:val="00C019E5"/>
    <w:rsid w:val="00C35BC4"/>
    <w:rsid w:val="00C43F5B"/>
    <w:rsid w:val="00C84FCF"/>
    <w:rsid w:val="00CB4371"/>
    <w:rsid w:val="00CC516D"/>
    <w:rsid w:val="00D24330"/>
    <w:rsid w:val="00D40056"/>
    <w:rsid w:val="00D51E7C"/>
    <w:rsid w:val="00D54F29"/>
    <w:rsid w:val="00D7020C"/>
    <w:rsid w:val="00D70AD9"/>
    <w:rsid w:val="00D72152"/>
    <w:rsid w:val="00D91689"/>
    <w:rsid w:val="00D945ED"/>
    <w:rsid w:val="00D94BA5"/>
    <w:rsid w:val="00D9510F"/>
    <w:rsid w:val="00DA615C"/>
    <w:rsid w:val="00DD1BC6"/>
    <w:rsid w:val="00DE5DC3"/>
    <w:rsid w:val="00E00D8A"/>
    <w:rsid w:val="00E1050F"/>
    <w:rsid w:val="00E11604"/>
    <w:rsid w:val="00E11D92"/>
    <w:rsid w:val="00E130A0"/>
    <w:rsid w:val="00E16C64"/>
    <w:rsid w:val="00E210C4"/>
    <w:rsid w:val="00E23DB7"/>
    <w:rsid w:val="00E43CC4"/>
    <w:rsid w:val="00E4640E"/>
    <w:rsid w:val="00E46D96"/>
    <w:rsid w:val="00E5246D"/>
    <w:rsid w:val="00E52BF7"/>
    <w:rsid w:val="00E52CCA"/>
    <w:rsid w:val="00E66409"/>
    <w:rsid w:val="00E81D5B"/>
    <w:rsid w:val="00E976B9"/>
    <w:rsid w:val="00EA05D3"/>
    <w:rsid w:val="00EB19AD"/>
    <w:rsid w:val="00EB2F31"/>
    <w:rsid w:val="00EB6493"/>
    <w:rsid w:val="00EC2915"/>
    <w:rsid w:val="00ED05A9"/>
    <w:rsid w:val="00ED1BA0"/>
    <w:rsid w:val="00ED6D84"/>
    <w:rsid w:val="00EF2C39"/>
    <w:rsid w:val="00EF3766"/>
    <w:rsid w:val="00F17257"/>
    <w:rsid w:val="00F211B0"/>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245"/>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8D1DD3"/>
    <w:pPr>
      <w:autoSpaceDE w:val="0"/>
      <w:autoSpaceDN w:val="0"/>
      <w:adjustRightInd w:val="0"/>
      <w:spacing w:after="0" w:line="240" w:lineRule="auto"/>
    </w:pPr>
    <w:rPr>
      <w:rFonts w:ascii="Calibri" w:eastAsia="Calibri" w:hAnsi="Calibri" w:cs="Calibri"/>
      <w:color w:val="000000"/>
      <w:sz w:val="24"/>
      <w:szCs w:val="24"/>
      <w:lang w:val="en-US" w:eastAsia="en-US"/>
    </w:rPr>
  </w:style>
  <w:style w:type="table" w:customStyle="1" w:styleId="GridTable1Light-Accent11">
    <w:name w:val="Grid Table 1 Light - Accent 11"/>
    <w:basedOn w:val="TableNormal"/>
    <w:next w:val="GridTable1Light-Accent1"/>
    <w:uiPriority w:val="46"/>
    <w:rsid w:val="008D1DD3"/>
    <w:pPr>
      <w:spacing w:after="0" w:line="240" w:lineRule="auto"/>
    </w:pPr>
    <w:rPr>
      <w:rFonts w:ascii="Calibri" w:eastAsia="Calibri" w:hAnsi="Calibri" w:cs="Arial"/>
      <w:lang w:val="en-US" w:eastAsia="en-US"/>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D1DD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7A7EFD"/>
    <w:pPr>
      <w:widowControl w:val="0"/>
      <w:autoSpaceDE w:val="0"/>
      <w:autoSpaceDN w:val="0"/>
      <w:adjustRightInd w:val="0"/>
      <w:spacing w:after="0" w:line="240" w:lineRule="auto"/>
      <w:ind w:left="540"/>
    </w:pPr>
    <w:rPr>
      <w:rFonts w:ascii="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semiHidden/>
    <w:rsid w:val="007A7EFD"/>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7A7EFD"/>
    <w:rPr>
      <w:vertAlign w:val="superscript"/>
    </w:rPr>
  </w:style>
  <w:style w:type="paragraph" w:styleId="NormalWeb">
    <w:name w:val="Normal (Web)"/>
    <w:basedOn w:val="Normal"/>
    <w:uiPriority w:val="99"/>
    <w:semiHidden/>
    <w:unhideWhenUsed/>
    <w:rsid w:val="0009627D"/>
    <w:pPr>
      <w:spacing w:after="160" w:line="259" w:lineRule="auto"/>
    </w:pPr>
    <w:rPr>
      <w:rFonts w:ascii="Times New Roman" w:eastAsiaTheme="minorHAnsi" w:hAnsi="Times New Roman" w:cs="Times New Roman"/>
      <w:sz w:val="24"/>
      <w:szCs w:val="24"/>
      <w:lang w:val="en-US" w:eastAsia="en-US"/>
    </w:rPr>
  </w:style>
  <w:style w:type="character" w:styleId="UnresolvedMention">
    <w:name w:val="Unresolved Mention"/>
    <w:basedOn w:val="DefaultParagraphFont"/>
    <w:uiPriority w:val="99"/>
    <w:semiHidden/>
    <w:unhideWhenUsed/>
    <w:rsid w:val="000962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96">
      <w:bodyDiv w:val="1"/>
      <w:marLeft w:val="0"/>
      <w:marRight w:val="0"/>
      <w:marTop w:val="0"/>
      <w:marBottom w:val="0"/>
      <w:divBdr>
        <w:top w:val="none" w:sz="0" w:space="0" w:color="auto"/>
        <w:left w:val="none" w:sz="0" w:space="0" w:color="auto"/>
        <w:bottom w:val="none" w:sz="0" w:space="0" w:color="auto"/>
        <w:right w:val="none" w:sz="0" w:space="0" w:color="auto"/>
      </w:divBdr>
    </w:div>
    <w:div w:id="131681483">
      <w:bodyDiv w:val="1"/>
      <w:marLeft w:val="0"/>
      <w:marRight w:val="0"/>
      <w:marTop w:val="0"/>
      <w:marBottom w:val="0"/>
      <w:divBdr>
        <w:top w:val="none" w:sz="0" w:space="0" w:color="auto"/>
        <w:left w:val="none" w:sz="0" w:space="0" w:color="auto"/>
        <w:bottom w:val="none" w:sz="0" w:space="0" w:color="auto"/>
        <w:right w:val="none" w:sz="0" w:space="0" w:color="auto"/>
      </w:divBdr>
    </w:div>
    <w:div w:id="178082102">
      <w:bodyDiv w:val="1"/>
      <w:marLeft w:val="0"/>
      <w:marRight w:val="0"/>
      <w:marTop w:val="0"/>
      <w:marBottom w:val="0"/>
      <w:divBdr>
        <w:top w:val="none" w:sz="0" w:space="0" w:color="auto"/>
        <w:left w:val="none" w:sz="0" w:space="0" w:color="auto"/>
        <w:bottom w:val="none" w:sz="0" w:space="0" w:color="auto"/>
        <w:right w:val="none" w:sz="0" w:space="0" w:color="auto"/>
      </w:divBdr>
    </w:div>
    <w:div w:id="196236565">
      <w:bodyDiv w:val="1"/>
      <w:marLeft w:val="0"/>
      <w:marRight w:val="0"/>
      <w:marTop w:val="0"/>
      <w:marBottom w:val="0"/>
      <w:divBdr>
        <w:top w:val="none" w:sz="0" w:space="0" w:color="auto"/>
        <w:left w:val="none" w:sz="0" w:space="0" w:color="auto"/>
        <w:bottom w:val="none" w:sz="0" w:space="0" w:color="auto"/>
        <w:right w:val="none" w:sz="0" w:space="0" w:color="auto"/>
      </w:divBdr>
    </w:div>
    <w:div w:id="374349149">
      <w:bodyDiv w:val="1"/>
      <w:marLeft w:val="0"/>
      <w:marRight w:val="0"/>
      <w:marTop w:val="0"/>
      <w:marBottom w:val="0"/>
      <w:divBdr>
        <w:top w:val="none" w:sz="0" w:space="0" w:color="auto"/>
        <w:left w:val="none" w:sz="0" w:space="0" w:color="auto"/>
        <w:bottom w:val="none" w:sz="0" w:space="0" w:color="auto"/>
        <w:right w:val="none" w:sz="0" w:space="0" w:color="auto"/>
      </w:divBdr>
    </w:div>
    <w:div w:id="397172340">
      <w:bodyDiv w:val="1"/>
      <w:marLeft w:val="0"/>
      <w:marRight w:val="0"/>
      <w:marTop w:val="0"/>
      <w:marBottom w:val="0"/>
      <w:divBdr>
        <w:top w:val="none" w:sz="0" w:space="0" w:color="auto"/>
        <w:left w:val="none" w:sz="0" w:space="0" w:color="auto"/>
        <w:bottom w:val="none" w:sz="0" w:space="0" w:color="auto"/>
        <w:right w:val="none" w:sz="0" w:space="0" w:color="auto"/>
      </w:divBdr>
    </w:div>
    <w:div w:id="600454499">
      <w:bodyDiv w:val="1"/>
      <w:marLeft w:val="0"/>
      <w:marRight w:val="0"/>
      <w:marTop w:val="0"/>
      <w:marBottom w:val="0"/>
      <w:divBdr>
        <w:top w:val="none" w:sz="0" w:space="0" w:color="auto"/>
        <w:left w:val="none" w:sz="0" w:space="0" w:color="auto"/>
        <w:bottom w:val="none" w:sz="0" w:space="0" w:color="auto"/>
        <w:right w:val="none" w:sz="0" w:space="0" w:color="auto"/>
      </w:divBdr>
    </w:div>
    <w:div w:id="744835277">
      <w:bodyDiv w:val="1"/>
      <w:marLeft w:val="0"/>
      <w:marRight w:val="0"/>
      <w:marTop w:val="0"/>
      <w:marBottom w:val="0"/>
      <w:divBdr>
        <w:top w:val="none" w:sz="0" w:space="0" w:color="auto"/>
        <w:left w:val="none" w:sz="0" w:space="0" w:color="auto"/>
        <w:bottom w:val="none" w:sz="0" w:space="0" w:color="auto"/>
        <w:right w:val="none" w:sz="0" w:space="0" w:color="auto"/>
      </w:divBdr>
    </w:div>
    <w:div w:id="94145018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165203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07450079">
      <w:bodyDiv w:val="1"/>
      <w:marLeft w:val="0"/>
      <w:marRight w:val="0"/>
      <w:marTop w:val="0"/>
      <w:marBottom w:val="0"/>
      <w:divBdr>
        <w:top w:val="none" w:sz="0" w:space="0" w:color="auto"/>
        <w:left w:val="none" w:sz="0" w:space="0" w:color="auto"/>
        <w:bottom w:val="none" w:sz="0" w:space="0" w:color="auto"/>
        <w:right w:val="none" w:sz="0" w:space="0" w:color="auto"/>
      </w:divBdr>
    </w:div>
    <w:div w:id="1266963211">
      <w:bodyDiv w:val="1"/>
      <w:marLeft w:val="0"/>
      <w:marRight w:val="0"/>
      <w:marTop w:val="0"/>
      <w:marBottom w:val="0"/>
      <w:divBdr>
        <w:top w:val="none" w:sz="0" w:space="0" w:color="auto"/>
        <w:left w:val="none" w:sz="0" w:space="0" w:color="auto"/>
        <w:bottom w:val="none" w:sz="0" w:space="0" w:color="auto"/>
        <w:right w:val="none" w:sz="0" w:space="0" w:color="auto"/>
      </w:divBdr>
    </w:div>
    <w:div w:id="1372806897">
      <w:bodyDiv w:val="1"/>
      <w:marLeft w:val="0"/>
      <w:marRight w:val="0"/>
      <w:marTop w:val="0"/>
      <w:marBottom w:val="0"/>
      <w:divBdr>
        <w:top w:val="none" w:sz="0" w:space="0" w:color="auto"/>
        <w:left w:val="none" w:sz="0" w:space="0" w:color="auto"/>
        <w:bottom w:val="none" w:sz="0" w:space="0" w:color="auto"/>
        <w:right w:val="none" w:sz="0" w:space="0" w:color="auto"/>
      </w:divBdr>
    </w:div>
    <w:div w:id="1432358153">
      <w:bodyDiv w:val="1"/>
      <w:marLeft w:val="0"/>
      <w:marRight w:val="0"/>
      <w:marTop w:val="0"/>
      <w:marBottom w:val="0"/>
      <w:divBdr>
        <w:top w:val="none" w:sz="0" w:space="0" w:color="auto"/>
        <w:left w:val="none" w:sz="0" w:space="0" w:color="auto"/>
        <w:bottom w:val="none" w:sz="0" w:space="0" w:color="auto"/>
        <w:right w:val="none" w:sz="0" w:space="0" w:color="auto"/>
      </w:divBdr>
    </w:div>
    <w:div w:id="1451243376">
      <w:bodyDiv w:val="1"/>
      <w:marLeft w:val="0"/>
      <w:marRight w:val="0"/>
      <w:marTop w:val="0"/>
      <w:marBottom w:val="0"/>
      <w:divBdr>
        <w:top w:val="none" w:sz="0" w:space="0" w:color="auto"/>
        <w:left w:val="none" w:sz="0" w:space="0" w:color="auto"/>
        <w:bottom w:val="none" w:sz="0" w:space="0" w:color="auto"/>
        <w:right w:val="none" w:sz="0" w:space="0" w:color="auto"/>
      </w:divBdr>
    </w:div>
    <w:div w:id="1453206716">
      <w:bodyDiv w:val="1"/>
      <w:marLeft w:val="0"/>
      <w:marRight w:val="0"/>
      <w:marTop w:val="0"/>
      <w:marBottom w:val="0"/>
      <w:divBdr>
        <w:top w:val="none" w:sz="0" w:space="0" w:color="auto"/>
        <w:left w:val="none" w:sz="0" w:space="0" w:color="auto"/>
        <w:bottom w:val="none" w:sz="0" w:space="0" w:color="auto"/>
        <w:right w:val="none" w:sz="0" w:space="0" w:color="auto"/>
      </w:divBdr>
    </w:div>
    <w:div w:id="1577858764">
      <w:bodyDiv w:val="1"/>
      <w:marLeft w:val="0"/>
      <w:marRight w:val="0"/>
      <w:marTop w:val="0"/>
      <w:marBottom w:val="0"/>
      <w:divBdr>
        <w:top w:val="none" w:sz="0" w:space="0" w:color="auto"/>
        <w:left w:val="none" w:sz="0" w:space="0" w:color="auto"/>
        <w:bottom w:val="none" w:sz="0" w:space="0" w:color="auto"/>
        <w:right w:val="none" w:sz="0" w:space="0" w:color="auto"/>
      </w:divBdr>
    </w:div>
    <w:div w:id="1676297447">
      <w:bodyDiv w:val="1"/>
      <w:marLeft w:val="0"/>
      <w:marRight w:val="0"/>
      <w:marTop w:val="0"/>
      <w:marBottom w:val="0"/>
      <w:divBdr>
        <w:top w:val="none" w:sz="0" w:space="0" w:color="auto"/>
        <w:left w:val="none" w:sz="0" w:space="0" w:color="auto"/>
        <w:bottom w:val="none" w:sz="0" w:space="0" w:color="auto"/>
        <w:right w:val="none" w:sz="0" w:space="0" w:color="auto"/>
      </w:divBdr>
    </w:div>
    <w:div w:id="1711952729">
      <w:bodyDiv w:val="1"/>
      <w:marLeft w:val="0"/>
      <w:marRight w:val="0"/>
      <w:marTop w:val="0"/>
      <w:marBottom w:val="0"/>
      <w:divBdr>
        <w:top w:val="none" w:sz="0" w:space="0" w:color="auto"/>
        <w:left w:val="none" w:sz="0" w:space="0" w:color="auto"/>
        <w:bottom w:val="none" w:sz="0" w:space="0" w:color="auto"/>
        <w:right w:val="none" w:sz="0" w:space="0" w:color="auto"/>
      </w:divBdr>
    </w:div>
    <w:div w:id="1852797516">
      <w:bodyDiv w:val="1"/>
      <w:marLeft w:val="0"/>
      <w:marRight w:val="0"/>
      <w:marTop w:val="0"/>
      <w:marBottom w:val="0"/>
      <w:divBdr>
        <w:top w:val="none" w:sz="0" w:space="0" w:color="auto"/>
        <w:left w:val="none" w:sz="0" w:space="0" w:color="auto"/>
        <w:bottom w:val="none" w:sz="0" w:space="0" w:color="auto"/>
        <w:right w:val="none" w:sz="0" w:space="0" w:color="auto"/>
      </w:divBdr>
    </w:div>
    <w:div w:id="1913663011">
      <w:bodyDiv w:val="1"/>
      <w:marLeft w:val="0"/>
      <w:marRight w:val="0"/>
      <w:marTop w:val="0"/>
      <w:marBottom w:val="0"/>
      <w:divBdr>
        <w:top w:val="none" w:sz="0" w:space="0" w:color="auto"/>
        <w:left w:val="none" w:sz="0" w:space="0" w:color="auto"/>
        <w:bottom w:val="none" w:sz="0" w:space="0" w:color="auto"/>
        <w:right w:val="none" w:sz="0" w:space="0" w:color="auto"/>
      </w:divBdr>
    </w:div>
    <w:div w:id="1938324326">
      <w:bodyDiv w:val="1"/>
      <w:marLeft w:val="0"/>
      <w:marRight w:val="0"/>
      <w:marTop w:val="0"/>
      <w:marBottom w:val="0"/>
      <w:divBdr>
        <w:top w:val="none" w:sz="0" w:space="0" w:color="auto"/>
        <w:left w:val="none" w:sz="0" w:space="0" w:color="auto"/>
        <w:bottom w:val="none" w:sz="0" w:space="0" w:color="auto"/>
        <w:right w:val="none" w:sz="0" w:space="0" w:color="auto"/>
      </w:divBdr>
    </w:div>
    <w:div w:id="1951428562">
      <w:bodyDiv w:val="1"/>
      <w:marLeft w:val="0"/>
      <w:marRight w:val="0"/>
      <w:marTop w:val="0"/>
      <w:marBottom w:val="0"/>
      <w:divBdr>
        <w:top w:val="none" w:sz="0" w:space="0" w:color="auto"/>
        <w:left w:val="none" w:sz="0" w:space="0" w:color="auto"/>
        <w:bottom w:val="none" w:sz="0" w:space="0" w:color="auto"/>
        <w:right w:val="none" w:sz="0" w:space="0" w:color="auto"/>
      </w:divBdr>
    </w:div>
    <w:div w:id="20237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I8661EN/i8661en.pdf"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3/I8699EN/i8699en.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ao.org/3/I8661EN/i8661e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ra-platform.herokuapp.com" TargetMode="External"/><Relationship Id="rId5" Type="http://schemas.openxmlformats.org/officeDocument/2006/relationships/numbering" Target="numbering.xml"/><Relationship Id="rId15" Type="http://schemas.openxmlformats.org/officeDocument/2006/relationships/hyperlink" Target="http://www.fao.org/3/I8699EN/i8699en.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forest-resources-assessme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DD_x002f_NFM_x0020_category xmlns="cc7ce8ca-8f52-44ec-9496-3c41d0f5ad18"/>
    <TaxKeywordTaxHTField xmlns="cc7ce8ca-8f52-44ec-9496-3c41d0f5ad18">
      <Terms xmlns="http://schemas.microsoft.com/office/infopath/2007/PartnerControls"/>
    </TaxKeywordTaxHTField>
    <TaxCatchAll xmlns="cc7ce8ca-8f52-44ec-9496-3c41d0f5ad18"/>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82302deb-32b0-442b-bedc-ba64a9aa8ccd"/>
    <ds:schemaRef ds:uri="http://purl.org/dc/elements/1.1/"/>
    <ds:schemaRef ds:uri="http://schemas.microsoft.com/office/2006/metadata/properties"/>
    <ds:schemaRef ds:uri="cc7ce8ca-8f52-44ec-9496-3c41d0f5ad18"/>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19F89E-9F94-4F87-9683-211F29D4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2021-03-28T03:58:00Z</dcterms:created>
  <dcterms:modified xsi:type="dcterms:W3CDTF">2021-03-28T03:58:00Z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0x0101003082C08FD3D0614AAB94B75C024070A7</vt:lpwstr>
  </property>
  <property fmtid="{D5CDD505-2E9C-101B-9397-08002B2CF9AE}" pid="3" name="TaxKeyword">
    <vt:lpwstr/>
  </property>
</Properties>
</file>