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C0C5C" w14:textId="77777777" w:rsidR="002C7F7A" w:rsidRPr="0021400E" w:rsidRDefault="002C7F7A" w:rsidP="0021400E">
      <w:pPr>
        <w:pStyle w:val="Heading5"/>
        <w:shd w:val="clear" w:color="auto" w:fill="F5F5F5"/>
        <w:spacing w:before="0" w:beforeAutospacing="0" w:after="0" w:afterAutospacing="0"/>
        <w:rPr>
          <w:rFonts w:asciiTheme="minorHAnsi" w:hAnsiTheme="minorHAnsi"/>
          <w:b w:val="0"/>
          <w:bCs w:val="0"/>
          <w:color w:val="333333"/>
          <w:sz w:val="21"/>
          <w:szCs w:val="21"/>
        </w:rPr>
      </w:pPr>
      <w:r w:rsidRPr="0021400E">
        <w:rPr>
          <w:rFonts w:asciiTheme="minorHAnsi" w:hAnsiTheme="minorHAnsi"/>
          <w:b w:val="0"/>
          <w:bCs w:val="0"/>
          <w:color w:val="333333"/>
          <w:sz w:val="21"/>
          <w:szCs w:val="21"/>
        </w:rPr>
        <w:t>Goal 16: Promote peaceful and inclusive societies for sustainable development, provide access to justice for all and build effective, accountable and inclusive institutions at all levels</w:t>
      </w:r>
    </w:p>
    <w:p w14:paraId="2F8C0C5D" w14:textId="77777777" w:rsidR="002C7F7A" w:rsidRPr="0021400E" w:rsidRDefault="002C7F7A" w:rsidP="0021400E">
      <w:pPr>
        <w:pStyle w:val="Heading5"/>
        <w:shd w:val="clear" w:color="auto" w:fill="F5F5F5"/>
        <w:spacing w:before="0" w:beforeAutospacing="0" w:after="0" w:afterAutospacing="0"/>
        <w:rPr>
          <w:rFonts w:asciiTheme="minorHAnsi" w:hAnsiTheme="minorHAnsi"/>
          <w:b w:val="0"/>
          <w:bCs w:val="0"/>
          <w:color w:val="333333"/>
          <w:sz w:val="21"/>
          <w:szCs w:val="21"/>
        </w:rPr>
      </w:pPr>
      <w:r w:rsidRPr="0021400E">
        <w:rPr>
          <w:rFonts w:asciiTheme="minorHAnsi" w:hAnsiTheme="minorHAnsi"/>
          <w:b w:val="0"/>
          <w:bCs w:val="0"/>
          <w:color w:val="333333"/>
          <w:sz w:val="21"/>
          <w:szCs w:val="21"/>
        </w:rPr>
        <w:t>Target 16.6: Develop effective, accountable and transparent institutions at all levels</w:t>
      </w:r>
    </w:p>
    <w:p w14:paraId="2F8C0C5E" w14:textId="77777777" w:rsidR="002C7F7A" w:rsidRPr="0021400E" w:rsidRDefault="002C7F7A" w:rsidP="0021400E">
      <w:pPr>
        <w:pStyle w:val="Heading2"/>
        <w:shd w:val="clear" w:color="auto" w:fill="F5F5F5"/>
        <w:spacing w:before="0" w:beforeAutospacing="0" w:after="0" w:afterAutospacing="0"/>
        <w:rPr>
          <w:rFonts w:asciiTheme="minorHAnsi" w:hAnsiTheme="minorHAnsi"/>
          <w:b w:val="0"/>
          <w:bCs w:val="0"/>
          <w:color w:val="1C75BC"/>
          <w:sz w:val="24"/>
          <w:szCs w:val="24"/>
        </w:rPr>
      </w:pPr>
      <w:bookmarkStart w:id="0" w:name="_Toc455354717"/>
      <w:r w:rsidRPr="0021400E">
        <w:rPr>
          <w:rFonts w:asciiTheme="minorHAnsi" w:hAnsiTheme="minorHAnsi"/>
          <w:b w:val="0"/>
          <w:bCs w:val="0"/>
          <w:color w:val="1C75BC"/>
          <w:sz w:val="24"/>
          <w:szCs w:val="24"/>
        </w:rPr>
        <w:t>Indicator 16.6.1: Primary government expenditures as a proportion of original approved budget, by sector (or by budget codes or similar)</w:t>
      </w:r>
      <w:bookmarkEnd w:id="0"/>
    </w:p>
    <w:p w14:paraId="4D2404A5" w14:textId="77777777" w:rsidR="008C4535" w:rsidRDefault="008C4535" w:rsidP="0021400E">
      <w:pPr>
        <w:pStyle w:val="Heading3"/>
        <w:pBdr>
          <w:bottom w:val="single" w:sz="12" w:space="4" w:color="DDDDDD"/>
        </w:pBdr>
        <w:shd w:val="clear" w:color="auto" w:fill="FFFFFF"/>
        <w:spacing w:before="0" w:beforeAutospacing="0" w:after="0" w:afterAutospacing="0"/>
        <w:rPr>
          <w:rFonts w:asciiTheme="minorHAnsi" w:hAnsiTheme="minorHAnsi"/>
          <w:b w:val="0"/>
          <w:bCs w:val="0"/>
          <w:color w:val="1C75BC"/>
          <w:sz w:val="36"/>
          <w:szCs w:val="36"/>
        </w:rPr>
      </w:pPr>
    </w:p>
    <w:p w14:paraId="2F8C0C60" w14:textId="127C7F15" w:rsidR="002C7F7A" w:rsidRPr="0021400E" w:rsidRDefault="002C7F7A" w:rsidP="0021400E">
      <w:pPr>
        <w:pStyle w:val="Heading3"/>
        <w:pBdr>
          <w:bottom w:val="single" w:sz="12" w:space="4" w:color="DDDDDD"/>
        </w:pBdr>
        <w:shd w:val="clear" w:color="auto" w:fill="FFFFFF"/>
        <w:spacing w:before="0" w:beforeAutospacing="0" w:after="0" w:afterAutospacing="0"/>
        <w:rPr>
          <w:rFonts w:asciiTheme="minorHAnsi" w:hAnsiTheme="minorHAnsi"/>
          <w:b w:val="0"/>
          <w:bCs w:val="0"/>
          <w:color w:val="1C75BC"/>
          <w:sz w:val="36"/>
          <w:szCs w:val="36"/>
        </w:rPr>
      </w:pPr>
      <w:r w:rsidRPr="0021400E">
        <w:rPr>
          <w:rFonts w:asciiTheme="minorHAnsi" w:hAnsiTheme="minorHAnsi"/>
          <w:b w:val="0"/>
          <w:bCs w:val="0"/>
          <w:color w:val="1C75BC"/>
          <w:sz w:val="36"/>
          <w:szCs w:val="36"/>
        </w:rPr>
        <w:t>Institutional information</w:t>
      </w:r>
      <w:bookmarkStart w:id="1" w:name="_GoBack"/>
      <w:bookmarkEnd w:id="1"/>
    </w:p>
    <w:p w14:paraId="2F8C0C61" w14:textId="77777777" w:rsidR="002C7F7A" w:rsidRPr="0021400E" w:rsidRDefault="002C7F7A" w:rsidP="0021400E">
      <w:pPr>
        <w:shd w:val="clear" w:color="auto" w:fill="FFFFFF"/>
        <w:spacing w:after="0"/>
        <w:rPr>
          <w:rStyle w:val="Strong"/>
          <w:rFonts w:cs="Times New Roman"/>
          <w:color w:val="4A4A4A"/>
          <w:sz w:val="21"/>
          <w:szCs w:val="21"/>
        </w:rPr>
      </w:pPr>
    </w:p>
    <w:p w14:paraId="2F8C0C62" w14:textId="77777777" w:rsidR="002C7F7A" w:rsidRPr="0021400E" w:rsidRDefault="002C7F7A" w:rsidP="0021400E">
      <w:pPr>
        <w:shd w:val="clear" w:color="auto" w:fill="FFFFFF"/>
        <w:spacing w:after="0"/>
        <w:rPr>
          <w:rFonts w:cs="Times New Roman"/>
          <w:color w:val="4A4A4A"/>
          <w:sz w:val="21"/>
          <w:szCs w:val="21"/>
        </w:rPr>
      </w:pPr>
      <w:r w:rsidRPr="0021400E">
        <w:rPr>
          <w:rStyle w:val="Strong"/>
          <w:rFonts w:cs="Times New Roman"/>
          <w:color w:val="4A4A4A"/>
          <w:sz w:val="21"/>
          <w:szCs w:val="21"/>
        </w:rPr>
        <w:t>Organization(s):</w:t>
      </w:r>
    </w:p>
    <w:p w14:paraId="2F8C0C63" w14:textId="77777777" w:rsidR="002C7F7A" w:rsidRPr="0021400E" w:rsidRDefault="002C7F7A" w:rsidP="0021400E">
      <w:pPr>
        <w:shd w:val="clear" w:color="auto" w:fill="FFFFFF"/>
        <w:spacing w:after="0"/>
        <w:rPr>
          <w:rFonts w:cs="Times New Roman"/>
          <w:color w:val="4A4A4A"/>
          <w:sz w:val="21"/>
          <w:szCs w:val="21"/>
        </w:rPr>
      </w:pPr>
    </w:p>
    <w:p w14:paraId="2F8C0C64"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r w:rsidRPr="0021400E">
        <w:rPr>
          <w:rFonts w:asciiTheme="minorHAnsi" w:hAnsiTheme="minorHAnsi"/>
          <w:color w:val="4A4A4A"/>
          <w:sz w:val="21"/>
          <w:szCs w:val="21"/>
        </w:rPr>
        <w:t>World Bank (WB)</w:t>
      </w:r>
    </w:p>
    <w:p w14:paraId="2F8C0C65"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p>
    <w:p w14:paraId="2F8C0C66" w14:textId="77777777" w:rsidR="002C7F7A" w:rsidRPr="0021400E" w:rsidRDefault="002C7F7A" w:rsidP="0021400E">
      <w:pPr>
        <w:pStyle w:val="Heading3"/>
        <w:pBdr>
          <w:bottom w:val="single" w:sz="12" w:space="4" w:color="DDDDDD"/>
        </w:pBdr>
        <w:shd w:val="clear" w:color="auto" w:fill="FFFFFF"/>
        <w:spacing w:before="0" w:beforeAutospacing="0" w:after="0" w:afterAutospacing="0"/>
        <w:rPr>
          <w:rFonts w:asciiTheme="minorHAnsi" w:hAnsiTheme="minorHAnsi"/>
          <w:b w:val="0"/>
          <w:bCs w:val="0"/>
          <w:color w:val="1C75BC"/>
          <w:sz w:val="36"/>
          <w:szCs w:val="36"/>
        </w:rPr>
      </w:pPr>
      <w:r w:rsidRPr="0021400E">
        <w:rPr>
          <w:rFonts w:asciiTheme="minorHAnsi" w:hAnsiTheme="minorHAnsi"/>
          <w:b w:val="0"/>
          <w:bCs w:val="0"/>
          <w:color w:val="1C75BC"/>
          <w:sz w:val="36"/>
          <w:szCs w:val="36"/>
        </w:rPr>
        <w:t>Concepts and definitions</w:t>
      </w:r>
    </w:p>
    <w:p w14:paraId="2F8C0C67" w14:textId="77777777" w:rsidR="002C7F7A" w:rsidRPr="0021400E" w:rsidRDefault="002C7F7A" w:rsidP="0021400E">
      <w:pPr>
        <w:shd w:val="clear" w:color="auto" w:fill="FFFFFF"/>
        <w:spacing w:after="0"/>
        <w:rPr>
          <w:rStyle w:val="Strong"/>
          <w:rFonts w:cs="Times New Roman"/>
          <w:color w:val="4A4A4A"/>
          <w:sz w:val="21"/>
          <w:szCs w:val="21"/>
        </w:rPr>
      </w:pPr>
    </w:p>
    <w:p w14:paraId="2F8C0C68" w14:textId="77777777" w:rsidR="002C7F7A" w:rsidRPr="0021400E" w:rsidRDefault="002C7F7A" w:rsidP="0021400E">
      <w:pPr>
        <w:shd w:val="clear" w:color="auto" w:fill="FFFFFF"/>
        <w:spacing w:after="0"/>
        <w:rPr>
          <w:rFonts w:cs="Times New Roman"/>
          <w:color w:val="4A4A4A"/>
          <w:sz w:val="21"/>
          <w:szCs w:val="21"/>
        </w:rPr>
      </w:pPr>
      <w:r w:rsidRPr="0021400E">
        <w:rPr>
          <w:rStyle w:val="Strong"/>
          <w:rFonts w:cs="Times New Roman"/>
          <w:color w:val="4A4A4A"/>
          <w:sz w:val="21"/>
          <w:szCs w:val="21"/>
        </w:rPr>
        <w:t>Definition:</w:t>
      </w:r>
    </w:p>
    <w:p w14:paraId="2F8C0C69" w14:textId="77777777" w:rsidR="002C7F7A" w:rsidRPr="0021400E" w:rsidRDefault="002C7F7A" w:rsidP="0021400E">
      <w:pPr>
        <w:shd w:val="clear" w:color="auto" w:fill="FFFFFF"/>
        <w:spacing w:after="0"/>
        <w:rPr>
          <w:rFonts w:cs="Times New Roman"/>
          <w:color w:val="4A4A4A"/>
          <w:sz w:val="21"/>
          <w:szCs w:val="21"/>
        </w:rPr>
      </w:pPr>
    </w:p>
    <w:p w14:paraId="2F8C0C6A" w14:textId="77777777" w:rsidR="002C7F7A" w:rsidRPr="0021400E" w:rsidRDefault="002C7F7A" w:rsidP="0021400E">
      <w:pPr>
        <w:shd w:val="clear" w:color="auto" w:fill="FFFFFF"/>
        <w:spacing w:after="0"/>
        <w:rPr>
          <w:rFonts w:cs="Times New Roman"/>
          <w:color w:val="4A4A4A"/>
          <w:sz w:val="21"/>
          <w:szCs w:val="21"/>
        </w:rPr>
      </w:pPr>
      <w:r w:rsidRPr="0021400E">
        <w:rPr>
          <w:rFonts w:cs="Times New Roman"/>
          <w:color w:val="4A4A4A"/>
          <w:sz w:val="21"/>
          <w:szCs w:val="21"/>
        </w:rPr>
        <w:t>Primary government expenditures as a proportion of original approved budget</w:t>
      </w:r>
    </w:p>
    <w:p w14:paraId="2F8C0C6B" w14:textId="77777777" w:rsidR="002C7F7A" w:rsidRPr="0021400E" w:rsidRDefault="002C7F7A" w:rsidP="0021400E">
      <w:pPr>
        <w:shd w:val="clear" w:color="auto" w:fill="FFFFFF"/>
        <w:spacing w:after="0"/>
        <w:rPr>
          <w:rFonts w:cs="Times New Roman"/>
          <w:color w:val="4A4A4A"/>
          <w:sz w:val="21"/>
          <w:szCs w:val="21"/>
        </w:rPr>
      </w:pPr>
    </w:p>
    <w:p w14:paraId="2F8C0C6C"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r w:rsidRPr="0021400E">
        <w:rPr>
          <w:rFonts w:asciiTheme="minorHAnsi" w:hAnsiTheme="minorHAnsi"/>
          <w:color w:val="4A4A4A"/>
          <w:sz w:val="21"/>
          <w:szCs w:val="21"/>
        </w:rPr>
        <w:t>This indicator measures the extent to which aggregate budget expenditure outturn reflects the amount originally approved, as defined in government budget documentation and fiscal reports. The coverage is budgetary central government (BCG) and the time period covered is the last three completed fiscal years.</w:t>
      </w:r>
    </w:p>
    <w:p w14:paraId="2F8C0C6D"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p>
    <w:p w14:paraId="2F8C0C6E" w14:textId="77777777" w:rsidR="002C7F7A" w:rsidRPr="0021400E" w:rsidRDefault="002C7F7A" w:rsidP="0021400E">
      <w:pPr>
        <w:shd w:val="clear" w:color="auto" w:fill="FFFFFF"/>
        <w:spacing w:after="0"/>
        <w:rPr>
          <w:rFonts w:cs="Times New Roman"/>
          <w:color w:val="4A4A4A"/>
          <w:sz w:val="21"/>
          <w:szCs w:val="21"/>
        </w:rPr>
      </w:pPr>
      <w:r w:rsidRPr="0021400E">
        <w:rPr>
          <w:rStyle w:val="Strong"/>
          <w:rFonts w:cs="Times New Roman"/>
          <w:color w:val="4A4A4A"/>
          <w:sz w:val="21"/>
          <w:szCs w:val="21"/>
        </w:rPr>
        <w:t>Rationale:</w:t>
      </w:r>
    </w:p>
    <w:p w14:paraId="2F8C0C6F" w14:textId="77777777" w:rsidR="002C7F7A" w:rsidRPr="0021400E" w:rsidRDefault="002C7F7A" w:rsidP="0021400E">
      <w:pPr>
        <w:shd w:val="clear" w:color="auto" w:fill="FFFFFF"/>
        <w:spacing w:after="0"/>
        <w:rPr>
          <w:rFonts w:cs="Times New Roman"/>
          <w:color w:val="4A4A4A"/>
          <w:sz w:val="21"/>
          <w:szCs w:val="21"/>
        </w:rPr>
      </w:pPr>
    </w:p>
    <w:p w14:paraId="2F8C0C70"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r w:rsidRPr="0021400E">
        <w:rPr>
          <w:rFonts w:asciiTheme="minorHAnsi" w:hAnsiTheme="minorHAnsi"/>
          <w:color w:val="4A4A4A"/>
          <w:sz w:val="21"/>
          <w:szCs w:val="21"/>
        </w:rPr>
        <w:t>The indicator attempts to capture the reliability of government budgets: do governments spend what they intend to and do they collect what they set out to collect. It is a simple and intuitive indicator that is easily understood and the methodology is transparent and every rating easily verifiable.</w:t>
      </w:r>
    </w:p>
    <w:p w14:paraId="2F8C0C71"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p>
    <w:p w14:paraId="2F8C0C72" w14:textId="77777777" w:rsidR="002C7F7A" w:rsidRPr="0021400E" w:rsidRDefault="002C7F7A" w:rsidP="0021400E">
      <w:pPr>
        <w:shd w:val="clear" w:color="auto" w:fill="FFFFFF"/>
        <w:spacing w:after="0"/>
        <w:rPr>
          <w:rFonts w:cs="Times New Roman"/>
          <w:color w:val="4A4A4A"/>
          <w:sz w:val="21"/>
          <w:szCs w:val="21"/>
        </w:rPr>
      </w:pPr>
      <w:r w:rsidRPr="0021400E">
        <w:rPr>
          <w:rStyle w:val="Strong"/>
          <w:rFonts w:cs="Times New Roman"/>
          <w:color w:val="4A4A4A"/>
          <w:sz w:val="21"/>
          <w:szCs w:val="21"/>
        </w:rPr>
        <w:t>Concepts:</w:t>
      </w:r>
    </w:p>
    <w:p w14:paraId="2F8C0C73" w14:textId="77777777" w:rsidR="002C7F7A" w:rsidRPr="0021400E" w:rsidRDefault="002C7F7A" w:rsidP="0021400E">
      <w:pPr>
        <w:shd w:val="clear" w:color="auto" w:fill="FFFFFF"/>
        <w:spacing w:after="0"/>
        <w:rPr>
          <w:rFonts w:cs="Times New Roman"/>
          <w:color w:val="4A4A4A"/>
          <w:sz w:val="21"/>
          <w:szCs w:val="21"/>
        </w:rPr>
      </w:pPr>
    </w:p>
    <w:p w14:paraId="2F8C0C74"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r w:rsidRPr="0021400E">
        <w:rPr>
          <w:rFonts w:asciiTheme="minorHAnsi" w:hAnsiTheme="minorHAnsi"/>
          <w:color w:val="4A4A4A"/>
          <w:sz w:val="21"/>
          <w:szCs w:val="21"/>
        </w:rPr>
        <w:t>Aggregate expenditure includes actual expenditures incorporating those incurred as a result of unplanned or exceptional events—for example, armed conflicts or natural disasters. Expenditures financed by windfall revenues, including privatization, should be included and noted in the supporting fiscal tables and narrative. Expenditures financed externally by loans or grants should be included, if covered by the budget, along with contingency vote(s) and interest on debt. Expenditure assigned to suspense accounts is not included in the aggregate. However, if amounts are held in suspense accounts at the end of any year that could affect the scores if included in the calculations, they can be included. In such cases the reason(s) for inclusion must be clearly stated.</w:t>
      </w:r>
    </w:p>
    <w:p w14:paraId="2F8C0C75"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p>
    <w:p w14:paraId="2F8C0C76"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r w:rsidRPr="0021400E">
        <w:rPr>
          <w:rFonts w:asciiTheme="minorHAnsi" w:hAnsiTheme="minorHAnsi"/>
          <w:color w:val="4A4A4A"/>
          <w:sz w:val="21"/>
          <w:szCs w:val="21"/>
        </w:rPr>
        <w:t>Actual expenditure outturns can deviate from the originally approved budget for reasons unrelated to the accuracy of forecasts—for example, as a result of a major macroeconomic shock. The calibration of this indicator accommodates one unusual or “outlier” year and focuses on deviations from the forecast which occur in two of the three years covered by the assessment.</w:t>
      </w:r>
    </w:p>
    <w:p w14:paraId="2F8C0C77"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p>
    <w:p w14:paraId="2F8C0C78"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r w:rsidRPr="0021400E">
        <w:rPr>
          <w:rFonts w:asciiTheme="minorHAnsi" w:hAnsiTheme="minorHAnsi"/>
          <w:color w:val="4A4A4A"/>
          <w:sz w:val="21"/>
          <w:szCs w:val="21"/>
        </w:rPr>
        <w:t>Very detailed resources are available at: http://www.pefa.org/en/content/pefa-2016-framework. The document “Framework for assessing public financial management” is extremely useful (https://www.pefa.org/sites/pefa.org/files/attachments/PEFA%20Framework_English.pdf). There are seven Public Expenditure and Financial Accountability (PEFA) Performance pillars containing a total of 31 indicators. The pillar containing this indicator is part of Pillar I which measures Budget reliability.</w:t>
      </w:r>
    </w:p>
    <w:p w14:paraId="2F8C0C79"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p>
    <w:p w14:paraId="2F8C0C7A" w14:textId="77777777" w:rsidR="002C7F7A" w:rsidRPr="0021400E" w:rsidRDefault="002C7F7A" w:rsidP="0021400E">
      <w:pPr>
        <w:shd w:val="clear" w:color="auto" w:fill="FFFFFF"/>
        <w:spacing w:after="0"/>
        <w:rPr>
          <w:rFonts w:cs="Times New Roman"/>
          <w:color w:val="4A4A4A"/>
          <w:sz w:val="21"/>
          <w:szCs w:val="21"/>
        </w:rPr>
      </w:pPr>
      <w:r w:rsidRPr="0021400E">
        <w:rPr>
          <w:rStyle w:val="Strong"/>
          <w:rFonts w:cs="Times New Roman"/>
          <w:color w:val="4A4A4A"/>
          <w:sz w:val="21"/>
          <w:szCs w:val="21"/>
        </w:rPr>
        <w:t>Comments and limitations:</w:t>
      </w:r>
    </w:p>
    <w:p w14:paraId="2F8C0C7B" w14:textId="77777777" w:rsidR="002C7F7A" w:rsidRPr="0021400E" w:rsidRDefault="002C7F7A" w:rsidP="0021400E">
      <w:pPr>
        <w:shd w:val="clear" w:color="auto" w:fill="FFFFFF"/>
        <w:spacing w:after="0"/>
        <w:rPr>
          <w:rFonts w:cs="Times New Roman"/>
          <w:color w:val="4A4A4A"/>
          <w:sz w:val="21"/>
          <w:szCs w:val="21"/>
        </w:rPr>
      </w:pPr>
    </w:p>
    <w:p w14:paraId="2F8C0C7C"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r w:rsidRPr="0021400E">
        <w:rPr>
          <w:rFonts w:asciiTheme="minorHAnsi" w:hAnsiTheme="minorHAnsi"/>
          <w:color w:val="4A4A4A"/>
          <w:sz w:val="21"/>
          <w:szCs w:val="21"/>
        </w:rPr>
        <w:t>Although not all countries have used the methodology on an annual basis for this indicator, the methodology relies on standard data sets for approved and final budget outturns which are commonly produced at least annually in every country. The countries that have not used the methodology to date are primarily highly developed countries which would have less difficulty in providing the necessary data than those in the lower and middle income categories that have been primary users of Public Expenditure and Financial Accountability (PEFA) to date.</w:t>
      </w:r>
    </w:p>
    <w:p w14:paraId="2F8C0C7D"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p>
    <w:p w14:paraId="2F8C0C7E"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r w:rsidRPr="0021400E">
        <w:rPr>
          <w:rFonts w:asciiTheme="minorHAnsi" w:hAnsiTheme="minorHAnsi"/>
          <w:color w:val="4A4A4A"/>
          <w:sz w:val="21"/>
          <w:szCs w:val="21"/>
        </w:rPr>
        <w:t>One limitation of the indicator is that it is an aggregate indicator of budget reliability. While it can be disaggregated across regions, it is not disaggregated across various budget subcomponents. Different indicators are used for assessing changes in expenditure composition in the PEFA framework. Also, while this indicator is intended to measure budget reliability it should be understood that actual expenditure outturns can deviate from the originally approved budget for reasons unrelated to the accuracy of forecasts—for example, as a result of a major macroeconomic shock. However, the calibration of this indicator accommodates one unusual or “outlier” year and focuses on deviations from the forecast which occur in two of the three years covered by the assessment. Therefore, single year shocks are discounted allowing a more balanced assessment.</w:t>
      </w:r>
    </w:p>
    <w:p w14:paraId="2F8C0C7F"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p>
    <w:p w14:paraId="2F8C0C80"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r w:rsidRPr="0021400E">
        <w:rPr>
          <w:rFonts w:asciiTheme="minorHAnsi" w:hAnsiTheme="minorHAnsi"/>
          <w:color w:val="4A4A4A"/>
          <w:sz w:val="21"/>
          <w:szCs w:val="21"/>
        </w:rPr>
        <w:t>The broader context in which the indicator was developed is as follows. PEFA is a tool for assessing the status of public financial management and reporting on the strengths and weaknesses of Public Financial Management (PFM). A PEFA assessment provides a thorough, consistent and evidence-based analysis of PFM performance at a specific point in time and can be reapplied in successive assessments to track changes over time. The PEFA framework provides the foundation for evidence-based measurement of countries’ PFM systems using 31 performance indicators that are further disaggregated into 94 dimensions. A PEFA assessment measures the extent to which PFM systems, processes and institutions contribute to the achievement of desirable budget outcomes: aggregate fiscal discipline, strategic allocation of resources, and efficient service delivery.</w:t>
      </w:r>
    </w:p>
    <w:p w14:paraId="2F8C0C81"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p>
    <w:p w14:paraId="2F8C0C82" w14:textId="77777777" w:rsidR="002C7F7A" w:rsidRPr="0021400E" w:rsidRDefault="002C7F7A" w:rsidP="0021400E">
      <w:pPr>
        <w:pStyle w:val="Heading3"/>
        <w:pBdr>
          <w:bottom w:val="single" w:sz="12" w:space="4" w:color="DDDDDD"/>
        </w:pBdr>
        <w:shd w:val="clear" w:color="auto" w:fill="FFFFFF"/>
        <w:spacing w:before="0" w:beforeAutospacing="0" w:after="0" w:afterAutospacing="0"/>
        <w:rPr>
          <w:rFonts w:asciiTheme="minorHAnsi" w:hAnsiTheme="minorHAnsi"/>
          <w:b w:val="0"/>
          <w:bCs w:val="0"/>
          <w:color w:val="1C75BC"/>
          <w:sz w:val="36"/>
          <w:szCs w:val="36"/>
        </w:rPr>
      </w:pPr>
      <w:r w:rsidRPr="0021400E">
        <w:rPr>
          <w:rFonts w:asciiTheme="minorHAnsi" w:hAnsiTheme="minorHAnsi"/>
          <w:b w:val="0"/>
          <w:bCs w:val="0"/>
          <w:color w:val="1C75BC"/>
          <w:sz w:val="36"/>
          <w:szCs w:val="36"/>
        </w:rPr>
        <w:t>Methodology</w:t>
      </w:r>
    </w:p>
    <w:p w14:paraId="2F8C0C83" w14:textId="77777777" w:rsidR="002C7F7A" w:rsidRPr="0021400E" w:rsidRDefault="002C7F7A" w:rsidP="0021400E">
      <w:pPr>
        <w:shd w:val="clear" w:color="auto" w:fill="FFFFFF"/>
        <w:spacing w:after="0"/>
        <w:rPr>
          <w:rStyle w:val="Strong"/>
          <w:rFonts w:cs="Times New Roman"/>
          <w:color w:val="4A4A4A"/>
          <w:sz w:val="21"/>
          <w:szCs w:val="21"/>
        </w:rPr>
      </w:pPr>
    </w:p>
    <w:p w14:paraId="2F8C0C84" w14:textId="77777777" w:rsidR="002C7F7A" w:rsidRPr="0021400E" w:rsidRDefault="002C7F7A" w:rsidP="0021400E">
      <w:pPr>
        <w:shd w:val="clear" w:color="auto" w:fill="FFFFFF"/>
        <w:spacing w:after="0"/>
        <w:rPr>
          <w:rFonts w:cs="Times New Roman"/>
          <w:color w:val="4A4A4A"/>
          <w:sz w:val="21"/>
          <w:szCs w:val="21"/>
        </w:rPr>
      </w:pPr>
      <w:r w:rsidRPr="0021400E">
        <w:rPr>
          <w:rStyle w:val="Strong"/>
          <w:rFonts w:cs="Times New Roman"/>
          <w:color w:val="4A4A4A"/>
          <w:sz w:val="21"/>
          <w:szCs w:val="21"/>
        </w:rPr>
        <w:t>Computation Method:</w:t>
      </w:r>
    </w:p>
    <w:p w14:paraId="2F8C0C85" w14:textId="77777777" w:rsidR="002C7F7A" w:rsidRPr="0021400E" w:rsidRDefault="002C7F7A" w:rsidP="0021400E">
      <w:pPr>
        <w:shd w:val="clear" w:color="auto" w:fill="FFFFFF"/>
        <w:spacing w:after="0"/>
        <w:rPr>
          <w:rFonts w:cs="Times New Roman"/>
          <w:color w:val="4A4A4A"/>
          <w:sz w:val="21"/>
          <w:szCs w:val="21"/>
        </w:rPr>
      </w:pPr>
    </w:p>
    <w:p w14:paraId="2F8C0C86"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r w:rsidRPr="0021400E">
        <w:rPr>
          <w:rFonts w:asciiTheme="minorHAnsi" w:hAnsiTheme="minorHAnsi"/>
          <w:color w:val="4A4A4A"/>
          <w:sz w:val="21"/>
          <w:szCs w:val="21"/>
        </w:rPr>
        <w:t>The methodology for calculating this indicator is provided in a spreadsheet (titled “</w:t>
      </w:r>
      <w:proofErr w:type="spellStart"/>
      <w:r w:rsidRPr="0021400E">
        <w:rPr>
          <w:rFonts w:asciiTheme="minorHAnsi" w:hAnsiTheme="minorHAnsi"/>
          <w:color w:val="4A4A4A"/>
          <w:sz w:val="21"/>
          <w:szCs w:val="21"/>
        </w:rPr>
        <w:t>En</w:t>
      </w:r>
      <w:proofErr w:type="spellEnd"/>
      <w:r w:rsidRPr="0021400E">
        <w:rPr>
          <w:rFonts w:asciiTheme="minorHAnsi" w:hAnsiTheme="minorHAnsi"/>
          <w:color w:val="4A4A4A"/>
          <w:sz w:val="21"/>
          <w:szCs w:val="21"/>
        </w:rPr>
        <w:t xml:space="preserve"> PI-1 and PI-2 </w:t>
      </w:r>
      <w:proofErr w:type="spellStart"/>
      <w:r w:rsidRPr="0021400E">
        <w:rPr>
          <w:rFonts w:asciiTheme="minorHAnsi" w:hAnsiTheme="minorHAnsi"/>
          <w:color w:val="4A4A4A"/>
          <w:sz w:val="21"/>
          <w:szCs w:val="21"/>
        </w:rPr>
        <w:t>Exp</w:t>
      </w:r>
      <w:proofErr w:type="spellEnd"/>
      <w:r w:rsidRPr="0021400E">
        <w:rPr>
          <w:rFonts w:asciiTheme="minorHAnsi" w:hAnsiTheme="minorHAnsi"/>
          <w:color w:val="4A4A4A"/>
          <w:sz w:val="21"/>
          <w:szCs w:val="21"/>
        </w:rPr>
        <w:t xml:space="preserve"> Calculation-Feb 1 2016 (</w:t>
      </w:r>
      <w:proofErr w:type="spellStart"/>
      <w:r w:rsidRPr="0021400E">
        <w:rPr>
          <w:rFonts w:asciiTheme="minorHAnsi" w:hAnsiTheme="minorHAnsi"/>
          <w:color w:val="4A4A4A"/>
          <w:sz w:val="21"/>
          <w:szCs w:val="21"/>
        </w:rPr>
        <w:t>xls</w:t>
      </w:r>
      <w:proofErr w:type="spellEnd"/>
      <w:r w:rsidRPr="0021400E">
        <w:rPr>
          <w:rFonts w:asciiTheme="minorHAnsi" w:hAnsiTheme="minorHAnsi"/>
          <w:color w:val="4A4A4A"/>
          <w:sz w:val="21"/>
          <w:szCs w:val="21"/>
        </w:rPr>
        <w:t>)”) on the PEFA website (http://www.pefa.org/en/content/pefa-2016-framework). It is also detailed in part 2 of the document “Framework for assessing public financial management” (https://www.pefa.org/sites/pefa.org/files/attachments/PEFA%20Framework_English.pdf).</w:t>
      </w:r>
    </w:p>
    <w:p w14:paraId="2F8C0C87"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p>
    <w:p w14:paraId="2F8C0C88"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r w:rsidRPr="0021400E">
        <w:rPr>
          <w:rFonts w:asciiTheme="minorHAnsi" w:hAnsiTheme="minorHAnsi"/>
          <w:color w:val="4A4A4A"/>
          <w:sz w:val="21"/>
          <w:szCs w:val="21"/>
        </w:rPr>
        <w:t>Scoring is at the heart of the indicator. A country is scored separately on a four-point ordinal scale: A, B, C, or D, according to precise criteria:</w:t>
      </w:r>
      <w:r w:rsidRPr="0021400E">
        <w:rPr>
          <w:rStyle w:val="apple-converted-space"/>
          <w:rFonts w:asciiTheme="minorHAnsi" w:hAnsiTheme="minorHAnsi"/>
          <w:color w:val="4A4A4A"/>
          <w:sz w:val="21"/>
          <w:szCs w:val="21"/>
        </w:rPr>
        <w:t xml:space="preserve"> </w:t>
      </w:r>
    </w:p>
    <w:p w14:paraId="2F8C0C89"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r w:rsidRPr="0021400E">
        <w:rPr>
          <w:rFonts w:asciiTheme="minorHAnsi" w:hAnsiTheme="minorHAnsi"/>
          <w:color w:val="4A4A4A"/>
          <w:sz w:val="21"/>
          <w:szCs w:val="21"/>
        </w:rPr>
        <w:t>(A) Aggregate expenditure outturn was between 95% and 105% of the approved aggregate budgeted expenditure in at least two of the last three years.</w:t>
      </w:r>
    </w:p>
    <w:p w14:paraId="2F8C0C8A"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r w:rsidRPr="0021400E">
        <w:rPr>
          <w:rFonts w:asciiTheme="minorHAnsi" w:hAnsiTheme="minorHAnsi"/>
          <w:color w:val="4A4A4A"/>
          <w:sz w:val="21"/>
          <w:szCs w:val="21"/>
        </w:rPr>
        <w:t>(B) Aggregate expenditure outturn was between 90% and 110% of the approved aggregate budgeted expenditure in at least two of the last three years.</w:t>
      </w:r>
    </w:p>
    <w:p w14:paraId="2F8C0C8B"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r w:rsidRPr="0021400E">
        <w:rPr>
          <w:rFonts w:asciiTheme="minorHAnsi" w:hAnsiTheme="minorHAnsi"/>
          <w:color w:val="4A4A4A"/>
          <w:sz w:val="21"/>
          <w:szCs w:val="21"/>
        </w:rPr>
        <w:t>(C Aggregate expenditure outturn was between 85% and 115% of the approved aggregate budgeted expenditure in at least two of the last three years.</w:t>
      </w:r>
    </w:p>
    <w:p w14:paraId="2F8C0C8C"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r w:rsidRPr="0021400E">
        <w:rPr>
          <w:rFonts w:asciiTheme="minorHAnsi" w:hAnsiTheme="minorHAnsi"/>
          <w:color w:val="4A4A4A"/>
          <w:sz w:val="21"/>
          <w:szCs w:val="21"/>
        </w:rPr>
        <w:t>(D) Performance is less than required for a C score.</w:t>
      </w:r>
    </w:p>
    <w:p w14:paraId="2F8C0C8D"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p>
    <w:p w14:paraId="2F8C0C8E"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r w:rsidRPr="0021400E">
        <w:rPr>
          <w:rFonts w:asciiTheme="minorHAnsi" w:hAnsiTheme="minorHAnsi"/>
          <w:color w:val="4A4A4A"/>
          <w:sz w:val="21"/>
          <w:szCs w:val="21"/>
        </w:rPr>
        <w:t xml:space="preserve">In order to justify a particular score, every aspect specified in the scoring requirements must be fulfilled. If the requirements are only partly met, the criteria are not satisfied and a lower score should be given </w:t>
      </w:r>
      <w:r w:rsidRPr="0021400E">
        <w:rPr>
          <w:rFonts w:asciiTheme="minorHAnsi" w:hAnsiTheme="minorHAnsi"/>
          <w:color w:val="4A4A4A"/>
          <w:sz w:val="21"/>
          <w:szCs w:val="21"/>
        </w:rPr>
        <w:lastRenderedPageBreak/>
        <w:t>that coincides with achievement of all requirements for the lower performance rating. A score of C reflects the basic level of performance for each indicator and dimension, consistent with good international practices. A score of D means that the feature being measured is present at less than the basic level of performance or is absent altogether, or that there is insufficient information to score the dimension.</w:t>
      </w:r>
    </w:p>
    <w:p w14:paraId="2F8C0C8F"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p>
    <w:p w14:paraId="2F8C0C90"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r w:rsidRPr="0021400E">
        <w:rPr>
          <w:rFonts w:asciiTheme="minorHAnsi" w:hAnsiTheme="minorHAnsi"/>
          <w:color w:val="4A4A4A"/>
          <w:sz w:val="21"/>
          <w:szCs w:val="21"/>
        </w:rPr>
        <w:t>The D score indicates performance that falls below the basic level. ‘D’ is applied if the performance observed is less than required for any higher score. For this reason, a D score is warranted when sufficient information is not available to establish the actual level of performance. A score of D due to insufficient information is distinguished from D scores for low-level performance by the use of an asterisk—that is, D* at the dimension level. The asterisk is not included at the indicator level.</w:t>
      </w:r>
    </w:p>
    <w:p w14:paraId="2F8C0C91"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p>
    <w:p w14:paraId="2F8C0C92"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r w:rsidRPr="0021400E">
        <w:rPr>
          <w:rFonts w:asciiTheme="minorHAnsi" w:hAnsiTheme="minorHAnsi"/>
          <w:color w:val="4A4A4A"/>
          <w:sz w:val="21"/>
          <w:szCs w:val="21"/>
        </w:rPr>
        <w:t>The coverage is budgetary central government (BCG) and requires data for three consecutive years as a basis for assessment. The data would cover the most recent completed fiscal year for which data is available and the two immediately preceding years.</w:t>
      </w:r>
    </w:p>
    <w:p w14:paraId="2F8C0C93"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p>
    <w:p w14:paraId="2F8C0C94" w14:textId="77777777" w:rsidR="002C7F7A" w:rsidRPr="0021400E" w:rsidRDefault="002C7F7A" w:rsidP="0021400E">
      <w:pPr>
        <w:shd w:val="clear" w:color="auto" w:fill="FFFFFF"/>
        <w:spacing w:after="0"/>
        <w:rPr>
          <w:rFonts w:cs="Times New Roman"/>
          <w:color w:val="4A4A4A"/>
          <w:sz w:val="21"/>
          <w:szCs w:val="21"/>
        </w:rPr>
      </w:pPr>
      <w:r w:rsidRPr="0021400E">
        <w:rPr>
          <w:rStyle w:val="Strong"/>
          <w:rFonts w:cs="Times New Roman"/>
          <w:color w:val="4A4A4A"/>
          <w:sz w:val="21"/>
          <w:szCs w:val="21"/>
        </w:rPr>
        <w:t>Disaggregation:</w:t>
      </w:r>
    </w:p>
    <w:p w14:paraId="2F8C0C95" w14:textId="77777777" w:rsidR="002C7F7A" w:rsidRPr="0021400E" w:rsidRDefault="002C7F7A" w:rsidP="0021400E">
      <w:pPr>
        <w:shd w:val="clear" w:color="auto" w:fill="FFFFFF"/>
        <w:spacing w:after="0"/>
        <w:rPr>
          <w:rFonts w:cs="Times New Roman"/>
          <w:color w:val="4A4A4A"/>
          <w:sz w:val="21"/>
          <w:szCs w:val="21"/>
        </w:rPr>
      </w:pPr>
    </w:p>
    <w:p w14:paraId="2F8C0C96"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r w:rsidRPr="0021400E">
        <w:rPr>
          <w:rFonts w:asciiTheme="minorHAnsi" w:hAnsiTheme="minorHAnsi"/>
          <w:color w:val="4A4A4A"/>
          <w:sz w:val="21"/>
          <w:szCs w:val="21"/>
        </w:rPr>
        <w:t>This is an aggregate national level figure. However, subnational figures can be obtained for countries with decentralized government systems.</w:t>
      </w:r>
    </w:p>
    <w:p w14:paraId="2F8C0C97"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p>
    <w:p w14:paraId="2F8C0C98" w14:textId="77777777" w:rsidR="002C7F7A" w:rsidRPr="0021400E" w:rsidRDefault="002C7F7A" w:rsidP="0021400E">
      <w:pPr>
        <w:shd w:val="clear" w:color="auto" w:fill="FFFFFF"/>
        <w:spacing w:after="0"/>
        <w:rPr>
          <w:rFonts w:cs="Times New Roman"/>
          <w:color w:val="4A4A4A"/>
          <w:sz w:val="21"/>
          <w:szCs w:val="21"/>
        </w:rPr>
      </w:pPr>
      <w:r w:rsidRPr="0021400E">
        <w:rPr>
          <w:rStyle w:val="Strong"/>
          <w:rFonts w:cs="Times New Roman"/>
          <w:color w:val="4A4A4A"/>
          <w:sz w:val="21"/>
          <w:szCs w:val="21"/>
        </w:rPr>
        <w:t>Treatment of missing values:</w:t>
      </w:r>
    </w:p>
    <w:p w14:paraId="2F8C0C99" w14:textId="77777777" w:rsidR="002C7F7A" w:rsidRPr="0021400E" w:rsidRDefault="002C7F7A" w:rsidP="0021400E">
      <w:pPr>
        <w:shd w:val="clear" w:color="auto" w:fill="FFFFFF"/>
        <w:spacing w:after="0"/>
        <w:rPr>
          <w:rFonts w:cs="Times New Roman"/>
          <w:color w:val="4A4A4A"/>
          <w:sz w:val="21"/>
          <w:szCs w:val="21"/>
        </w:rPr>
      </w:pPr>
    </w:p>
    <w:p w14:paraId="2F8C0C9A" w14:textId="77777777" w:rsidR="002C7F7A" w:rsidRPr="0021400E" w:rsidRDefault="002C7F7A" w:rsidP="0021400E">
      <w:pPr>
        <w:pStyle w:val="Heading5"/>
        <w:numPr>
          <w:ilvl w:val="0"/>
          <w:numId w:val="1"/>
        </w:numPr>
        <w:shd w:val="clear" w:color="auto" w:fill="FFFFFF"/>
        <w:spacing w:before="0" w:beforeAutospacing="0" w:after="0" w:afterAutospacing="0"/>
        <w:rPr>
          <w:rFonts w:asciiTheme="minorHAnsi" w:hAnsiTheme="minorHAnsi"/>
          <w:b w:val="0"/>
          <w:bCs w:val="0"/>
          <w:color w:val="1C75BC"/>
          <w:sz w:val="21"/>
          <w:szCs w:val="21"/>
        </w:rPr>
      </w:pPr>
      <w:r w:rsidRPr="0021400E">
        <w:rPr>
          <w:rFonts w:asciiTheme="minorHAnsi" w:hAnsiTheme="minorHAnsi"/>
          <w:b w:val="0"/>
          <w:bCs w:val="0"/>
          <w:color w:val="1C75BC"/>
          <w:sz w:val="21"/>
          <w:szCs w:val="21"/>
        </w:rPr>
        <w:t>At country level</w:t>
      </w:r>
    </w:p>
    <w:p w14:paraId="2F8C0C9B" w14:textId="77777777" w:rsidR="0021400E" w:rsidRDefault="0021400E" w:rsidP="0021400E">
      <w:pPr>
        <w:pStyle w:val="NormalWeb"/>
        <w:shd w:val="clear" w:color="auto" w:fill="FFFFFF"/>
        <w:spacing w:before="0" w:beforeAutospacing="0" w:after="0" w:afterAutospacing="0"/>
        <w:ind w:left="720"/>
        <w:rPr>
          <w:rFonts w:asciiTheme="minorHAnsi" w:hAnsiTheme="minorHAnsi"/>
          <w:color w:val="4A4A4A"/>
          <w:sz w:val="21"/>
          <w:szCs w:val="21"/>
        </w:rPr>
      </w:pPr>
    </w:p>
    <w:p w14:paraId="2F8C0C9C" w14:textId="77777777" w:rsidR="002C7F7A" w:rsidRPr="0021400E" w:rsidRDefault="002C7F7A" w:rsidP="0021400E">
      <w:pPr>
        <w:pStyle w:val="NormalWeb"/>
        <w:shd w:val="clear" w:color="auto" w:fill="FFFFFF"/>
        <w:spacing w:before="0" w:beforeAutospacing="0" w:after="0" w:afterAutospacing="0"/>
        <w:ind w:left="720"/>
        <w:rPr>
          <w:rFonts w:asciiTheme="minorHAnsi" w:hAnsiTheme="minorHAnsi"/>
          <w:color w:val="4A4A4A"/>
          <w:sz w:val="21"/>
          <w:szCs w:val="21"/>
        </w:rPr>
      </w:pPr>
      <w:r w:rsidRPr="0021400E">
        <w:rPr>
          <w:rFonts w:asciiTheme="minorHAnsi" w:hAnsiTheme="minorHAnsi"/>
          <w:color w:val="4A4A4A"/>
          <w:sz w:val="21"/>
          <w:szCs w:val="21"/>
        </w:rPr>
        <w:t>Not imputed.</w:t>
      </w:r>
    </w:p>
    <w:p w14:paraId="2F8C0C9D" w14:textId="77777777" w:rsidR="002C7F7A" w:rsidRPr="0021400E" w:rsidRDefault="002C7F7A" w:rsidP="0021400E">
      <w:pPr>
        <w:pStyle w:val="NormalWeb"/>
        <w:shd w:val="clear" w:color="auto" w:fill="FFFFFF"/>
        <w:spacing w:before="0" w:beforeAutospacing="0" w:after="0" w:afterAutospacing="0"/>
        <w:ind w:left="720"/>
        <w:rPr>
          <w:rFonts w:asciiTheme="minorHAnsi" w:hAnsiTheme="minorHAnsi"/>
          <w:color w:val="4A4A4A"/>
          <w:sz w:val="21"/>
          <w:szCs w:val="21"/>
        </w:rPr>
      </w:pPr>
    </w:p>
    <w:p w14:paraId="2F8C0C9E" w14:textId="77777777" w:rsidR="002C7F7A" w:rsidRPr="0021400E" w:rsidRDefault="002C7F7A" w:rsidP="0021400E">
      <w:pPr>
        <w:shd w:val="clear" w:color="auto" w:fill="FFFFFF"/>
        <w:spacing w:after="0"/>
        <w:rPr>
          <w:rFonts w:cs="Times New Roman"/>
          <w:color w:val="4A4A4A"/>
          <w:sz w:val="21"/>
          <w:szCs w:val="21"/>
        </w:rPr>
      </w:pPr>
      <w:r w:rsidRPr="0021400E">
        <w:rPr>
          <w:rStyle w:val="Strong"/>
          <w:rFonts w:cs="Times New Roman"/>
          <w:color w:val="4A4A4A"/>
          <w:sz w:val="21"/>
          <w:szCs w:val="21"/>
        </w:rPr>
        <w:t>Regional aggregates:</w:t>
      </w:r>
    </w:p>
    <w:p w14:paraId="2F8C0C9F" w14:textId="77777777" w:rsidR="002C7F7A" w:rsidRPr="0021400E" w:rsidRDefault="002C7F7A" w:rsidP="0021400E">
      <w:pPr>
        <w:shd w:val="clear" w:color="auto" w:fill="FFFFFF"/>
        <w:spacing w:after="0"/>
        <w:rPr>
          <w:rFonts w:cs="Times New Roman"/>
          <w:color w:val="4A4A4A"/>
          <w:sz w:val="21"/>
          <w:szCs w:val="21"/>
        </w:rPr>
      </w:pPr>
    </w:p>
    <w:p w14:paraId="2F8C0CA0"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r w:rsidRPr="0021400E">
        <w:rPr>
          <w:rFonts w:asciiTheme="minorHAnsi" w:hAnsiTheme="minorHAnsi"/>
          <w:color w:val="4A4A4A"/>
          <w:sz w:val="21"/>
          <w:szCs w:val="21"/>
        </w:rPr>
        <w:t>Not applicable.</w:t>
      </w:r>
    </w:p>
    <w:p w14:paraId="2F8C0CA1"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p>
    <w:p w14:paraId="2F8C0CA2" w14:textId="77777777" w:rsidR="002C7F7A" w:rsidRPr="0021400E" w:rsidRDefault="002C7F7A" w:rsidP="0021400E">
      <w:pPr>
        <w:shd w:val="clear" w:color="auto" w:fill="FFFFFF"/>
        <w:spacing w:after="0"/>
        <w:rPr>
          <w:rFonts w:cs="Times New Roman"/>
          <w:color w:val="4A4A4A"/>
          <w:sz w:val="21"/>
          <w:szCs w:val="21"/>
        </w:rPr>
      </w:pPr>
      <w:r w:rsidRPr="0021400E">
        <w:rPr>
          <w:rStyle w:val="Strong"/>
          <w:rFonts w:cs="Times New Roman"/>
          <w:color w:val="4A4A4A"/>
          <w:sz w:val="21"/>
          <w:szCs w:val="21"/>
        </w:rPr>
        <w:t>Sources of discrepancies:</w:t>
      </w:r>
    </w:p>
    <w:p w14:paraId="2F8C0CA3" w14:textId="77777777" w:rsidR="002C7F7A" w:rsidRPr="0021400E" w:rsidRDefault="002C7F7A" w:rsidP="0021400E">
      <w:pPr>
        <w:shd w:val="clear" w:color="auto" w:fill="FFFFFF"/>
        <w:spacing w:after="0"/>
        <w:rPr>
          <w:rFonts w:cs="Times New Roman"/>
          <w:color w:val="4A4A4A"/>
          <w:sz w:val="21"/>
          <w:szCs w:val="21"/>
        </w:rPr>
      </w:pPr>
    </w:p>
    <w:p w14:paraId="2F8C0CA4"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r w:rsidRPr="0021400E">
        <w:rPr>
          <w:rFonts w:asciiTheme="minorHAnsi" w:hAnsiTheme="minorHAnsi"/>
          <w:color w:val="4A4A4A"/>
          <w:sz w:val="21"/>
          <w:szCs w:val="21"/>
        </w:rPr>
        <w:t>Not applicable as all figures are obtained from national budget data.</w:t>
      </w:r>
    </w:p>
    <w:p w14:paraId="2F8C0CA5"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p>
    <w:p w14:paraId="2F8C0CA6" w14:textId="77777777" w:rsidR="002C7F7A" w:rsidRPr="0021400E" w:rsidRDefault="002C7F7A" w:rsidP="0021400E">
      <w:pPr>
        <w:pStyle w:val="Heading3"/>
        <w:pBdr>
          <w:bottom w:val="single" w:sz="12" w:space="4" w:color="DDDDDD"/>
        </w:pBdr>
        <w:shd w:val="clear" w:color="auto" w:fill="FFFFFF"/>
        <w:spacing w:before="0" w:beforeAutospacing="0" w:after="0" w:afterAutospacing="0"/>
        <w:rPr>
          <w:rFonts w:asciiTheme="minorHAnsi" w:hAnsiTheme="minorHAnsi"/>
          <w:b w:val="0"/>
          <w:bCs w:val="0"/>
          <w:color w:val="1C75BC"/>
          <w:sz w:val="36"/>
          <w:szCs w:val="36"/>
        </w:rPr>
      </w:pPr>
      <w:r w:rsidRPr="0021400E">
        <w:rPr>
          <w:rFonts w:asciiTheme="minorHAnsi" w:hAnsiTheme="minorHAnsi"/>
          <w:b w:val="0"/>
          <w:bCs w:val="0"/>
          <w:color w:val="1C75BC"/>
          <w:sz w:val="36"/>
          <w:szCs w:val="36"/>
        </w:rPr>
        <w:t>Data Sources</w:t>
      </w:r>
    </w:p>
    <w:p w14:paraId="2F8C0CA7" w14:textId="77777777" w:rsidR="002C7F7A" w:rsidRPr="0021400E" w:rsidRDefault="002C7F7A" w:rsidP="0021400E">
      <w:pPr>
        <w:shd w:val="clear" w:color="auto" w:fill="FFFFFF"/>
        <w:spacing w:after="0"/>
        <w:rPr>
          <w:rStyle w:val="Strong"/>
          <w:rFonts w:cs="Times New Roman"/>
          <w:color w:val="4A4A4A"/>
          <w:sz w:val="21"/>
          <w:szCs w:val="21"/>
        </w:rPr>
      </w:pPr>
    </w:p>
    <w:p w14:paraId="2F8C0CA8" w14:textId="77777777" w:rsidR="002C7F7A" w:rsidRPr="0021400E" w:rsidRDefault="002C7F7A" w:rsidP="0021400E">
      <w:pPr>
        <w:shd w:val="clear" w:color="auto" w:fill="FFFFFF"/>
        <w:spacing w:after="0"/>
        <w:rPr>
          <w:rFonts w:cs="Times New Roman"/>
          <w:color w:val="4A4A4A"/>
          <w:sz w:val="21"/>
          <w:szCs w:val="21"/>
        </w:rPr>
      </w:pPr>
      <w:r w:rsidRPr="0021400E">
        <w:rPr>
          <w:rStyle w:val="Strong"/>
          <w:rFonts w:cs="Times New Roman"/>
          <w:color w:val="4A4A4A"/>
          <w:sz w:val="21"/>
          <w:szCs w:val="21"/>
        </w:rPr>
        <w:t>Description:</w:t>
      </w:r>
    </w:p>
    <w:p w14:paraId="2F8C0CA9" w14:textId="77777777" w:rsidR="002C7F7A" w:rsidRPr="0021400E" w:rsidRDefault="002C7F7A" w:rsidP="0021400E">
      <w:pPr>
        <w:shd w:val="clear" w:color="auto" w:fill="FFFFFF"/>
        <w:spacing w:after="0"/>
        <w:rPr>
          <w:rFonts w:cs="Times New Roman"/>
          <w:color w:val="4A4A4A"/>
          <w:sz w:val="21"/>
          <w:szCs w:val="21"/>
        </w:rPr>
      </w:pPr>
    </w:p>
    <w:p w14:paraId="2F8C0CAA"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r w:rsidRPr="0021400E">
        <w:rPr>
          <w:rFonts w:asciiTheme="minorHAnsi" w:hAnsiTheme="minorHAnsi"/>
          <w:color w:val="4A4A4A"/>
          <w:sz w:val="21"/>
          <w:szCs w:val="21"/>
        </w:rPr>
        <w:t>The Budget Laws of countries is the usual source of the approved budget of countries. The end-of-year fiscal reports (/budget execution reports) are the sources of the actual spending. This data is typically obtained from websites of the Ministry of Finance (</w:t>
      </w:r>
      <w:proofErr w:type="spellStart"/>
      <w:r w:rsidRPr="0021400E">
        <w:rPr>
          <w:rFonts w:asciiTheme="minorHAnsi" w:hAnsiTheme="minorHAnsi"/>
          <w:color w:val="4A4A4A"/>
          <w:sz w:val="21"/>
          <w:szCs w:val="21"/>
        </w:rPr>
        <w:t>MoF</w:t>
      </w:r>
      <w:proofErr w:type="spellEnd"/>
      <w:r w:rsidRPr="0021400E">
        <w:rPr>
          <w:rFonts w:asciiTheme="minorHAnsi" w:hAnsiTheme="minorHAnsi"/>
          <w:color w:val="4A4A4A"/>
          <w:sz w:val="21"/>
          <w:szCs w:val="21"/>
        </w:rPr>
        <w:t xml:space="preserve">) or the national Parliament, or data are collected through communication with the </w:t>
      </w:r>
      <w:proofErr w:type="spellStart"/>
      <w:r w:rsidRPr="0021400E">
        <w:rPr>
          <w:rFonts w:asciiTheme="minorHAnsi" w:hAnsiTheme="minorHAnsi"/>
          <w:color w:val="4A4A4A"/>
          <w:sz w:val="21"/>
          <w:szCs w:val="21"/>
        </w:rPr>
        <w:t>MoF</w:t>
      </w:r>
      <w:proofErr w:type="spellEnd"/>
      <w:r w:rsidRPr="0021400E">
        <w:rPr>
          <w:rFonts w:asciiTheme="minorHAnsi" w:hAnsiTheme="minorHAnsi"/>
          <w:color w:val="4A4A4A"/>
          <w:sz w:val="21"/>
          <w:szCs w:val="21"/>
        </w:rPr>
        <w:t>.</w:t>
      </w:r>
    </w:p>
    <w:p w14:paraId="2F8C0CAB"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p>
    <w:p w14:paraId="2F8C0CAC" w14:textId="77777777" w:rsidR="002C7F7A" w:rsidRPr="0021400E" w:rsidRDefault="002C7F7A" w:rsidP="0021400E">
      <w:pPr>
        <w:shd w:val="clear" w:color="auto" w:fill="FFFFFF"/>
        <w:spacing w:after="0"/>
        <w:rPr>
          <w:rFonts w:cs="Times New Roman"/>
          <w:color w:val="4A4A4A"/>
          <w:sz w:val="21"/>
          <w:szCs w:val="21"/>
        </w:rPr>
      </w:pPr>
      <w:r w:rsidRPr="0021400E">
        <w:rPr>
          <w:rStyle w:val="Strong"/>
          <w:rFonts w:cs="Times New Roman"/>
          <w:color w:val="4A4A4A"/>
          <w:sz w:val="21"/>
          <w:szCs w:val="21"/>
        </w:rPr>
        <w:t>Collection process:</w:t>
      </w:r>
    </w:p>
    <w:p w14:paraId="2F8C0CAD" w14:textId="77777777" w:rsidR="002C7F7A" w:rsidRPr="0021400E" w:rsidRDefault="002C7F7A" w:rsidP="0021400E">
      <w:pPr>
        <w:shd w:val="clear" w:color="auto" w:fill="FFFFFF"/>
        <w:spacing w:after="0"/>
        <w:rPr>
          <w:rFonts w:cs="Times New Roman"/>
          <w:color w:val="4A4A4A"/>
          <w:sz w:val="21"/>
          <w:szCs w:val="21"/>
        </w:rPr>
      </w:pPr>
    </w:p>
    <w:p w14:paraId="2F8C0CAE"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r w:rsidRPr="0021400E">
        <w:rPr>
          <w:rFonts w:asciiTheme="minorHAnsi" w:hAnsiTheme="minorHAnsi"/>
          <w:color w:val="4A4A4A"/>
          <w:sz w:val="21"/>
          <w:szCs w:val="21"/>
        </w:rPr>
        <w:t>Not applicable.</w:t>
      </w:r>
    </w:p>
    <w:p w14:paraId="2F8C0CAF"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p>
    <w:p w14:paraId="2F8C0CB0" w14:textId="77777777" w:rsidR="002C7F7A" w:rsidRPr="0021400E" w:rsidRDefault="002C7F7A" w:rsidP="0021400E">
      <w:pPr>
        <w:pStyle w:val="Heading3"/>
        <w:keepNext/>
        <w:keepLines/>
        <w:pBdr>
          <w:bottom w:val="single" w:sz="12" w:space="4" w:color="DDDDDD"/>
        </w:pBdr>
        <w:shd w:val="clear" w:color="auto" w:fill="FFFFFF"/>
        <w:spacing w:before="0" w:beforeAutospacing="0" w:after="0" w:afterAutospacing="0"/>
        <w:rPr>
          <w:rFonts w:asciiTheme="minorHAnsi" w:hAnsiTheme="minorHAnsi"/>
          <w:b w:val="0"/>
          <w:bCs w:val="0"/>
          <w:color w:val="1C75BC"/>
          <w:sz w:val="36"/>
          <w:szCs w:val="36"/>
        </w:rPr>
      </w:pPr>
      <w:r w:rsidRPr="0021400E">
        <w:rPr>
          <w:rFonts w:asciiTheme="minorHAnsi" w:hAnsiTheme="minorHAnsi"/>
          <w:b w:val="0"/>
          <w:bCs w:val="0"/>
          <w:color w:val="1C75BC"/>
          <w:sz w:val="36"/>
          <w:szCs w:val="36"/>
        </w:rPr>
        <w:lastRenderedPageBreak/>
        <w:t>Data Availability</w:t>
      </w:r>
    </w:p>
    <w:p w14:paraId="2F8C0CB1" w14:textId="77777777" w:rsidR="0021400E" w:rsidRDefault="0021400E" w:rsidP="0021400E">
      <w:pPr>
        <w:keepNext/>
        <w:keepLines/>
        <w:shd w:val="clear" w:color="auto" w:fill="FFFFFF"/>
        <w:spacing w:after="0"/>
        <w:rPr>
          <w:rStyle w:val="Strong"/>
          <w:rFonts w:cs="Times New Roman"/>
          <w:color w:val="4A4A4A"/>
          <w:sz w:val="21"/>
          <w:szCs w:val="21"/>
        </w:rPr>
      </w:pPr>
    </w:p>
    <w:p w14:paraId="2F8C0CB2" w14:textId="77777777" w:rsidR="002C7F7A" w:rsidRPr="0021400E" w:rsidRDefault="002C7F7A" w:rsidP="0021400E">
      <w:pPr>
        <w:keepNext/>
        <w:keepLines/>
        <w:shd w:val="clear" w:color="auto" w:fill="FFFFFF"/>
        <w:spacing w:after="0"/>
        <w:rPr>
          <w:rFonts w:cs="Times New Roman"/>
          <w:color w:val="4A4A4A"/>
          <w:sz w:val="21"/>
          <w:szCs w:val="21"/>
        </w:rPr>
      </w:pPr>
      <w:r w:rsidRPr="0021400E">
        <w:rPr>
          <w:rStyle w:val="Strong"/>
          <w:rFonts w:cs="Times New Roman"/>
          <w:color w:val="4A4A4A"/>
          <w:sz w:val="21"/>
          <w:szCs w:val="21"/>
        </w:rPr>
        <w:t>Description:</w:t>
      </w:r>
    </w:p>
    <w:p w14:paraId="2F8C0CB3" w14:textId="77777777" w:rsidR="002C7F7A" w:rsidRPr="0021400E" w:rsidRDefault="002C7F7A" w:rsidP="0021400E">
      <w:pPr>
        <w:keepNext/>
        <w:keepLines/>
        <w:shd w:val="clear" w:color="auto" w:fill="FFFFFF"/>
        <w:spacing w:after="0"/>
        <w:rPr>
          <w:rFonts w:cs="Times New Roman"/>
          <w:color w:val="4A4A4A"/>
          <w:sz w:val="21"/>
          <w:szCs w:val="21"/>
        </w:rPr>
      </w:pPr>
    </w:p>
    <w:p w14:paraId="2F8C0CB4" w14:textId="77777777" w:rsidR="002C7F7A" w:rsidRPr="0021400E" w:rsidRDefault="002C7F7A" w:rsidP="0021400E">
      <w:pPr>
        <w:pStyle w:val="form-control-static"/>
        <w:keepNext/>
        <w:keepLines/>
        <w:shd w:val="clear" w:color="auto" w:fill="FFFFFF"/>
        <w:spacing w:before="0" w:beforeAutospacing="0" w:after="0" w:afterAutospacing="0"/>
        <w:rPr>
          <w:rFonts w:asciiTheme="minorHAnsi" w:hAnsiTheme="minorHAnsi"/>
          <w:color w:val="4A4A4A"/>
          <w:sz w:val="21"/>
          <w:szCs w:val="21"/>
        </w:rPr>
      </w:pPr>
      <w:r w:rsidRPr="0021400E">
        <w:rPr>
          <w:rFonts w:asciiTheme="minorHAnsi" w:hAnsiTheme="minorHAnsi"/>
          <w:color w:val="4A4A4A"/>
          <w:sz w:val="21"/>
          <w:szCs w:val="21"/>
        </w:rPr>
        <w:t>Data Availability 2010 to present (in terms of how many countries have at least 1 data point after 2010 for this indicator)</w:t>
      </w:r>
    </w:p>
    <w:p w14:paraId="2F8C0CB5" w14:textId="77777777" w:rsidR="002C7F7A" w:rsidRPr="0021400E" w:rsidRDefault="002C7F7A" w:rsidP="0021400E">
      <w:pPr>
        <w:pStyle w:val="form-control-static"/>
        <w:keepNext/>
        <w:keepLines/>
        <w:shd w:val="clear" w:color="auto" w:fill="FFFFFF"/>
        <w:spacing w:before="0" w:beforeAutospacing="0" w:after="0" w:afterAutospacing="0"/>
        <w:rPr>
          <w:rFonts w:asciiTheme="minorHAnsi" w:hAnsiTheme="minorHAnsi"/>
          <w:color w:val="4A4A4A"/>
          <w:sz w:val="21"/>
          <w:szCs w:val="21"/>
        </w:rPr>
      </w:pPr>
      <w:r w:rsidRPr="0021400E">
        <w:rPr>
          <w:rFonts w:asciiTheme="minorHAnsi" w:hAnsiTheme="minorHAnsi"/>
          <w:color w:val="4A4A4A"/>
          <w:sz w:val="21"/>
          <w:szCs w:val="21"/>
        </w:rPr>
        <w:t>Asia and Pacific: 23; Africa: 41; Latin America and Caribbean: 24; Europe, North America, Australia, New Zealand and Japan: 19</w:t>
      </w:r>
    </w:p>
    <w:p w14:paraId="2F8C0CB6"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p>
    <w:p w14:paraId="2F8C0CB7"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r w:rsidRPr="0021400E">
        <w:rPr>
          <w:rFonts w:asciiTheme="minorHAnsi" w:hAnsiTheme="minorHAnsi"/>
          <w:color w:val="4A4A4A"/>
          <w:sz w:val="21"/>
          <w:szCs w:val="21"/>
        </w:rPr>
        <w:t>Data Availability 2000-2009:</w:t>
      </w:r>
    </w:p>
    <w:p w14:paraId="2F8C0CB8"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r w:rsidRPr="0021400E">
        <w:rPr>
          <w:rFonts w:asciiTheme="minorHAnsi" w:hAnsiTheme="minorHAnsi"/>
          <w:color w:val="4A4A4A"/>
          <w:sz w:val="21"/>
          <w:szCs w:val="21"/>
        </w:rPr>
        <w:t>Asia and Pacific: 28; Africa: 52; Latin America and Caribbean: 28; Europe, North America, Australia, New Zealand and Japan: 17</w:t>
      </w:r>
    </w:p>
    <w:p w14:paraId="2F8C0CB9"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p>
    <w:p w14:paraId="2F8C0CBA" w14:textId="77777777" w:rsidR="002C7F7A" w:rsidRPr="0021400E" w:rsidRDefault="002C7F7A" w:rsidP="0021400E">
      <w:pPr>
        <w:pStyle w:val="Heading3"/>
        <w:keepNext/>
        <w:keepLines/>
        <w:pBdr>
          <w:bottom w:val="single" w:sz="12" w:space="4" w:color="DDDDDD"/>
        </w:pBdr>
        <w:shd w:val="clear" w:color="auto" w:fill="FFFFFF"/>
        <w:spacing w:before="0" w:beforeAutospacing="0" w:after="0" w:afterAutospacing="0"/>
        <w:rPr>
          <w:rFonts w:asciiTheme="minorHAnsi" w:hAnsiTheme="minorHAnsi"/>
          <w:b w:val="0"/>
          <w:bCs w:val="0"/>
          <w:color w:val="1C75BC"/>
          <w:sz w:val="36"/>
          <w:szCs w:val="36"/>
        </w:rPr>
      </w:pPr>
      <w:r w:rsidRPr="0021400E">
        <w:rPr>
          <w:rFonts w:asciiTheme="minorHAnsi" w:hAnsiTheme="minorHAnsi"/>
          <w:b w:val="0"/>
          <w:bCs w:val="0"/>
          <w:color w:val="1C75BC"/>
          <w:sz w:val="36"/>
          <w:szCs w:val="36"/>
        </w:rPr>
        <w:t>Calendar</w:t>
      </w:r>
    </w:p>
    <w:p w14:paraId="2F8C0CBB" w14:textId="77777777" w:rsidR="002C7F7A" w:rsidRPr="0021400E" w:rsidRDefault="002C7F7A" w:rsidP="0021400E">
      <w:pPr>
        <w:keepNext/>
        <w:keepLines/>
        <w:shd w:val="clear" w:color="auto" w:fill="FFFFFF"/>
        <w:spacing w:after="0"/>
        <w:rPr>
          <w:rStyle w:val="Strong"/>
          <w:rFonts w:cs="Times New Roman"/>
          <w:color w:val="4A4A4A"/>
          <w:sz w:val="21"/>
          <w:szCs w:val="21"/>
        </w:rPr>
      </w:pPr>
    </w:p>
    <w:p w14:paraId="2F8C0CBC" w14:textId="77777777" w:rsidR="002C7F7A" w:rsidRPr="0021400E" w:rsidRDefault="002C7F7A" w:rsidP="0021400E">
      <w:pPr>
        <w:keepNext/>
        <w:keepLines/>
        <w:shd w:val="clear" w:color="auto" w:fill="FFFFFF"/>
        <w:spacing w:after="0"/>
        <w:rPr>
          <w:rFonts w:cs="Times New Roman"/>
          <w:color w:val="4A4A4A"/>
          <w:sz w:val="21"/>
          <w:szCs w:val="21"/>
        </w:rPr>
      </w:pPr>
      <w:r w:rsidRPr="0021400E">
        <w:rPr>
          <w:rStyle w:val="Strong"/>
          <w:rFonts w:cs="Times New Roman"/>
          <w:color w:val="4A4A4A"/>
          <w:sz w:val="21"/>
          <w:szCs w:val="21"/>
        </w:rPr>
        <w:t>Data collection:</w:t>
      </w:r>
    </w:p>
    <w:p w14:paraId="2F8C0CBD" w14:textId="77777777" w:rsidR="002C7F7A" w:rsidRPr="0021400E" w:rsidRDefault="002C7F7A" w:rsidP="0021400E">
      <w:pPr>
        <w:keepNext/>
        <w:keepLines/>
        <w:shd w:val="clear" w:color="auto" w:fill="FFFFFF"/>
        <w:spacing w:after="0"/>
        <w:rPr>
          <w:rFonts w:cs="Times New Roman"/>
          <w:color w:val="4A4A4A"/>
          <w:sz w:val="21"/>
          <w:szCs w:val="21"/>
        </w:rPr>
      </w:pPr>
    </w:p>
    <w:p w14:paraId="2F8C0CBE" w14:textId="77777777" w:rsidR="002C7F7A" w:rsidRPr="0021400E" w:rsidRDefault="002C7F7A" w:rsidP="0021400E">
      <w:pPr>
        <w:pStyle w:val="form-control-static"/>
        <w:keepNext/>
        <w:keepLines/>
        <w:shd w:val="clear" w:color="auto" w:fill="FFFFFF"/>
        <w:spacing w:before="0" w:beforeAutospacing="0" w:after="0" w:afterAutospacing="0"/>
        <w:rPr>
          <w:rFonts w:asciiTheme="minorHAnsi" w:hAnsiTheme="minorHAnsi"/>
          <w:color w:val="4A4A4A"/>
          <w:sz w:val="21"/>
          <w:szCs w:val="21"/>
        </w:rPr>
      </w:pPr>
      <w:r w:rsidRPr="0021400E">
        <w:rPr>
          <w:rFonts w:asciiTheme="minorHAnsi" w:hAnsiTheme="minorHAnsi"/>
          <w:color w:val="4A4A4A"/>
          <w:sz w:val="21"/>
          <w:szCs w:val="21"/>
        </w:rPr>
        <w:t>Continuously</w:t>
      </w:r>
    </w:p>
    <w:p w14:paraId="2F8C0CBF" w14:textId="77777777" w:rsidR="002C7F7A" w:rsidRPr="0021400E" w:rsidRDefault="002C7F7A" w:rsidP="0021400E">
      <w:pPr>
        <w:pStyle w:val="form-control-static"/>
        <w:keepNext/>
        <w:keepLines/>
        <w:shd w:val="clear" w:color="auto" w:fill="FFFFFF"/>
        <w:spacing w:before="0" w:beforeAutospacing="0" w:after="0" w:afterAutospacing="0"/>
        <w:rPr>
          <w:rFonts w:asciiTheme="minorHAnsi" w:hAnsiTheme="minorHAnsi"/>
          <w:color w:val="4A4A4A"/>
          <w:sz w:val="21"/>
          <w:szCs w:val="21"/>
        </w:rPr>
      </w:pPr>
    </w:p>
    <w:p w14:paraId="2F8C0CC0" w14:textId="77777777" w:rsidR="002C7F7A" w:rsidRPr="0021400E" w:rsidRDefault="002C7F7A" w:rsidP="0021400E">
      <w:pPr>
        <w:keepNext/>
        <w:keepLines/>
        <w:shd w:val="clear" w:color="auto" w:fill="FFFFFF"/>
        <w:spacing w:after="0"/>
        <w:rPr>
          <w:rFonts w:cs="Times New Roman"/>
          <w:color w:val="4A4A4A"/>
          <w:sz w:val="21"/>
          <w:szCs w:val="21"/>
        </w:rPr>
      </w:pPr>
      <w:r w:rsidRPr="0021400E">
        <w:rPr>
          <w:rStyle w:val="Strong"/>
          <w:rFonts w:cs="Times New Roman"/>
          <w:color w:val="4A4A4A"/>
          <w:sz w:val="21"/>
          <w:szCs w:val="21"/>
        </w:rPr>
        <w:t>Data release:</w:t>
      </w:r>
    </w:p>
    <w:p w14:paraId="2F8C0CC1" w14:textId="77777777" w:rsidR="002C7F7A" w:rsidRPr="0021400E" w:rsidRDefault="002C7F7A" w:rsidP="0021400E">
      <w:pPr>
        <w:keepNext/>
        <w:keepLines/>
        <w:shd w:val="clear" w:color="auto" w:fill="FFFFFF"/>
        <w:spacing w:after="0"/>
        <w:rPr>
          <w:rFonts w:cs="Times New Roman"/>
          <w:color w:val="4A4A4A"/>
          <w:sz w:val="21"/>
          <w:szCs w:val="21"/>
        </w:rPr>
      </w:pPr>
    </w:p>
    <w:p w14:paraId="2F8C0CC2" w14:textId="77777777" w:rsidR="002C7F7A" w:rsidRPr="0021400E" w:rsidRDefault="002C7F7A" w:rsidP="0021400E">
      <w:pPr>
        <w:pStyle w:val="form-control-static"/>
        <w:keepNext/>
        <w:keepLines/>
        <w:shd w:val="clear" w:color="auto" w:fill="FFFFFF"/>
        <w:spacing w:before="0" w:beforeAutospacing="0" w:after="0" w:afterAutospacing="0"/>
        <w:rPr>
          <w:rFonts w:asciiTheme="minorHAnsi" w:hAnsiTheme="minorHAnsi"/>
          <w:color w:val="4A4A4A"/>
          <w:sz w:val="21"/>
          <w:szCs w:val="21"/>
        </w:rPr>
      </w:pPr>
      <w:r w:rsidRPr="0021400E">
        <w:rPr>
          <w:rFonts w:asciiTheme="minorHAnsi" w:hAnsiTheme="minorHAnsi"/>
          <w:color w:val="4A4A4A"/>
          <w:sz w:val="21"/>
          <w:szCs w:val="21"/>
        </w:rPr>
        <w:t>Continuously</w:t>
      </w:r>
    </w:p>
    <w:p w14:paraId="2F8C0CC3"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p>
    <w:p w14:paraId="2F8C0CC4" w14:textId="77777777" w:rsidR="002C7F7A" w:rsidRPr="0021400E" w:rsidRDefault="002C7F7A" w:rsidP="0021400E">
      <w:pPr>
        <w:pStyle w:val="Heading3"/>
        <w:pBdr>
          <w:bottom w:val="single" w:sz="12" w:space="4" w:color="DDDDDD"/>
        </w:pBdr>
        <w:shd w:val="clear" w:color="auto" w:fill="FFFFFF"/>
        <w:spacing w:before="0" w:beforeAutospacing="0" w:after="0" w:afterAutospacing="0"/>
        <w:rPr>
          <w:rFonts w:asciiTheme="minorHAnsi" w:hAnsiTheme="minorHAnsi"/>
          <w:b w:val="0"/>
          <w:bCs w:val="0"/>
          <w:color w:val="1C75BC"/>
          <w:sz w:val="36"/>
          <w:szCs w:val="36"/>
        </w:rPr>
      </w:pPr>
      <w:r w:rsidRPr="0021400E">
        <w:rPr>
          <w:rFonts w:asciiTheme="minorHAnsi" w:hAnsiTheme="minorHAnsi"/>
          <w:b w:val="0"/>
          <w:bCs w:val="0"/>
          <w:color w:val="1C75BC"/>
          <w:sz w:val="36"/>
          <w:szCs w:val="36"/>
        </w:rPr>
        <w:t>Data providers</w:t>
      </w:r>
    </w:p>
    <w:p w14:paraId="2F8C0CC5" w14:textId="77777777" w:rsidR="002C7F7A" w:rsidRPr="0021400E" w:rsidRDefault="002C7F7A" w:rsidP="0021400E">
      <w:pPr>
        <w:shd w:val="clear" w:color="auto" w:fill="FFFFFF"/>
        <w:spacing w:after="0"/>
        <w:rPr>
          <w:rStyle w:val="Strong"/>
          <w:rFonts w:cs="Times New Roman"/>
          <w:color w:val="4A4A4A"/>
          <w:sz w:val="21"/>
          <w:szCs w:val="21"/>
        </w:rPr>
      </w:pPr>
    </w:p>
    <w:p w14:paraId="2F8C0CC6"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r w:rsidRPr="0021400E">
        <w:rPr>
          <w:rFonts w:asciiTheme="minorHAnsi" w:hAnsiTheme="minorHAnsi"/>
          <w:color w:val="4A4A4A"/>
          <w:sz w:val="21"/>
          <w:szCs w:val="21"/>
        </w:rPr>
        <w:t>Ministry of Finances of countries</w:t>
      </w:r>
    </w:p>
    <w:p w14:paraId="2F8C0CC7"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p>
    <w:p w14:paraId="2F8C0CC8" w14:textId="77777777" w:rsidR="002C7F7A" w:rsidRPr="0021400E" w:rsidRDefault="002C7F7A" w:rsidP="0021400E">
      <w:pPr>
        <w:pStyle w:val="Heading3"/>
        <w:pBdr>
          <w:bottom w:val="single" w:sz="12" w:space="4" w:color="DDDDDD"/>
        </w:pBdr>
        <w:shd w:val="clear" w:color="auto" w:fill="FFFFFF"/>
        <w:spacing w:before="0" w:beforeAutospacing="0" w:after="0" w:afterAutospacing="0"/>
        <w:rPr>
          <w:rFonts w:asciiTheme="minorHAnsi" w:hAnsiTheme="minorHAnsi"/>
          <w:b w:val="0"/>
          <w:bCs w:val="0"/>
          <w:color w:val="1C75BC"/>
          <w:sz w:val="36"/>
          <w:szCs w:val="36"/>
        </w:rPr>
      </w:pPr>
      <w:r w:rsidRPr="0021400E">
        <w:rPr>
          <w:rFonts w:asciiTheme="minorHAnsi" w:hAnsiTheme="minorHAnsi"/>
          <w:b w:val="0"/>
          <w:bCs w:val="0"/>
          <w:color w:val="1C75BC"/>
          <w:sz w:val="36"/>
          <w:szCs w:val="36"/>
        </w:rPr>
        <w:t>Data compilers</w:t>
      </w:r>
    </w:p>
    <w:p w14:paraId="2F8C0CC9" w14:textId="77777777" w:rsidR="002C7F7A" w:rsidRPr="0021400E" w:rsidRDefault="002C7F7A" w:rsidP="0021400E">
      <w:pPr>
        <w:shd w:val="clear" w:color="auto" w:fill="FFFFFF"/>
        <w:spacing w:after="0"/>
        <w:rPr>
          <w:rStyle w:val="Strong"/>
          <w:rFonts w:cs="Times New Roman"/>
          <w:color w:val="4A4A4A"/>
          <w:sz w:val="21"/>
          <w:szCs w:val="21"/>
        </w:rPr>
      </w:pPr>
    </w:p>
    <w:p w14:paraId="2F8C0CCA"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r w:rsidRPr="0021400E">
        <w:rPr>
          <w:rFonts w:asciiTheme="minorHAnsi" w:hAnsiTheme="minorHAnsi"/>
          <w:color w:val="4A4A4A"/>
          <w:sz w:val="21"/>
          <w:szCs w:val="21"/>
        </w:rPr>
        <w:t>World Bank</w:t>
      </w:r>
    </w:p>
    <w:p w14:paraId="2F8C0CCB"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p>
    <w:p w14:paraId="2F8C0CCC" w14:textId="77777777" w:rsidR="002C7F7A" w:rsidRPr="0021400E" w:rsidRDefault="002C7F7A" w:rsidP="0021400E">
      <w:pPr>
        <w:pStyle w:val="Heading3"/>
        <w:pBdr>
          <w:bottom w:val="single" w:sz="12" w:space="4" w:color="DDDDDD"/>
        </w:pBdr>
        <w:shd w:val="clear" w:color="auto" w:fill="FFFFFF"/>
        <w:spacing w:before="0" w:beforeAutospacing="0" w:after="0" w:afterAutospacing="0"/>
        <w:rPr>
          <w:rFonts w:asciiTheme="minorHAnsi" w:hAnsiTheme="minorHAnsi"/>
          <w:b w:val="0"/>
          <w:bCs w:val="0"/>
          <w:color w:val="1C75BC"/>
          <w:sz w:val="36"/>
          <w:szCs w:val="36"/>
        </w:rPr>
      </w:pPr>
      <w:r w:rsidRPr="0021400E">
        <w:rPr>
          <w:rFonts w:asciiTheme="minorHAnsi" w:hAnsiTheme="minorHAnsi"/>
          <w:b w:val="0"/>
          <w:bCs w:val="0"/>
          <w:color w:val="1C75BC"/>
          <w:sz w:val="36"/>
          <w:szCs w:val="36"/>
        </w:rPr>
        <w:t>References</w:t>
      </w:r>
    </w:p>
    <w:p w14:paraId="2F8C0CCD" w14:textId="77777777" w:rsidR="002C7F7A" w:rsidRPr="0021400E" w:rsidRDefault="002C7F7A" w:rsidP="0021400E">
      <w:pPr>
        <w:shd w:val="clear" w:color="auto" w:fill="FFFFFF"/>
        <w:spacing w:after="0"/>
        <w:rPr>
          <w:rStyle w:val="Strong"/>
          <w:rFonts w:cs="Times New Roman"/>
          <w:color w:val="4A4A4A"/>
          <w:sz w:val="21"/>
          <w:szCs w:val="21"/>
        </w:rPr>
      </w:pPr>
    </w:p>
    <w:p w14:paraId="2F8C0CCE" w14:textId="77777777" w:rsidR="002C7F7A" w:rsidRPr="0021400E" w:rsidRDefault="002C7F7A" w:rsidP="0021400E">
      <w:pPr>
        <w:shd w:val="clear" w:color="auto" w:fill="FFFFFF"/>
        <w:spacing w:after="0"/>
        <w:rPr>
          <w:rFonts w:cs="Times New Roman"/>
          <w:color w:val="4A4A4A"/>
          <w:sz w:val="21"/>
          <w:szCs w:val="21"/>
        </w:rPr>
      </w:pPr>
      <w:r w:rsidRPr="0021400E">
        <w:rPr>
          <w:rStyle w:val="Strong"/>
          <w:rFonts w:cs="Times New Roman"/>
          <w:color w:val="4A4A4A"/>
          <w:sz w:val="21"/>
          <w:szCs w:val="21"/>
        </w:rPr>
        <w:t>URL:</w:t>
      </w:r>
    </w:p>
    <w:p w14:paraId="2F8C0CCF" w14:textId="77777777" w:rsidR="002C7F7A" w:rsidRPr="0021400E" w:rsidRDefault="002C7F7A" w:rsidP="0021400E">
      <w:pPr>
        <w:shd w:val="clear" w:color="auto" w:fill="FFFFFF"/>
        <w:spacing w:after="0"/>
        <w:rPr>
          <w:rFonts w:cs="Times New Roman"/>
          <w:color w:val="4A4A4A"/>
          <w:sz w:val="21"/>
          <w:szCs w:val="21"/>
        </w:rPr>
      </w:pPr>
    </w:p>
    <w:p w14:paraId="2F8C0CD0"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r w:rsidRPr="0021400E">
        <w:rPr>
          <w:rFonts w:asciiTheme="minorHAnsi" w:hAnsiTheme="minorHAnsi"/>
          <w:color w:val="4A4A4A"/>
          <w:sz w:val="21"/>
          <w:szCs w:val="21"/>
        </w:rPr>
        <w:t>www.worldbank.org</w:t>
      </w:r>
    </w:p>
    <w:p w14:paraId="2F8C0CD1"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p>
    <w:p w14:paraId="2F8C0CD2" w14:textId="77777777" w:rsidR="002C7F7A" w:rsidRPr="0021400E" w:rsidRDefault="002C7F7A" w:rsidP="0021400E">
      <w:pPr>
        <w:shd w:val="clear" w:color="auto" w:fill="FFFFFF"/>
        <w:spacing w:after="0"/>
        <w:rPr>
          <w:rFonts w:cs="Times New Roman"/>
          <w:color w:val="4A4A4A"/>
          <w:sz w:val="21"/>
          <w:szCs w:val="21"/>
        </w:rPr>
      </w:pPr>
      <w:r w:rsidRPr="0021400E">
        <w:rPr>
          <w:rStyle w:val="Strong"/>
          <w:rFonts w:cs="Times New Roman"/>
          <w:color w:val="4A4A4A"/>
          <w:sz w:val="21"/>
          <w:szCs w:val="21"/>
        </w:rPr>
        <w:t>References:</w:t>
      </w:r>
    </w:p>
    <w:p w14:paraId="2F8C0CD3" w14:textId="77777777" w:rsidR="002C7F7A" w:rsidRPr="0021400E" w:rsidRDefault="002C7F7A" w:rsidP="0021400E">
      <w:pPr>
        <w:shd w:val="clear" w:color="auto" w:fill="FFFFFF"/>
        <w:spacing w:after="0"/>
        <w:rPr>
          <w:rFonts w:cs="Times New Roman"/>
          <w:color w:val="4A4A4A"/>
          <w:sz w:val="21"/>
          <w:szCs w:val="21"/>
        </w:rPr>
      </w:pPr>
    </w:p>
    <w:p w14:paraId="2F8C0CD4"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r w:rsidRPr="0021400E">
        <w:rPr>
          <w:rFonts w:asciiTheme="minorHAnsi" w:hAnsiTheme="minorHAnsi"/>
          <w:color w:val="4A4A4A"/>
          <w:sz w:val="21"/>
          <w:szCs w:val="21"/>
        </w:rPr>
        <w:t>Very detailed resources are available at: http://www.pefa.org/en/content/pefa-2016-framework.</w:t>
      </w:r>
      <w:r w:rsidRPr="0021400E">
        <w:rPr>
          <w:rStyle w:val="apple-converted-space"/>
          <w:rFonts w:asciiTheme="minorHAnsi" w:hAnsiTheme="minorHAnsi"/>
          <w:color w:val="4A4A4A"/>
          <w:sz w:val="21"/>
          <w:szCs w:val="21"/>
        </w:rPr>
        <w:t xml:space="preserve"> </w:t>
      </w:r>
    </w:p>
    <w:p w14:paraId="2F8C0CD5"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p>
    <w:p w14:paraId="2F8C0CD6"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r w:rsidRPr="0021400E">
        <w:rPr>
          <w:rFonts w:asciiTheme="minorHAnsi" w:hAnsiTheme="minorHAnsi"/>
          <w:color w:val="4A4A4A"/>
          <w:sz w:val="21"/>
          <w:szCs w:val="21"/>
        </w:rPr>
        <w:t>The document “Framework for assessing public financial management” is extremely useful (https://www.pefa.org/sites/pefa.org/files/attachments/PEFA%20Framework_English.pdf).</w:t>
      </w:r>
      <w:r w:rsidRPr="0021400E">
        <w:rPr>
          <w:rStyle w:val="apple-converted-space"/>
          <w:rFonts w:asciiTheme="minorHAnsi" w:hAnsiTheme="minorHAnsi"/>
          <w:color w:val="4A4A4A"/>
          <w:sz w:val="21"/>
          <w:szCs w:val="21"/>
        </w:rPr>
        <w:t xml:space="preserve"> </w:t>
      </w:r>
    </w:p>
    <w:p w14:paraId="2F8C0CD7" w14:textId="77777777" w:rsidR="002C7F7A" w:rsidRPr="0021400E" w:rsidRDefault="002C7F7A" w:rsidP="0021400E">
      <w:pPr>
        <w:pStyle w:val="form-control-static"/>
        <w:shd w:val="clear" w:color="auto" w:fill="FFFFFF"/>
        <w:spacing w:before="0" w:beforeAutospacing="0" w:after="0" w:afterAutospacing="0"/>
        <w:rPr>
          <w:rFonts w:asciiTheme="minorHAnsi" w:hAnsiTheme="minorHAnsi"/>
          <w:color w:val="4A4A4A"/>
          <w:sz w:val="21"/>
          <w:szCs w:val="21"/>
        </w:rPr>
      </w:pPr>
    </w:p>
    <w:p w14:paraId="2F8C0CD8" w14:textId="77777777" w:rsidR="0021400E" w:rsidRPr="0021400E" w:rsidRDefault="002C7F7A" w:rsidP="0021400E">
      <w:pPr>
        <w:pStyle w:val="form-control-static"/>
        <w:shd w:val="clear" w:color="auto" w:fill="FFFFFF"/>
        <w:spacing w:before="0" w:beforeAutospacing="0" w:after="0" w:afterAutospacing="0"/>
      </w:pPr>
      <w:r w:rsidRPr="0021400E">
        <w:rPr>
          <w:rFonts w:asciiTheme="minorHAnsi" w:hAnsiTheme="minorHAnsi"/>
          <w:color w:val="4A4A4A"/>
          <w:sz w:val="21"/>
          <w:szCs w:val="21"/>
        </w:rPr>
        <w:t>There are seven PEFA (Public Expenditure and Financial Accountability) Performance pillars and this indicator is part of Pillar I which measures Budget reliability.</w:t>
      </w:r>
    </w:p>
    <w:sectPr w:rsidR="0021400E" w:rsidRPr="0021400E">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2A9AC" w14:textId="77777777" w:rsidR="008C4535" w:rsidRDefault="008C4535" w:rsidP="008C4535">
      <w:pPr>
        <w:spacing w:after="0" w:line="240" w:lineRule="auto"/>
      </w:pPr>
      <w:r>
        <w:separator/>
      </w:r>
    </w:p>
  </w:endnote>
  <w:endnote w:type="continuationSeparator" w:id="0">
    <w:p w14:paraId="1E37B704" w14:textId="77777777" w:rsidR="008C4535" w:rsidRDefault="008C4535" w:rsidP="008C4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3386F" w14:textId="77777777" w:rsidR="008C4535" w:rsidRDefault="008C4535" w:rsidP="008C4535">
      <w:pPr>
        <w:spacing w:after="0" w:line="240" w:lineRule="auto"/>
      </w:pPr>
      <w:r>
        <w:separator/>
      </w:r>
    </w:p>
  </w:footnote>
  <w:footnote w:type="continuationSeparator" w:id="0">
    <w:p w14:paraId="76752858" w14:textId="77777777" w:rsidR="008C4535" w:rsidRDefault="008C4535" w:rsidP="008C4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6DF52" w14:textId="77777777" w:rsidR="008C4535" w:rsidRPr="00B071C0" w:rsidRDefault="008C4535" w:rsidP="008C4535">
    <w:pPr>
      <w:pStyle w:val="Header"/>
      <w:jc w:val="right"/>
      <w:rPr>
        <w:color w:val="595959" w:themeColor="text1" w:themeTint="A6"/>
        <w:sz w:val="18"/>
        <w:szCs w:val="18"/>
      </w:rPr>
    </w:pPr>
    <w:bookmarkStart w:id="2" w:name="_Hlk532729630"/>
    <w:r>
      <w:rPr>
        <w:color w:val="595959" w:themeColor="text1" w:themeTint="A6"/>
        <w:sz w:val="18"/>
        <w:szCs w:val="18"/>
      </w:rPr>
      <w:t>Last updated: 19 July 2016</w:t>
    </w:r>
  </w:p>
  <w:bookmarkEnd w:id="2"/>
  <w:p w14:paraId="235E685B" w14:textId="77777777" w:rsidR="008C4535" w:rsidRDefault="008C45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43A99"/>
    <w:multiLevelType w:val="multilevel"/>
    <w:tmpl w:val="7464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7F7A"/>
    <w:rsid w:val="000070BA"/>
    <w:rsid w:val="00071F07"/>
    <w:rsid w:val="0007759D"/>
    <w:rsid w:val="000777AB"/>
    <w:rsid w:val="00090FB1"/>
    <w:rsid w:val="00096186"/>
    <w:rsid w:val="000A72E4"/>
    <w:rsid w:val="000B0E2F"/>
    <w:rsid w:val="000B2430"/>
    <w:rsid w:val="000D0B30"/>
    <w:rsid w:val="000F703E"/>
    <w:rsid w:val="00120E86"/>
    <w:rsid w:val="00125DE9"/>
    <w:rsid w:val="00134DE7"/>
    <w:rsid w:val="00185354"/>
    <w:rsid w:val="001854DC"/>
    <w:rsid w:val="00194D09"/>
    <w:rsid w:val="001C421F"/>
    <w:rsid w:val="001D360D"/>
    <w:rsid w:val="0021400E"/>
    <w:rsid w:val="00261A8D"/>
    <w:rsid w:val="00283C1C"/>
    <w:rsid w:val="00291A00"/>
    <w:rsid w:val="00291A11"/>
    <w:rsid w:val="002A3342"/>
    <w:rsid w:val="002A64BA"/>
    <w:rsid w:val="002B4989"/>
    <w:rsid w:val="002C7F7A"/>
    <w:rsid w:val="002D714E"/>
    <w:rsid w:val="002E53C3"/>
    <w:rsid w:val="00343FAA"/>
    <w:rsid w:val="00353C98"/>
    <w:rsid w:val="003A7CEA"/>
    <w:rsid w:val="003F0BD3"/>
    <w:rsid w:val="004B0F1C"/>
    <w:rsid w:val="005040C4"/>
    <w:rsid w:val="00507637"/>
    <w:rsid w:val="00514DBF"/>
    <w:rsid w:val="00550921"/>
    <w:rsid w:val="00597748"/>
    <w:rsid w:val="005D0AF4"/>
    <w:rsid w:val="005F6CCA"/>
    <w:rsid w:val="006104AF"/>
    <w:rsid w:val="006351E1"/>
    <w:rsid w:val="006852FC"/>
    <w:rsid w:val="006B40AB"/>
    <w:rsid w:val="006B5DC5"/>
    <w:rsid w:val="006E3C08"/>
    <w:rsid w:val="00700ACF"/>
    <w:rsid w:val="00712487"/>
    <w:rsid w:val="007530CA"/>
    <w:rsid w:val="007578D9"/>
    <w:rsid w:val="00763E43"/>
    <w:rsid w:val="00764EB5"/>
    <w:rsid w:val="00777A95"/>
    <w:rsid w:val="007D0981"/>
    <w:rsid w:val="007D1929"/>
    <w:rsid w:val="008249C5"/>
    <w:rsid w:val="008526F9"/>
    <w:rsid w:val="00881E28"/>
    <w:rsid w:val="00894C4B"/>
    <w:rsid w:val="008A12E3"/>
    <w:rsid w:val="008A42FA"/>
    <w:rsid w:val="008C4535"/>
    <w:rsid w:val="008C67C1"/>
    <w:rsid w:val="00917F65"/>
    <w:rsid w:val="009311E7"/>
    <w:rsid w:val="009A7E3A"/>
    <w:rsid w:val="009B1265"/>
    <w:rsid w:val="009B5693"/>
    <w:rsid w:val="009D687E"/>
    <w:rsid w:val="009F6DE7"/>
    <w:rsid w:val="00A37FCB"/>
    <w:rsid w:val="00A54863"/>
    <w:rsid w:val="00A9286F"/>
    <w:rsid w:val="00AF71D6"/>
    <w:rsid w:val="00B3175F"/>
    <w:rsid w:val="00B402D8"/>
    <w:rsid w:val="00B4237C"/>
    <w:rsid w:val="00B52AFD"/>
    <w:rsid w:val="00BB646E"/>
    <w:rsid w:val="00C43F5B"/>
    <w:rsid w:val="00CB4371"/>
    <w:rsid w:val="00D72152"/>
    <w:rsid w:val="00D94BA5"/>
    <w:rsid w:val="00D9510F"/>
    <w:rsid w:val="00DE5DC3"/>
    <w:rsid w:val="00E00D8A"/>
    <w:rsid w:val="00E11D92"/>
    <w:rsid w:val="00E130A0"/>
    <w:rsid w:val="00E210C4"/>
    <w:rsid w:val="00E66409"/>
    <w:rsid w:val="00E81D5B"/>
    <w:rsid w:val="00EB19AD"/>
    <w:rsid w:val="00EB6493"/>
    <w:rsid w:val="00ED05A9"/>
    <w:rsid w:val="00F17257"/>
    <w:rsid w:val="00F34D24"/>
    <w:rsid w:val="00F556A2"/>
    <w:rsid w:val="00F878B9"/>
    <w:rsid w:val="00FB24E8"/>
    <w:rsid w:val="00FC18DA"/>
    <w:rsid w:val="00FD60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0C5C"/>
  <w15:docId w15:val="{7AD912EC-7ED2-47EF-BD83-97B770FC3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F7A"/>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link w:val="Heading2Char"/>
    <w:uiPriority w:val="9"/>
    <w:qFormat/>
    <w:rsid w:val="002C7F7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C7F7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5">
    <w:name w:val="heading 5"/>
    <w:basedOn w:val="Normal"/>
    <w:link w:val="Heading5Char"/>
    <w:uiPriority w:val="9"/>
    <w:qFormat/>
    <w:rsid w:val="002C7F7A"/>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F7A"/>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2C7F7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C7F7A"/>
    <w:rPr>
      <w:rFonts w:ascii="Times New Roman" w:eastAsia="Times New Roman" w:hAnsi="Times New Roman" w:cs="Times New Roman"/>
      <w:b/>
      <w:bCs/>
      <w:sz w:val="27"/>
      <w:szCs w:val="27"/>
      <w:lang w:eastAsia="en-GB"/>
    </w:rPr>
  </w:style>
  <w:style w:type="character" w:customStyle="1" w:styleId="Heading5Char">
    <w:name w:val="Heading 5 Char"/>
    <w:basedOn w:val="DefaultParagraphFont"/>
    <w:link w:val="Heading5"/>
    <w:uiPriority w:val="9"/>
    <w:rsid w:val="002C7F7A"/>
    <w:rPr>
      <w:rFonts w:ascii="Times New Roman" w:eastAsia="Times New Roman" w:hAnsi="Times New Roman" w:cs="Times New Roman"/>
      <w:b/>
      <w:bCs/>
      <w:sz w:val="20"/>
      <w:szCs w:val="20"/>
      <w:lang w:eastAsia="en-GB"/>
    </w:rPr>
  </w:style>
  <w:style w:type="character" w:customStyle="1" w:styleId="apple-converted-space">
    <w:name w:val="apple-converted-space"/>
    <w:basedOn w:val="DefaultParagraphFont"/>
    <w:rsid w:val="002C7F7A"/>
  </w:style>
  <w:style w:type="paragraph" w:customStyle="1" w:styleId="form-control-static">
    <w:name w:val="form-control-static"/>
    <w:basedOn w:val="Normal"/>
    <w:rsid w:val="002C7F7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2C7F7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C7F7A"/>
    <w:rPr>
      <w:b/>
      <w:bCs/>
    </w:rPr>
  </w:style>
  <w:style w:type="paragraph" w:styleId="Header">
    <w:name w:val="header"/>
    <w:basedOn w:val="Normal"/>
    <w:link w:val="HeaderChar"/>
    <w:uiPriority w:val="99"/>
    <w:unhideWhenUsed/>
    <w:rsid w:val="008C45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535"/>
  </w:style>
  <w:style w:type="paragraph" w:styleId="Footer">
    <w:name w:val="footer"/>
    <w:basedOn w:val="Normal"/>
    <w:link w:val="FooterChar"/>
    <w:uiPriority w:val="99"/>
    <w:unhideWhenUsed/>
    <w:rsid w:val="008C45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1413</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Chunhong Liu</dc:creator>
  <cp:lastModifiedBy>Zin Lin</cp:lastModifiedBy>
  <cp:revision>3</cp:revision>
  <cp:lastPrinted>2018-12-16T21:38:00Z</cp:lastPrinted>
  <dcterms:created xsi:type="dcterms:W3CDTF">2016-07-15T15:17:00Z</dcterms:created>
  <dcterms:modified xsi:type="dcterms:W3CDTF">2018-12-16T21:39:00Z</dcterms:modified>
</cp:coreProperties>
</file>