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7B1AAA" w:rsidRDefault="006C4BFD" w:rsidP="006C4BFD">
      <w:pPr>
        <w:spacing w:after="0"/>
        <w:jc w:val="center"/>
        <w:rPr>
          <w:rFonts w:cs="Calibri"/>
          <w:lang w:val="pt-PT"/>
        </w:rPr>
      </w:pPr>
      <w:r w:rsidRPr="007B1AAA">
        <w:rPr>
          <w:rFonts w:eastAsia="Times New Roman" w:cs="Calibri"/>
          <w:color w:val="1C75BC"/>
          <w:sz w:val="36"/>
          <w:szCs w:val="36"/>
          <w:lang w:val="pt-PT" w:eastAsia="en-GB"/>
        </w:rPr>
        <w:t>SDG indicator metadata</w:t>
      </w:r>
    </w:p>
    <w:p w14:paraId="129054E9" w14:textId="2E583254" w:rsidR="006C4BFD" w:rsidRPr="007B1AAA" w:rsidRDefault="002C2510" w:rsidP="006C4BFD">
      <w:pPr>
        <w:spacing w:after="0"/>
        <w:jc w:val="center"/>
        <w:rPr>
          <w:rFonts w:eastAsia="Times New Roman" w:cs="Calibri"/>
          <w:b/>
          <w:bCs/>
          <w:color w:val="4A4A4A"/>
          <w:sz w:val="21"/>
          <w:szCs w:val="21"/>
          <w:lang w:val="pt-PT" w:eastAsia="en-GB"/>
        </w:rPr>
      </w:pPr>
      <w:r w:rsidRPr="007B1AAA">
        <w:rPr>
          <w:rFonts w:eastAsia="Times New Roman" w:cs="Calibri"/>
          <w:b/>
          <w:bCs/>
          <w:color w:val="4A4A4A"/>
          <w:sz w:val="21"/>
          <w:szCs w:val="21"/>
          <w:lang w:val="pt-PT" w:eastAsia="en-GB"/>
        </w:rPr>
        <w:t xml:space="preserve">(Harmonized </w:t>
      </w:r>
      <w:r w:rsidR="00942694" w:rsidRPr="007B1AAA">
        <w:rPr>
          <w:rFonts w:eastAsia="Times New Roman" w:cs="Calibri"/>
          <w:b/>
          <w:bCs/>
          <w:color w:val="4A4A4A"/>
          <w:sz w:val="21"/>
          <w:szCs w:val="21"/>
          <w:lang w:val="pt-PT" w:eastAsia="en-GB"/>
        </w:rPr>
        <w:t xml:space="preserve">metadata </w:t>
      </w:r>
      <w:r w:rsidRPr="007B1AAA">
        <w:rPr>
          <w:rFonts w:eastAsia="Times New Roman" w:cs="Calibri"/>
          <w:b/>
          <w:bCs/>
          <w:color w:val="4A4A4A"/>
          <w:sz w:val="21"/>
          <w:szCs w:val="21"/>
          <w:lang w:val="pt-PT" w:eastAsia="en-GB"/>
        </w:rPr>
        <w:t>template - format version 1.0)</w:t>
      </w:r>
    </w:p>
    <w:p w14:paraId="773F63CF" w14:textId="77777777" w:rsidR="006C4BFD" w:rsidRPr="007B1AAA" w:rsidRDefault="006C4BFD" w:rsidP="006C4BFD">
      <w:pPr>
        <w:spacing w:after="0"/>
        <w:rPr>
          <w:rFonts w:eastAsia="Times New Roman" w:cs="Times New Roman"/>
          <w:b/>
          <w:bCs/>
          <w:color w:val="4A4A4A"/>
          <w:sz w:val="21"/>
          <w:szCs w:val="21"/>
          <w:lang w:val="pt-PT"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52EB7CAA" w14:textId="1DB24A1F" w:rsidR="00986007" w:rsidRPr="00A96255" w:rsidRDefault="00986007" w:rsidP="002F5F0C">
      <w:pPr>
        <w:pStyle w:val="MGTHeader"/>
      </w:pPr>
      <w:r w:rsidRPr="00986007">
        <w:t>Goal 16: Promote peaceful and inclusive societies for sustainable development, provide access to justice for all and build effective, accountable and inclusive institutions at all levels</w:t>
      </w:r>
    </w:p>
    <w:p w14:paraId="084142D2" w14:textId="77777777" w:rsidR="00D24330" w:rsidRPr="00A96255" w:rsidRDefault="00D24330" w:rsidP="00D24330">
      <w:pPr>
        <w:pStyle w:val="MIndHeader"/>
      </w:pPr>
      <w:r w:rsidRPr="00A96255">
        <w:t>0.b. Target</w:t>
      </w:r>
    </w:p>
    <w:p w14:paraId="398D81D5" w14:textId="7A4CC87F" w:rsidR="00986007" w:rsidRPr="00A96255" w:rsidRDefault="00986007" w:rsidP="00D24330">
      <w:pPr>
        <w:pStyle w:val="MGTHeader"/>
      </w:pPr>
      <w:r w:rsidRPr="00986007">
        <w:t xml:space="preserve">Target 16.7: Ensure responsive, inclusive, participatory and representative decision-making at all levels  </w:t>
      </w:r>
    </w:p>
    <w:p w14:paraId="3E67E7E0" w14:textId="77777777" w:rsidR="00D24330" w:rsidRPr="00A96255" w:rsidRDefault="00D24330" w:rsidP="00D24330">
      <w:pPr>
        <w:pStyle w:val="MIndHeader"/>
      </w:pPr>
      <w:r w:rsidRPr="00A96255">
        <w:t>0.c. Indicator</w:t>
      </w:r>
    </w:p>
    <w:p w14:paraId="360B6975" w14:textId="77777777" w:rsidR="00986007" w:rsidRDefault="00986007" w:rsidP="00986007">
      <w:pPr>
        <w:pStyle w:val="MGTHeader"/>
      </w:pPr>
      <w:r>
        <w:t>Indicator 16.7.1: Proportions of positions in national and local institutions, including (a) the legislatures; (b) the public service; and (c) the judiciary, compared to national distributions, by sex, age, persons with disabilities and population groups</w:t>
      </w:r>
    </w:p>
    <w:p w14:paraId="0CFE10C7" w14:textId="26923607" w:rsidR="00986007" w:rsidRPr="00A96255" w:rsidRDefault="00986007" w:rsidP="00986007">
      <w:pPr>
        <w:pStyle w:val="MGTHeader"/>
      </w:pPr>
      <w:r>
        <w:t>This metadata is for sub-component (c) of the indicator, on the judiciary.</w:t>
      </w:r>
    </w:p>
    <w:p w14:paraId="37E5E4F6" w14:textId="77777777" w:rsidR="00D24330" w:rsidRPr="00A96255" w:rsidRDefault="00D24330" w:rsidP="00D24330">
      <w:pPr>
        <w:pStyle w:val="MIndHeader"/>
      </w:pPr>
      <w:r w:rsidRPr="00A96255">
        <w:t>0.d. Series</w:t>
      </w:r>
    </w:p>
    <w:p w14:paraId="771888BA" w14:textId="42BAF06F" w:rsidR="00D24330" w:rsidRPr="00A96255" w:rsidRDefault="007B1AAA" w:rsidP="00D24330">
      <w:pPr>
        <w:pStyle w:val="MGTHeader"/>
      </w:pPr>
      <w:r>
        <w:t>Not Applicable</w:t>
      </w:r>
      <w:r w:rsidR="001C1972" w:rsidRPr="001C1972">
        <w:t>.</w:t>
      </w:r>
      <w:r w:rsidR="00D24330" w:rsidRPr="00A96255">
        <w:tab/>
      </w:r>
    </w:p>
    <w:p w14:paraId="157DACE7" w14:textId="77777777" w:rsidR="00D24330" w:rsidRPr="00A96255" w:rsidRDefault="00D24330" w:rsidP="00D24330">
      <w:pPr>
        <w:pStyle w:val="MIndHeader"/>
      </w:pPr>
      <w:r w:rsidRPr="00A96255">
        <w:t>0.e. Metadata update</w:t>
      </w:r>
    </w:p>
    <w:p w14:paraId="124E489D" w14:textId="52296B93" w:rsidR="0069230D" w:rsidRPr="00A96255" w:rsidRDefault="00266013" w:rsidP="00D24330">
      <w:pPr>
        <w:pStyle w:val="MGTHeader"/>
      </w:pPr>
      <w:r>
        <w:t>May 2021</w:t>
      </w:r>
    </w:p>
    <w:p w14:paraId="415C9FF1" w14:textId="77777777" w:rsidR="00D24330" w:rsidRPr="00A96255" w:rsidRDefault="00D24330" w:rsidP="00D24330">
      <w:pPr>
        <w:pStyle w:val="MIndHeader"/>
      </w:pPr>
      <w:r w:rsidRPr="00A96255">
        <w:t>0.f. Related indicators</w:t>
      </w:r>
    </w:p>
    <w:p w14:paraId="4DF1F8F1" w14:textId="53C5A0C1" w:rsidR="0069230D" w:rsidRPr="0062643D" w:rsidRDefault="0069230D" w:rsidP="0062643D">
      <w:pPr>
        <w:pStyle w:val="MGTHeader"/>
      </w:pPr>
      <w:r w:rsidRPr="0062643D">
        <w:t xml:space="preserve">This indicator can also be used to monitor SDG target 5.5 on </w:t>
      </w:r>
      <w:r w:rsidRPr="0062643D">
        <w:rPr>
          <w:rStyle w:val="apple-converted-space"/>
        </w:rPr>
        <w:t>women’s “</w:t>
      </w:r>
      <w:r w:rsidRPr="0062643D">
        <w:t>full and effective participation and equal opportunities for leadership at all levels of decision-making in political, economic and public life,”</w:t>
      </w:r>
      <w:r w:rsidRPr="0062643D">
        <w:rPr>
          <w:rStyle w:val="FootnoteReference"/>
          <w:vertAlign w:val="baseline"/>
        </w:rPr>
        <w:footnoteReference w:id="2"/>
      </w:r>
      <w:r w:rsidRPr="0062643D">
        <w:t xml:space="preserve"> which does not have an indicator specifically focused on decision-making in the judiciary, and SDG target 10.2 on the promotion of the “social, economic and political inclusion of all, irrespective of sex, age, disability, race, ethnicity, origin, religion or economic or other status”, which only has one indicator measuring economic exclusion.</w:t>
      </w:r>
      <w:r w:rsidRPr="0062643D">
        <w:rPr>
          <w:rStyle w:val="FootnoteReference"/>
          <w:vertAlign w:val="baseline"/>
        </w:rPr>
        <w:footnoteReference w:id="3"/>
      </w:r>
    </w:p>
    <w:p w14:paraId="077BC49E" w14:textId="77777777" w:rsidR="00D24330" w:rsidRPr="00A96255" w:rsidRDefault="00D24330" w:rsidP="00D24330">
      <w:pPr>
        <w:pStyle w:val="MIndHeader"/>
      </w:pPr>
      <w:r w:rsidRPr="00A96255">
        <w:t>0.g. International organisations(s) responsible for global monitoring</w:t>
      </w:r>
    </w:p>
    <w:p w14:paraId="7891E21D" w14:textId="24DD49E7" w:rsidR="0069230D" w:rsidRPr="007B1AAA" w:rsidRDefault="0069230D" w:rsidP="00D24330">
      <w:pPr>
        <w:pStyle w:val="MGTHeader"/>
        <w:rPr>
          <w:color w:val="4A4A4A"/>
          <w:lang w:val="pt-PT"/>
        </w:rPr>
      </w:pPr>
      <w:r w:rsidRPr="007B1AAA">
        <w:rPr>
          <w:lang w:val="pt-PT"/>
        </w:rPr>
        <w:t>UNDP Oslo Governance Centre</w:t>
      </w:r>
    </w:p>
    <w:p w14:paraId="19F29921" w14:textId="77777777" w:rsidR="008D1D39" w:rsidRPr="007B1AAA" w:rsidRDefault="008D1D39" w:rsidP="00573631">
      <w:pPr>
        <w:shd w:val="clear" w:color="auto" w:fill="FFFFFF"/>
        <w:spacing w:after="0"/>
        <w:rPr>
          <w:rFonts w:eastAsia="Times New Roman" w:cs="Times New Roman"/>
          <w:color w:val="4A4A4A"/>
          <w:sz w:val="21"/>
          <w:szCs w:val="21"/>
          <w:lang w:val="pt-PT" w:eastAsia="en-GB"/>
        </w:rPr>
      </w:pPr>
    </w:p>
    <w:p w14:paraId="12E0D73A" w14:textId="48126E58" w:rsidR="00B31E2C" w:rsidRPr="007B1AAA" w:rsidRDefault="00B31E2C" w:rsidP="00EA05D3">
      <w:pPr>
        <w:pStyle w:val="MHeader"/>
        <w:rPr>
          <w:lang w:val="pt-PT"/>
        </w:rPr>
      </w:pPr>
      <w:bookmarkStart w:id="0" w:name="_Toc37932744"/>
      <w:bookmarkStart w:id="1" w:name="_Toc36813072"/>
      <w:bookmarkStart w:id="2" w:name="_Toc36812685"/>
      <w:bookmarkStart w:id="3" w:name="_Toc36812572"/>
      <w:bookmarkStart w:id="4" w:name="_Toc36655609"/>
      <w:r w:rsidRPr="007B1AAA">
        <w:rPr>
          <w:lang w:val="pt-PT"/>
        </w:rPr>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6E829FD0" w14:textId="71357482" w:rsidR="00F719A8" w:rsidRDefault="00963F13" w:rsidP="00576CFA">
      <w:pPr>
        <w:pStyle w:val="MText"/>
      </w:pPr>
      <w:r w:rsidRPr="00963F13">
        <w:t>UNDP Oslo Governance Centre</w:t>
      </w:r>
    </w:p>
    <w:p w14:paraId="2AC390E5" w14:textId="77777777" w:rsidR="00963F13" w:rsidRDefault="00963F13"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1927E790" w14:textId="1F3A3855" w:rsidR="0069230D" w:rsidRPr="0069230D" w:rsidRDefault="0069230D" w:rsidP="0069230D">
      <w:pPr>
        <w:shd w:val="clear" w:color="auto" w:fill="FFFFFF"/>
        <w:spacing w:after="0"/>
        <w:rPr>
          <w:rFonts w:eastAsia="Times New Roman" w:cs="Times New Roman"/>
          <w:color w:val="4A4A4A"/>
          <w:sz w:val="24"/>
          <w:szCs w:val="24"/>
          <w:lang w:eastAsia="en-GB"/>
        </w:rPr>
      </w:pPr>
      <w:r w:rsidRPr="00FC7A0B">
        <w:rPr>
          <w:rFonts w:eastAsia="Times New Roman" w:cs="Times New Roman"/>
          <w:b/>
          <w:bCs/>
          <w:color w:val="4A4A4A"/>
          <w:sz w:val="24"/>
          <w:szCs w:val="24"/>
          <w:lang w:eastAsia="en-GB"/>
        </w:rPr>
        <w:t>Definition:</w:t>
      </w:r>
    </w:p>
    <w:p w14:paraId="2AEB3E8E" w14:textId="77777777" w:rsidR="0069230D" w:rsidRDefault="0069230D" w:rsidP="0069230D">
      <w:pPr>
        <w:shd w:val="clear" w:color="auto" w:fill="FFFFFF"/>
        <w:jc w:val="both"/>
        <w:rPr>
          <w:rFonts w:ascii="Calibri" w:hAnsi="Calibri" w:cs="Calibri"/>
          <w:color w:val="404040" w:themeColor="text1" w:themeTint="BF"/>
          <w:sz w:val="21"/>
          <w:szCs w:val="21"/>
          <w:lang w:eastAsia="en-GB"/>
        </w:rPr>
      </w:pPr>
      <w:r w:rsidRPr="004C0DBD">
        <w:rPr>
          <w:rFonts w:ascii="Calibri" w:hAnsi="Calibri" w:cs="Calibri"/>
          <w:color w:val="404040" w:themeColor="text1" w:themeTint="BF"/>
          <w:sz w:val="21"/>
          <w:szCs w:val="21"/>
          <w:lang w:eastAsia="en-GB"/>
        </w:rPr>
        <w:lastRenderedPageBreak/>
        <w:t xml:space="preserve">This metadata is focused only on the </w:t>
      </w:r>
      <w:r>
        <w:rPr>
          <w:rFonts w:ascii="Calibri" w:hAnsi="Calibri" w:cs="Calibri"/>
          <w:color w:val="404040" w:themeColor="text1" w:themeTint="BF"/>
          <w:sz w:val="21"/>
          <w:szCs w:val="21"/>
          <w:lang w:eastAsia="en-GB"/>
        </w:rPr>
        <w:t>judiciary</w:t>
      </w:r>
      <w:r w:rsidRPr="004C0DBD">
        <w:rPr>
          <w:rFonts w:ascii="Calibri" w:hAnsi="Calibri" w:cs="Calibri"/>
          <w:color w:val="404040" w:themeColor="text1" w:themeTint="BF"/>
          <w:sz w:val="21"/>
          <w:szCs w:val="21"/>
          <w:lang w:eastAsia="en-GB"/>
        </w:rPr>
        <w:t xml:space="preserve"> sub-component of indicator 16.7.1.</w:t>
      </w:r>
      <w:r>
        <w:rPr>
          <w:rFonts w:ascii="Calibri" w:hAnsi="Calibri" w:cs="Calibri"/>
          <w:color w:val="404040" w:themeColor="text1" w:themeTint="BF"/>
          <w:sz w:val="21"/>
          <w:szCs w:val="21"/>
          <w:lang w:eastAsia="en-GB"/>
        </w:rPr>
        <w:t xml:space="preserve"> </w:t>
      </w:r>
      <w:r w:rsidRPr="004C0DBD">
        <w:rPr>
          <w:rFonts w:ascii="Calibri" w:hAnsi="Calibri" w:cs="Calibri"/>
          <w:color w:val="404040" w:themeColor="text1" w:themeTint="BF"/>
          <w:sz w:val="21"/>
          <w:szCs w:val="21"/>
          <w:lang w:eastAsia="en-GB"/>
        </w:rPr>
        <w:t xml:space="preserve">It measures representation </w:t>
      </w:r>
      <w:r>
        <w:rPr>
          <w:rFonts w:ascii="Calibri" w:hAnsi="Calibri" w:cs="Calibri"/>
          <w:color w:val="404040" w:themeColor="text1" w:themeTint="BF"/>
          <w:sz w:val="21"/>
          <w:szCs w:val="21"/>
          <w:lang w:eastAsia="en-GB"/>
        </w:rPr>
        <w:t xml:space="preserve">in the judiciary </w:t>
      </w:r>
      <w:r w:rsidRPr="004C0DBD">
        <w:rPr>
          <w:rFonts w:ascii="Calibri" w:hAnsi="Calibri" w:cs="Calibri"/>
          <w:color w:val="404040" w:themeColor="text1" w:themeTint="BF"/>
          <w:sz w:val="21"/>
          <w:szCs w:val="21"/>
          <w:lang w:eastAsia="en-GB"/>
        </w:rPr>
        <w:t>with respect to the sex, age, disability and population group status, and assesses how these correspond to the proportion of these groups in society as a whole.</w:t>
      </w:r>
      <w:r>
        <w:rPr>
          <w:rFonts w:ascii="Calibri" w:hAnsi="Calibri" w:cs="Calibri"/>
          <w:color w:val="404040" w:themeColor="text1" w:themeTint="BF"/>
          <w:sz w:val="21"/>
          <w:szCs w:val="21"/>
          <w:lang w:eastAsia="en-GB"/>
        </w:rPr>
        <w:t xml:space="preserve"> </w:t>
      </w:r>
    </w:p>
    <w:p w14:paraId="1DCB8CC1" w14:textId="77777777" w:rsidR="0069230D" w:rsidRDefault="0069230D" w:rsidP="0069230D">
      <w:pPr>
        <w:shd w:val="clear" w:color="auto" w:fill="FFFFFF"/>
        <w:spacing w:after="0"/>
        <w:jc w:val="both"/>
        <w:rPr>
          <w:rFonts w:eastAsia="Times New Roman" w:cs="Times New Roman"/>
          <w:color w:val="404040" w:themeColor="text1" w:themeTint="BF"/>
          <w:sz w:val="21"/>
          <w:szCs w:val="21"/>
          <w:lang w:eastAsia="en-GB"/>
        </w:rPr>
      </w:pPr>
      <w:r w:rsidRPr="00E66066">
        <w:rPr>
          <w:rFonts w:eastAsia="Times New Roman" w:cs="Times New Roman"/>
          <w:color w:val="404040" w:themeColor="text1" w:themeTint="BF"/>
          <w:sz w:val="21"/>
          <w:szCs w:val="21"/>
          <w:lang w:eastAsia="en-GB"/>
        </w:rPr>
        <w:t xml:space="preserve">More specifically, this indicator measures the proportional representation of various demographic groups (women, youth, persons with disability, and nationally relevant population groups) across </w:t>
      </w:r>
      <w:r w:rsidRPr="00DA4A31">
        <w:rPr>
          <w:rFonts w:ascii="Calibri" w:hAnsi="Calibri" w:cs="Calibri"/>
          <w:color w:val="404040" w:themeColor="text1" w:themeTint="BF"/>
          <w:sz w:val="21"/>
          <w:szCs w:val="21"/>
          <w:lang w:eastAsia="en-GB"/>
        </w:rPr>
        <w:t>two key decision-making positions</w:t>
      </w:r>
      <w:r>
        <w:rPr>
          <w:rFonts w:ascii="Calibri" w:hAnsi="Calibri" w:cs="Calibri"/>
          <w:color w:val="404040" w:themeColor="text1" w:themeTint="BF"/>
          <w:sz w:val="21"/>
          <w:szCs w:val="21"/>
          <w:lang w:eastAsia="en-GB"/>
        </w:rPr>
        <w:t xml:space="preserve"> </w:t>
      </w:r>
      <w:r w:rsidRPr="00DA4A31">
        <w:rPr>
          <w:rFonts w:ascii="Calibri" w:hAnsi="Calibri" w:cs="Calibri"/>
          <w:color w:val="404040" w:themeColor="text1" w:themeTint="BF"/>
          <w:sz w:val="21"/>
          <w:szCs w:val="21"/>
          <w:lang w:eastAsia="en-GB"/>
        </w:rPr>
        <w:t xml:space="preserve">in </w:t>
      </w:r>
      <w:r w:rsidRPr="004C0DBD">
        <w:rPr>
          <w:rFonts w:ascii="Calibri" w:hAnsi="Calibri" w:cs="Calibri"/>
          <w:color w:val="404040" w:themeColor="text1" w:themeTint="BF"/>
          <w:sz w:val="21"/>
          <w:szCs w:val="21"/>
          <w:lang w:eastAsia="en-GB"/>
        </w:rPr>
        <w:t xml:space="preserve">the </w:t>
      </w:r>
      <w:r>
        <w:rPr>
          <w:rFonts w:ascii="Calibri" w:hAnsi="Calibri" w:cs="Calibri"/>
          <w:color w:val="404040" w:themeColor="text1" w:themeTint="BF"/>
          <w:sz w:val="21"/>
          <w:szCs w:val="21"/>
          <w:lang w:eastAsia="en-GB"/>
        </w:rPr>
        <w:t>judiciary</w:t>
      </w:r>
      <w:r w:rsidRPr="004C0DBD">
        <w:rPr>
          <w:rFonts w:ascii="Calibri" w:hAnsi="Calibri" w:cs="Calibri"/>
          <w:color w:val="404040" w:themeColor="text1" w:themeTint="BF"/>
          <w:sz w:val="21"/>
          <w:szCs w:val="21"/>
          <w:lang w:eastAsia="en-GB"/>
        </w:rPr>
        <w:t xml:space="preserve"> </w:t>
      </w:r>
      <w:r w:rsidRPr="00DA4A31">
        <w:rPr>
          <w:rFonts w:ascii="Calibri" w:hAnsi="Calibri" w:cs="Calibri"/>
          <w:color w:val="404040" w:themeColor="text1" w:themeTint="BF"/>
          <w:sz w:val="21"/>
          <w:szCs w:val="21"/>
          <w:lang w:eastAsia="en-GB"/>
        </w:rPr>
        <w:t>(judges and registrars</w:t>
      </w:r>
      <w:r>
        <w:rPr>
          <w:rFonts w:ascii="Calibri" w:hAnsi="Calibri" w:cs="Calibri"/>
          <w:color w:val="404040" w:themeColor="text1" w:themeTint="BF"/>
          <w:sz w:val="21"/>
          <w:szCs w:val="21"/>
          <w:lang w:eastAsia="en-GB"/>
        </w:rPr>
        <w:t xml:space="preserve">) </w:t>
      </w:r>
      <w:r w:rsidRPr="00E66066">
        <w:rPr>
          <w:rFonts w:eastAsia="Times New Roman" w:cs="Times New Roman"/>
          <w:color w:val="404040" w:themeColor="text1" w:themeTint="BF"/>
          <w:sz w:val="21"/>
          <w:szCs w:val="21"/>
          <w:lang w:eastAsia="en-GB"/>
        </w:rPr>
        <w:t xml:space="preserve">as well as across </w:t>
      </w:r>
      <w:r w:rsidRPr="00F96F97">
        <w:rPr>
          <w:rFonts w:eastAsia="Times New Roman" w:cs="Times New Roman"/>
          <w:color w:val="404040" w:themeColor="text1" w:themeTint="BF"/>
          <w:sz w:val="21"/>
          <w:szCs w:val="21"/>
          <w:lang w:eastAsia="en-GB"/>
        </w:rPr>
        <w:t>three ‘levels’ of courts</w:t>
      </w:r>
      <w:r>
        <w:rPr>
          <w:rFonts w:eastAsia="Times New Roman" w:cs="Times New Roman"/>
          <w:color w:val="404040" w:themeColor="text1" w:themeTint="BF"/>
          <w:sz w:val="21"/>
          <w:szCs w:val="21"/>
          <w:lang w:eastAsia="en-GB"/>
        </w:rPr>
        <w:t>,</w:t>
      </w:r>
      <w:r w:rsidRPr="00F96F97">
        <w:rPr>
          <w:rFonts w:eastAsia="Times New Roman" w:cs="Times New Roman"/>
          <w:color w:val="404040" w:themeColor="text1" w:themeTint="BF"/>
          <w:sz w:val="21"/>
          <w:szCs w:val="21"/>
          <w:lang w:eastAsia="en-GB"/>
        </w:rPr>
        <w:t xml:space="preserve"> namely </w:t>
      </w:r>
      <w:r>
        <w:rPr>
          <w:rFonts w:eastAsia="Times New Roman" w:cs="Times New Roman"/>
          <w:color w:val="404040" w:themeColor="text1" w:themeTint="BF"/>
          <w:sz w:val="21"/>
          <w:szCs w:val="21"/>
          <w:lang w:eastAsia="en-GB"/>
        </w:rPr>
        <w:t>‘</w:t>
      </w:r>
      <w:r w:rsidRPr="00F96F97">
        <w:rPr>
          <w:rFonts w:eastAsia="Times New Roman" w:cs="Times New Roman"/>
          <w:color w:val="404040" w:themeColor="text1" w:themeTint="BF"/>
          <w:sz w:val="21"/>
          <w:szCs w:val="21"/>
          <w:lang w:eastAsia="en-GB"/>
        </w:rPr>
        <w:t>supreme/constitutional courts,</w:t>
      </w:r>
      <w:r>
        <w:rPr>
          <w:rFonts w:eastAsia="Times New Roman" w:cs="Times New Roman"/>
          <w:color w:val="404040" w:themeColor="text1" w:themeTint="BF"/>
          <w:sz w:val="21"/>
          <w:szCs w:val="21"/>
          <w:lang w:eastAsia="en-GB"/>
        </w:rPr>
        <w:t>’</w:t>
      </w:r>
      <w:r w:rsidRPr="00F96F97">
        <w:rPr>
          <w:rFonts w:eastAsia="Times New Roman" w:cs="Times New Roman"/>
          <w:color w:val="404040" w:themeColor="text1" w:themeTint="BF"/>
          <w:sz w:val="21"/>
          <w:szCs w:val="21"/>
          <w:lang w:eastAsia="en-GB"/>
        </w:rPr>
        <w:t xml:space="preserve"> </w:t>
      </w:r>
      <w:r>
        <w:rPr>
          <w:rFonts w:eastAsia="Times New Roman" w:cs="Times New Roman"/>
          <w:color w:val="404040" w:themeColor="text1" w:themeTint="BF"/>
          <w:sz w:val="21"/>
          <w:szCs w:val="21"/>
          <w:lang w:eastAsia="en-GB"/>
        </w:rPr>
        <w:t>‘</w:t>
      </w:r>
      <w:r w:rsidRPr="00F96F97">
        <w:rPr>
          <w:rFonts w:eastAsia="Times New Roman" w:cs="Times New Roman"/>
          <w:color w:val="404040" w:themeColor="text1" w:themeTint="BF"/>
          <w:sz w:val="21"/>
          <w:szCs w:val="21"/>
          <w:lang w:eastAsia="en-GB"/>
        </w:rPr>
        <w:t>higher-level courts</w:t>
      </w:r>
      <w:r>
        <w:rPr>
          <w:rFonts w:eastAsia="Times New Roman" w:cs="Times New Roman"/>
          <w:color w:val="404040" w:themeColor="text1" w:themeTint="BF"/>
          <w:sz w:val="21"/>
          <w:szCs w:val="21"/>
          <w:lang w:eastAsia="en-GB"/>
        </w:rPr>
        <w:t>’</w:t>
      </w:r>
      <w:r w:rsidRPr="00F96F97">
        <w:rPr>
          <w:rFonts w:eastAsia="Times New Roman" w:cs="Times New Roman"/>
          <w:color w:val="404040" w:themeColor="text1" w:themeTint="BF"/>
          <w:sz w:val="21"/>
          <w:szCs w:val="21"/>
          <w:lang w:eastAsia="en-GB"/>
        </w:rPr>
        <w:t xml:space="preserve"> and </w:t>
      </w:r>
      <w:r>
        <w:rPr>
          <w:rFonts w:eastAsia="Times New Roman" w:cs="Times New Roman"/>
          <w:color w:val="404040" w:themeColor="text1" w:themeTint="BF"/>
          <w:sz w:val="21"/>
          <w:szCs w:val="21"/>
          <w:lang w:eastAsia="en-GB"/>
        </w:rPr>
        <w:t>‘</w:t>
      </w:r>
      <w:r w:rsidRPr="00F96F97">
        <w:rPr>
          <w:rFonts w:eastAsia="Times New Roman" w:cs="Times New Roman"/>
          <w:color w:val="404040" w:themeColor="text1" w:themeTint="BF"/>
          <w:sz w:val="21"/>
          <w:szCs w:val="21"/>
          <w:lang w:eastAsia="en-GB"/>
        </w:rPr>
        <w:t>lower-level courts</w:t>
      </w:r>
      <w:r>
        <w:rPr>
          <w:rFonts w:eastAsia="Times New Roman" w:cs="Times New Roman"/>
          <w:color w:val="404040" w:themeColor="text1" w:themeTint="BF"/>
          <w:sz w:val="21"/>
          <w:szCs w:val="21"/>
          <w:lang w:eastAsia="en-GB"/>
        </w:rPr>
        <w:t>’.</w:t>
      </w:r>
    </w:p>
    <w:p w14:paraId="50BE73BA" w14:textId="77777777" w:rsidR="0069230D" w:rsidRDefault="0069230D" w:rsidP="0069230D">
      <w:pPr>
        <w:shd w:val="clear" w:color="auto" w:fill="FFFFFF"/>
        <w:spacing w:after="0"/>
        <w:rPr>
          <w:rFonts w:eastAsia="Times New Roman" w:cs="Times New Roman"/>
          <w:b/>
          <w:bCs/>
          <w:color w:val="4A4A4A"/>
          <w:sz w:val="21"/>
          <w:szCs w:val="21"/>
          <w:lang w:eastAsia="en-GB"/>
        </w:rPr>
      </w:pPr>
    </w:p>
    <w:p w14:paraId="52D2A20C" w14:textId="6994B5AC" w:rsidR="0069230D" w:rsidRPr="00A62497" w:rsidRDefault="0069230D" w:rsidP="0069230D">
      <w:pPr>
        <w:shd w:val="clear" w:color="auto" w:fill="FFFFFF"/>
        <w:spacing w:after="0"/>
        <w:rPr>
          <w:rFonts w:eastAsia="Times New Roman" w:cs="Times New Roman"/>
          <w:color w:val="4A4A4A"/>
          <w:sz w:val="24"/>
          <w:szCs w:val="24"/>
          <w:lang w:eastAsia="en-GB"/>
        </w:rPr>
      </w:pPr>
      <w:r w:rsidRPr="00FC7A0B">
        <w:rPr>
          <w:rFonts w:eastAsia="Times New Roman" w:cs="Times New Roman"/>
          <w:b/>
          <w:bCs/>
          <w:color w:val="4A4A4A"/>
          <w:sz w:val="24"/>
          <w:szCs w:val="24"/>
          <w:lang w:eastAsia="en-GB"/>
        </w:rPr>
        <w:t>Concepts:</w:t>
      </w:r>
    </w:p>
    <w:p w14:paraId="759F885D" w14:textId="77777777" w:rsidR="0069230D" w:rsidRDefault="0069230D" w:rsidP="0069230D">
      <w:pPr>
        <w:shd w:val="clear" w:color="auto" w:fill="FFFFFF"/>
        <w:spacing w:after="0"/>
        <w:jc w:val="both"/>
        <w:rPr>
          <w:rFonts w:eastAsia="Times New Roman" w:cs="Times New Roman"/>
          <w:color w:val="404040" w:themeColor="text1" w:themeTint="BF"/>
          <w:sz w:val="21"/>
          <w:szCs w:val="21"/>
          <w:lang w:eastAsia="en-GB"/>
        </w:rPr>
      </w:pPr>
      <w:r w:rsidRPr="002E3143">
        <w:rPr>
          <w:rFonts w:eastAsia="Times New Roman" w:cs="Times New Roman"/>
          <w:color w:val="404040" w:themeColor="text1" w:themeTint="BF"/>
          <w:sz w:val="21"/>
          <w:szCs w:val="21"/>
          <w:lang w:eastAsia="en-GB"/>
        </w:rPr>
        <w:t>This indicator builds on various concepts and terms from international statistical standards and classifications as well as normative frameworks</w:t>
      </w:r>
      <w:r>
        <w:rPr>
          <w:rFonts w:eastAsia="Times New Roman" w:cs="Times New Roman"/>
          <w:color w:val="404040" w:themeColor="text1" w:themeTint="BF"/>
          <w:sz w:val="21"/>
          <w:szCs w:val="21"/>
          <w:lang w:eastAsia="en-GB"/>
        </w:rPr>
        <w:t>. The concepts and terms used for this indicator reflect general features of judiciaries around the world, while recognizing that different countries have their own legal systems informed by their specific histories and cultures, which in turn determine the specific functions and form of the judiciary in a given country. The below concepts and definitions were elaborated with a view to being broad enough to accommodate these national specificities</w:t>
      </w:r>
      <w:r w:rsidRPr="002E3143">
        <w:rPr>
          <w:rFonts w:eastAsia="Times New Roman" w:cs="Times New Roman"/>
          <w:color w:val="404040" w:themeColor="text1" w:themeTint="BF"/>
          <w:sz w:val="21"/>
          <w:szCs w:val="21"/>
          <w:lang w:eastAsia="en-GB"/>
        </w:rPr>
        <w:t>:</w:t>
      </w:r>
    </w:p>
    <w:p w14:paraId="043F481B" w14:textId="77777777" w:rsidR="0069230D" w:rsidRDefault="0069230D" w:rsidP="0069230D">
      <w:pPr>
        <w:shd w:val="clear" w:color="auto" w:fill="FFFFFF"/>
        <w:spacing w:after="0"/>
        <w:jc w:val="both"/>
        <w:rPr>
          <w:rFonts w:eastAsia="Times New Roman" w:cs="Times New Roman"/>
          <w:color w:val="404040" w:themeColor="text1" w:themeTint="BF"/>
          <w:sz w:val="21"/>
          <w:szCs w:val="21"/>
          <w:lang w:eastAsia="en-GB"/>
        </w:rPr>
      </w:pPr>
    </w:p>
    <w:p w14:paraId="0ABDF214" w14:textId="77777777" w:rsidR="0069230D" w:rsidRDefault="0069230D" w:rsidP="0069230D">
      <w:pPr>
        <w:pStyle w:val="ListParagraph"/>
        <w:numPr>
          <w:ilvl w:val="0"/>
          <w:numId w:val="8"/>
        </w:numPr>
        <w:shd w:val="clear" w:color="auto" w:fill="FFFFFF"/>
        <w:spacing w:after="0"/>
        <w:ind w:left="714" w:hanging="357"/>
        <w:contextualSpacing w:val="0"/>
        <w:jc w:val="both"/>
        <w:rPr>
          <w:rFonts w:eastAsia="Times New Roman" w:cs="Times New Roman"/>
          <w:color w:val="404040" w:themeColor="text1" w:themeTint="BF"/>
          <w:sz w:val="21"/>
          <w:szCs w:val="21"/>
          <w:lang w:eastAsia="en-GB"/>
        </w:rPr>
      </w:pPr>
      <w:r w:rsidRPr="00FC7A0B">
        <w:rPr>
          <w:rFonts w:eastAsia="Times New Roman" w:cs="Times New Roman"/>
          <w:b/>
          <w:bCs/>
          <w:i/>
          <w:iCs/>
          <w:color w:val="404040" w:themeColor="text1" w:themeTint="BF"/>
          <w:sz w:val="21"/>
          <w:szCs w:val="21"/>
          <w:lang w:eastAsia="en-GB"/>
        </w:rPr>
        <w:t xml:space="preserve">Focus on formal court system: </w:t>
      </w:r>
      <w:r w:rsidRPr="00FC7A0B">
        <w:rPr>
          <w:rFonts w:eastAsia="Times New Roman" w:cs="Times New Roman"/>
          <w:color w:val="404040" w:themeColor="text1" w:themeTint="BF"/>
          <w:sz w:val="21"/>
          <w:szCs w:val="21"/>
          <w:lang w:eastAsia="en-GB"/>
        </w:rPr>
        <w:t xml:space="preserve">The </w:t>
      </w:r>
      <w:r w:rsidRPr="00FC7A0B">
        <w:rPr>
          <w:rFonts w:eastAsia="Times New Roman" w:cs="Times New Roman"/>
          <w:i/>
          <w:color w:val="404040" w:themeColor="text1" w:themeTint="BF"/>
          <w:sz w:val="21"/>
          <w:szCs w:val="21"/>
          <w:lang w:eastAsia="en-GB"/>
        </w:rPr>
        <w:t>judiciary</w:t>
      </w:r>
      <w:r w:rsidRPr="00FC7A0B">
        <w:rPr>
          <w:rFonts w:eastAsia="Times New Roman" w:cs="Times New Roman"/>
          <w:color w:val="404040" w:themeColor="text1" w:themeTint="BF"/>
          <w:sz w:val="21"/>
          <w:szCs w:val="21"/>
          <w:lang w:eastAsia="en-GB"/>
        </w:rPr>
        <w:t xml:space="preserve"> is the system of courts that constitutes the branch of central authority in a country concerned with the administration of justice. The judiciary sub-component of SDG indicator 16.7.1 focuses on the </w:t>
      </w:r>
      <w:r w:rsidRPr="00FC7A0B">
        <w:rPr>
          <w:rFonts w:eastAsia="Times New Roman" w:cs="Times New Roman"/>
          <w:i/>
          <w:color w:val="404040" w:themeColor="text1" w:themeTint="BF"/>
          <w:sz w:val="21"/>
          <w:szCs w:val="21"/>
          <w:lang w:eastAsia="en-GB"/>
        </w:rPr>
        <w:t xml:space="preserve">formal </w:t>
      </w:r>
      <w:r w:rsidRPr="00FC7A0B">
        <w:rPr>
          <w:rFonts w:eastAsia="Times New Roman" w:cs="Times New Roman"/>
          <w:color w:val="404040" w:themeColor="text1" w:themeTint="BF"/>
          <w:sz w:val="21"/>
          <w:szCs w:val="21"/>
          <w:lang w:eastAsia="en-GB"/>
        </w:rPr>
        <w:t xml:space="preserve">court system and does not include within its scope informal mechanisms (e.g., religious, tribal, or traditional dispute resolution mechanisms). </w:t>
      </w:r>
    </w:p>
    <w:p w14:paraId="33FC9A92" w14:textId="77777777" w:rsidR="0069230D" w:rsidRPr="002D3C5D" w:rsidRDefault="0069230D" w:rsidP="0069230D">
      <w:pPr>
        <w:shd w:val="clear" w:color="auto" w:fill="FFFFFF"/>
        <w:spacing w:after="0"/>
        <w:jc w:val="both"/>
        <w:rPr>
          <w:rFonts w:eastAsia="Times New Roman" w:cs="Times New Roman"/>
          <w:color w:val="404040" w:themeColor="text1" w:themeTint="BF"/>
          <w:sz w:val="21"/>
          <w:szCs w:val="21"/>
          <w:lang w:eastAsia="en-GB"/>
        </w:rPr>
      </w:pPr>
    </w:p>
    <w:p w14:paraId="7CC29A71" w14:textId="77777777" w:rsidR="0069230D" w:rsidRPr="00A50396" w:rsidRDefault="0069230D" w:rsidP="0069230D">
      <w:pPr>
        <w:pStyle w:val="ListParagraph"/>
        <w:numPr>
          <w:ilvl w:val="0"/>
          <w:numId w:val="8"/>
        </w:numPr>
        <w:spacing w:after="0"/>
        <w:jc w:val="both"/>
        <w:rPr>
          <w:color w:val="4A4A4A"/>
          <w:lang w:eastAsia="en-GB"/>
        </w:rPr>
      </w:pPr>
      <w:r w:rsidRPr="00FC7A0B">
        <w:rPr>
          <w:rFonts w:eastAsia="Times New Roman" w:cs="Times New Roman"/>
          <w:b/>
          <w:bCs/>
          <w:i/>
          <w:iCs/>
          <w:color w:val="404040" w:themeColor="text1" w:themeTint="BF"/>
          <w:sz w:val="21"/>
          <w:szCs w:val="21"/>
          <w:lang w:eastAsia="en-GB"/>
        </w:rPr>
        <w:t xml:space="preserve">Levels of courts: </w:t>
      </w:r>
      <w:r w:rsidRPr="00F96F97">
        <w:rPr>
          <w:rFonts w:eastAsia="Times New Roman" w:cs="Times New Roman"/>
          <w:color w:val="404040" w:themeColor="text1" w:themeTint="BF"/>
          <w:sz w:val="21"/>
          <w:szCs w:val="21"/>
          <w:lang w:eastAsia="en-GB"/>
        </w:rPr>
        <w:t xml:space="preserve">The indicator disaggregates between three ‘levels’ of courts to reflect the way in which courts are used, namely </w:t>
      </w:r>
      <w:r>
        <w:rPr>
          <w:rFonts w:eastAsia="Times New Roman" w:cs="Times New Roman"/>
          <w:color w:val="404040" w:themeColor="text1" w:themeTint="BF"/>
          <w:sz w:val="21"/>
          <w:szCs w:val="21"/>
          <w:lang w:eastAsia="en-GB"/>
        </w:rPr>
        <w:t>‘</w:t>
      </w:r>
      <w:r w:rsidRPr="00F96F97">
        <w:rPr>
          <w:rFonts w:eastAsia="Times New Roman" w:cs="Times New Roman"/>
          <w:color w:val="404040" w:themeColor="text1" w:themeTint="BF"/>
          <w:sz w:val="21"/>
          <w:szCs w:val="21"/>
          <w:lang w:eastAsia="en-GB"/>
        </w:rPr>
        <w:t>supreme/constitutional courts,</w:t>
      </w:r>
      <w:r>
        <w:rPr>
          <w:rFonts w:eastAsia="Times New Roman" w:cs="Times New Roman"/>
          <w:color w:val="404040" w:themeColor="text1" w:themeTint="BF"/>
          <w:sz w:val="21"/>
          <w:szCs w:val="21"/>
          <w:lang w:eastAsia="en-GB"/>
        </w:rPr>
        <w:t>’</w:t>
      </w:r>
      <w:r w:rsidRPr="00F96F97">
        <w:rPr>
          <w:rFonts w:eastAsia="Times New Roman" w:cs="Times New Roman"/>
          <w:color w:val="404040" w:themeColor="text1" w:themeTint="BF"/>
          <w:sz w:val="21"/>
          <w:szCs w:val="21"/>
          <w:lang w:eastAsia="en-GB"/>
        </w:rPr>
        <w:t xml:space="preserve"> </w:t>
      </w:r>
      <w:r>
        <w:rPr>
          <w:rFonts w:eastAsia="Times New Roman" w:cs="Times New Roman"/>
          <w:color w:val="404040" w:themeColor="text1" w:themeTint="BF"/>
          <w:sz w:val="21"/>
          <w:szCs w:val="21"/>
          <w:lang w:eastAsia="en-GB"/>
        </w:rPr>
        <w:t>‘</w:t>
      </w:r>
      <w:r w:rsidRPr="00F96F97">
        <w:rPr>
          <w:rFonts w:eastAsia="Times New Roman" w:cs="Times New Roman"/>
          <w:color w:val="404040" w:themeColor="text1" w:themeTint="BF"/>
          <w:sz w:val="21"/>
          <w:szCs w:val="21"/>
          <w:lang w:eastAsia="en-GB"/>
        </w:rPr>
        <w:t>higher-level courts</w:t>
      </w:r>
      <w:r>
        <w:rPr>
          <w:rFonts w:eastAsia="Times New Roman" w:cs="Times New Roman"/>
          <w:color w:val="404040" w:themeColor="text1" w:themeTint="BF"/>
          <w:sz w:val="21"/>
          <w:szCs w:val="21"/>
          <w:lang w:eastAsia="en-GB"/>
        </w:rPr>
        <w:t>’</w:t>
      </w:r>
      <w:r w:rsidRPr="00F96F97">
        <w:rPr>
          <w:rFonts w:eastAsia="Times New Roman" w:cs="Times New Roman"/>
          <w:color w:val="404040" w:themeColor="text1" w:themeTint="BF"/>
          <w:sz w:val="21"/>
          <w:szCs w:val="21"/>
          <w:lang w:eastAsia="en-GB"/>
        </w:rPr>
        <w:t xml:space="preserve"> (courts that handle national issues</w:t>
      </w:r>
      <w:r>
        <w:rPr>
          <w:rFonts w:eastAsia="Times New Roman" w:cs="Times New Roman"/>
          <w:color w:val="404040" w:themeColor="text1" w:themeTint="BF"/>
          <w:sz w:val="21"/>
          <w:szCs w:val="21"/>
          <w:lang w:eastAsia="en-GB"/>
        </w:rPr>
        <w:t xml:space="preserve"> or appeals</w:t>
      </w:r>
      <w:r w:rsidRPr="00F96F97">
        <w:rPr>
          <w:rFonts w:eastAsia="Times New Roman" w:cs="Times New Roman"/>
          <w:color w:val="404040" w:themeColor="text1" w:themeTint="BF"/>
          <w:sz w:val="21"/>
          <w:szCs w:val="21"/>
          <w:lang w:eastAsia="en-GB"/>
        </w:rPr>
        <w:t xml:space="preserve">), and </w:t>
      </w:r>
      <w:r>
        <w:rPr>
          <w:rFonts w:eastAsia="Times New Roman" w:cs="Times New Roman"/>
          <w:color w:val="404040" w:themeColor="text1" w:themeTint="BF"/>
          <w:sz w:val="21"/>
          <w:szCs w:val="21"/>
          <w:lang w:eastAsia="en-GB"/>
        </w:rPr>
        <w:t>‘</w:t>
      </w:r>
      <w:r w:rsidRPr="00F96F97">
        <w:rPr>
          <w:rFonts w:eastAsia="Times New Roman" w:cs="Times New Roman"/>
          <w:color w:val="404040" w:themeColor="text1" w:themeTint="BF"/>
          <w:sz w:val="21"/>
          <w:szCs w:val="21"/>
          <w:lang w:eastAsia="en-GB"/>
        </w:rPr>
        <w:t>lower-level courts</w:t>
      </w:r>
      <w:r>
        <w:rPr>
          <w:rFonts w:eastAsia="Times New Roman" w:cs="Times New Roman"/>
          <w:color w:val="404040" w:themeColor="text1" w:themeTint="BF"/>
          <w:sz w:val="21"/>
          <w:szCs w:val="21"/>
          <w:lang w:eastAsia="en-GB"/>
        </w:rPr>
        <w:t>’</w:t>
      </w:r>
      <w:r w:rsidRPr="00F96F97">
        <w:rPr>
          <w:rFonts w:eastAsia="Times New Roman" w:cs="Times New Roman"/>
          <w:color w:val="404040" w:themeColor="text1" w:themeTint="BF"/>
          <w:sz w:val="21"/>
          <w:szCs w:val="21"/>
          <w:lang w:eastAsia="en-GB"/>
        </w:rPr>
        <w:t xml:space="preserve"> (courts </w:t>
      </w:r>
      <w:r>
        <w:rPr>
          <w:rFonts w:eastAsia="Times New Roman" w:cs="Times New Roman"/>
          <w:color w:val="404040" w:themeColor="text1" w:themeTint="BF"/>
          <w:sz w:val="21"/>
          <w:szCs w:val="21"/>
          <w:lang w:eastAsia="en-GB"/>
        </w:rPr>
        <w:t xml:space="preserve">– typically of first instance – </w:t>
      </w:r>
      <w:r w:rsidRPr="00F96F97">
        <w:rPr>
          <w:rFonts w:eastAsia="Times New Roman" w:cs="Times New Roman"/>
          <w:color w:val="404040" w:themeColor="text1" w:themeTint="BF"/>
          <w:sz w:val="21"/>
          <w:szCs w:val="21"/>
          <w:lang w:eastAsia="en-GB"/>
        </w:rPr>
        <w:t>that commonly handle local issues, such as disputes involving family, land</w:t>
      </w:r>
      <w:r>
        <w:rPr>
          <w:rFonts w:eastAsia="Times New Roman" w:cs="Times New Roman"/>
          <w:color w:val="404040" w:themeColor="text1" w:themeTint="BF"/>
          <w:sz w:val="21"/>
          <w:szCs w:val="21"/>
          <w:lang w:eastAsia="en-GB"/>
        </w:rPr>
        <w:t>,</w:t>
      </w:r>
      <w:r w:rsidRPr="00F96F97">
        <w:rPr>
          <w:rFonts w:eastAsia="Times New Roman" w:cs="Times New Roman"/>
          <w:color w:val="404040" w:themeColor="text1" w:themeTint="BF"/>
          <w:sz w:val="21"/>
          <w:szCs w:val="21"/>
          <w:lang w:eastAsia="en-GB"/>
        </w:rPr>
        <w:t xml:space="preserve"> and government benefits and services). This broad categorization is elaborated to encompass the diversity of judicial systems</w:t>
      </w:r>
      <w:r>
        <w:rPr>
          <w:rFonts w:eastAsia="Times New Roman" w:cs="Times New Roman"/>
          <w:color w:val="404040" w:themeColor="text1" w:themeTint="BF"/>
          <w:sz w:val="21"/>
          <w:szCs w:val="21"/>
          <w:lang w:eastAsia="en-GB"/>
        </w:rPr>
        <w:t xml:space="preserve"> across the world, including across different types of legal systems (common law, civil law, etc.) and across different types of government (unitary, federal, etc.)</w:t>
      </w:r>
      <w:r>
        <w:rPr>
          <w:color w:val="4A4A4A"/>
          <w:lang w:eastAsia="en-GB"/>
        </w:rPr>
        <w:t>:</w:t>
      </w:r>
    </w:p>
    <w:p w14:paraId="50ABE539" w14:textId="77777777" w:rsidR="0069230D" w:rsidRPr="00A50396" w:rsidRDefault="0069230D" w:rsidP="0069230D">
      <w:pPr>
        <w:pStyle w:val="ListParagraph"/>
        <w:numPr>
          <w:ilvl w:val="0"/>
          <w:numId w:val="6"/>
        </w:numPr>
        <w:shd w:val="clear" w:color="auto" w:fill="FFFFFF"/>
        <w:spacing w:after="0"/>
        <w:jc w:val="both"/>
        <w:rPr>
          <w:rFonts w:eastAsia="Times New Roman" w:cs="Times New Roman"/>
          <w:color w:val="4A4A4A"/>
          <w:sz w:val="21"/>
          <w:szCs w:val="21"/>
          <w:lang w:eastAsia="en-GB"/>
        </w:rPr>
      </w:pPr>
      <w:r w:rsidRPr="00FC7A0B">
        <w:rPr>
          <w:rFonts w:eastAsia="Times New Roman" w:cs="Times New Roman"/>
          <w:bCs/>
          <w:i/>
          <w:color w:val="4A4A4A"/>
          <w:sz w:val="21"/>
          <w:szCs w:val="21"/>
          <w:lang w:eastAsia="en-GB"/>
        </w:rPr>
        <w:t>Supreme/constitutional</w:t>
      </w:r>
      <w:r w:rsidRPr="00FC7A0B">
        <w:rPr>
          <w:rFonts w:eastAsia="Times New Roman" w:cs="Times New Roman"/>
          <w:bCs/>
          <w:color w:val="4A4A4A"/>
          <w:sz w:val="21"/>
          <w:szCs w:val="21"/>
          <w:lang w:eastAsia="en-GB"/>
        </w:rPr>
        <w:t xml:space="preserve"> </w:t>
      </w:r>
      <w:r w:rsidRPr="00FC7A0B">
        <w:rPr>
          <w:rFonts w:eastAsia="Times New Roman" w:cs="Times New Roman"/>
          <w:bCs/>
          <w:i/>
          <w:color w:val="4A4A4A"/>
          <w:sz w:val="21"/>
          <w:szCs w:val="21"/>
          <w:lang w:eastAsia="en-GB"/>
        </w:rPr>
        <w:t>courts</w:t>
      </w:r>
      <w:r w:rsidRPr="004A57C7">
        <w:rPr>
          <w:rFonts w:eastAsia="Times New Roman" w:cs="Times New Roman"/>
          <w:bCs/>
          <w:color w:val="4A4A4A"/>
          <w:sz w:val="21"/>
          <w:szCs w:val="21"/>
          <w:lang w:eastAsia="en-GB"/>
        </w:rPr>
        <w:t>:</w:t>
      </w:r>
      <w:r w:rsidRPr="00A50396">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Supreme/constitutional</w:t>
      </w:r>
      <w:r w:rsidRPr="00A50396">
        <w:rPr>
          <w:rFonts w:eastAsia="Times New Roman" w:cs="Times New Roman"/>
          <w:color w:val="4A4A4A"/>
          <w:sz w:val="21"/>
          <w:szCs w:val="21"/>
          <w:lang w:eastAsia="en-GB"/>
        </w:rPr>
        <w:t xml:space="preserve"> courts are the courts within a country with the highest authority to interpret the law</w:t>
      </w:r>
      <w:r>
        <w:rPr>
          <w:rFonts w:eastAsia="Times New Roman" w:cs="Times New Roman"/>
          <w:color w:val="4A4A4A"/>
          <w:sz w:val="21"/>
          <w:szCs w:val="21"/>
          <w:lang w:eastAsia="en-GB"/>
        </w:rPr>
        <w:t>. T</w:t>
      </w:r>
      <w:r w:rsidRPr="00A50396">
        <w:rPr>
          <w:rFonts w:eastAsia="Times New Roman" w:cs="Times New Roman"/>
          <w:color w:val="4A4A4A"/>
          <w:sz w:val="21"/>
          <w:szCs w:val="21"/>
          <w:lang w:eastAsia="en-GB"/>
        </w:rPr>
        <w:t>he</w:t>
      </w:r>
      <w:r>
        <w:rPr>
          <w:rFonts w:eastAsia="Times New Roman" w:cs="Times New Roman"/>
          <w:color w:val="4A4A4A"/>
          <w:sz w:val="21"/>
          <w:szCs w:val="21"/>
          <w:lang w:eastAsia="en-GB"/>
        </w:rPr>
        <w:t xml:space="preserve"> category </w:t>
      </w:r>
      <w:r w:rsidRPr="00A50396">
        <w:rPr>
          <w:rFonts w:eastAsia="Times New Roman" w:cs="Times New Roman"/>
          <w:color w:val="4A4A4A"/>
          <w:sz w:val="21"/>
          <w:szCs w:val="21"/>
          <w:lang w:eastAsia="en-GB"/>
        </w:rPr>
        <w:t>include</w:t>
      </w:r>
      <w:r>
        <w:rPr>
          <w:rFonts w:eastAsia="Times New Roman" w:cs="Times New Roman"/>
          <w:color w:val="4A4A4A"/>
          <w:sz w:val="21"/>
          <w:szCs w:val="21"/>
          <w:lang w:eastAsia="en-GB"/>
        </w:rPr>
        <w:t>s both</w:t>
      </w:r>
      <w:r w:rsidRPr="00A50396">
        <w:rPr>
          <w:rFonts w:eastAsia="Times New Roman" w:cs="Times New Roman"/>
          <w:color w:val="4A4A4A"/>
          <w:sz w:val="21"/>
          <w:szCs w:val="21"/>
          <w:lang w:eastAsia="en-GB"/>
        </w:rPr>
        <w:t xml:space="preserve"> supreme courts (i.e., the highest judicial bodies in the domain of civil and criminal jurisdiction) and constitutional courts (i.e., the legal bodies responsible for ensuring the compatibility of legislation with the</w:t>
      </w:r>
      <w:r>
        <w:rPr>
          <w:rFonts w:eastAsia="Times New Roman" w:cs="Times New Roman"/>
          <w:color w:val="4A4A4A"/>
          <w:sz w:val="21"/>
          <w:szCs w:val="21"/>
          <w:lang w:eastAsia="en-GB"/>
        </w:rPr>
        <w:t xml:space="preserve"> </w:t>
      </w:r>
      <w:r w:rsidRPr="00A50396">
        <w:rPr>
          <w:rFonts w:eastAsia="Times New Roman" w:cs="Times New Roman"/>
          <w:color w:val="4A4A4A"/>
          <w:sz w:val="21"/>
          <w:szCs w:val="21"/>
          <w:lang w:eastAsia="en-GB"/>
        </w:rPr>
        <w:t xml:space="preserve">provisions and principles of the constitution in each country, in particular to protect constitutionally-established rights and freedoms). Constitutional courts include those courts that sit only on constitutional issues, as well as courts that sit as constitutional courts only on occasion when constitutional issues arise. In federal court systems, highest courts include supreme courts and constitutional courts at the national level, </w:t>
      </w:r>
      <w:r>
        <w:rPr>
          <w:rFonts w:eastAsia="Times New Roman" w:cs="Times New Roman"/>
          <w:color w:val="4A4A4A"/>
          <w:sz w:val="21"/>
          <w:szCs w:val="21"/>
          <w:lang w:eastAsia="en-GB"/>
        </w:rPr>
        <w:t>but excludes</w:t>
      </w:r>
      <w:r w:rsidRPr="00A50396">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any</w:t>
      </w:r>
      <w:r w:rsidRPr="00A50396">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supreme courts that may exist </w:t>
      </w:r>
      <w:r w:rsidRPr="00A50396">
        <w:rPr>
          <w:rFonts w:eastAsia="Times New Roman" w:cs="Times New Roman"/>
          <w:color w:val="4A4A4A"/>
          <w:sz w:val="21"/>
          <w:szCs w:val="21"/>
          <w:lang w:eastAsia="en-GB"/>
        </w:rPr>
        <w:t>at sub-national levels</w:t>
      </w:r>
      <w:r>
        <w:rPr>
          <w:rFonts w:eastAsia="Times New Roman" w:cs="Times New Roman"/>
          <w:color w:val="4A4A4A"/>
          <w:sz w:val="21"/>
          <w:szCs w:val="21"/>
          <w:lang w:eastAsia="en-GB"/>
        </w:rPr>
        <w:t xml:space="preserve">, as these should be included within the category of </w:t>
      </w:r>
      <w:r w:rsidRPr="00DD6F23">
        <w:rPr>
          <w:rFonts w:eastAsia="Times New Roman" w:cs="Times New Roman"/>
          <w:color w:val="4A4A4A"/>
          <w:sz w:val="21"/>
          <w:szCs w:val="21"/>
          <w:lang w:eastAsia="en-GB"/>
        </w:rPr>
        <w:t>higher-level courts</w:t>
      </w:r>
      <w:r w:rsidRPr="00A50396">
        <w:rPr>
          <w:rFonts w:eastAsia="Times New Roman" w:cs="Times New Roman"/>
          <w:color w:val="4A4A4A"/>
          <w:sz w:val="21"/>
          <w:szCs w:val="21"/>
          <w:lang w:eastAsia="en-GB"/>
        </w:rPr>
        <w:t>. In certain jurisdictions, the supreme court and constitutional court might be one and the same and therefore there would be just one court</w:t>
      </w:r>
      <w:r>
        <w:rPr>
          <w:rFonts w:eastAsia="Times New Roman" w:cs="Times New Roman"/>
          <w:color w:val="4A4A4A"/>
          <w:sz w:val="21"/>
          <w:szCs w:val="21"/>
          <w:lang w:eastAsia="en-GB"/>
        </w:rPr>
        <w:t xml:space="preserve"> for the category of s</w:t>
      </w:r>
      <w:r w:rsidRPr="00DD6F23">
        <w:rPr>
          <w:rFonts w:eastAsia="Times New Roman" w:cs="Times New Roman"/>
          <w:color w:val="4A4A4A"/>
          <w:sz w:val="21"/>
          <w:szCs w:val="21"/>
          <w:lang w:eastAsia="en-GB"/>
        </w:rPr>
        <w:t>upreme/constitutional courts</w:t>
      </w:r>
      <w:r w:rsidRPr="00A50396">
        <w:rPr>
          <w:rFonts w:eastAsia="Times New Roman" w:cs="Times New Roman"/>
          <w:color w:val="4A4A4A"/>
          <w:sz w:val="21"/>
          <w:szCs w:val="21"/>
          <w:lang w:eastAsia="en-GB"/>
        </w:rPr>
        <w:t>.</w:t>
      </w:r>
    </w:p>
    <w:p w14:paraId="6D85A56E" w14:textId="77777777" w:rsidR="0069230D" w:rsidRPr="00283295" w:rsidRDefault="0069230D" w:rsidP="0069230D">
      <w:pPr>
        <w:pStyle w:val="ListParagraph"/>
        <w:numPr>
          <w:ilvl w:val="0"/>
          <w:numId w:val="6"/>
        </w:numPr>
        <w:shd w:val="clear" w:color="auto" w:fill="FFFFFF"/>
        <w:spacing w:after="0"/>
        <w:jc w:val="both"/>
        <w:rPr>
          <w:rFonts w:eastAsia="Times New Roman" w:cs="Times New Roman"/>
          <w:color w:val="404040" w:themeColor="text1" w:themeTint="BF"/>
          <w:sz w:val="21"/>
          <w:szCs w:val="21"/>
          <w:lang w:eastAsia="en-GB"/>
        </w:rPr>
      </w:pPr>
      <w:r w:rsidRPr="00FC7A0B">
        <w:rPr>
          <w:rFonts w:eastAsia="Times New Roman" w:cs="Times New Roman"/>
          <w:bCs/>
          <w:i/>
          <w:color w:val="404040" w:themeColor="text1" w:themeTint="BF"/>
          <w:sz w:val="21"/>
          <w:szCs w:val="21"/>
          <w:lang w:eastAsia="en-GB"/>
        </w:rPr>
        <w:t>Higher-level</w:t>
      </w:r>
      <w:r w:rsidRPr="004A57C7">
        <w:rPr>
          <w:rFonts w:eastAsia="Times New Roman" w:cs="Times New Roman"/>
          <w:bCs/>
          <w:i/>
          <w:color w:val="404040" w:themeColor="text1" w:themeTint="BF"/>
          <w:sz w:val="21"/>
          <w:szCs w:val="21"/>
          <w:lang w:eastAsia="en-GB"/>
        </w:rPr>
        <w:t xml:space="preserve"> </w:t>
      </w:r>
      <w:r w:rsidRPr="00FC7A0B">
        <w:rPr>
          <w:rFonts w:eastAsia="Times New Roman" w:cs="Times New Roman"/>
          <w:bCs/>
          <w:i/>
          <w:color w:val="404040" w:themeColor="text1" w:themeTint="BF"/>
          <w:sz w:val="21"/>
          <w:szCs w:val="21"/>
          <w:lang w:eastAsia="en-GB"/>
        </w:rPr>
        <w:t>courts</w:t>
      </w:r>
      <w:r w:rsidRPr="004A57C7">
        <w:rPr>
          <w:rFonts w:eastAsia="Times New Roman" w:cs="Times New Roman"/>
          <w:bCs/>
          <w:color w:val="404040" w:themeColor="text1" w:themeTint="BF"/>
          <w:sz w:val="21"/>
          <w:szCs w:val="21"/>
          <w:lang w:eastAsia="en-GB"/>
        </w:rPr>
        <w:t>:</w:t>
      </w:r>
      <w:r w:rsidRPr="00283295">
        <w:rPr>
          <w:rFonts w:eastAsia="Times New Roman" w:cs="Times New Roman"/>
          <w:color w:val="404040" w:themeColor="text1" w:themeTint="BF"/>
          <w:sz w:val="21"/>
          <w:szCs w:val="21"/>
          <w:lang w:eastAsia="en-GB"/>
        </w:rPr>
        <w:t xml:space="preserve"> Higher-level courts include other high courts, high-level courts, and courts of appeal. In federal court systems, higher-level courts include higher-level courts </w:t>
      </w:r>
      <w:r w:rsidRPr="00283295">
        <w:rPr>
          <w:rFonts w:eastAsia="Times New Roman" w:cs="Times New Roman"/>
          <w:color w:val="404040" w:themeColor="text1" w:themeTint="BF"/>
          <w:sz w:val="21"/>
          <w:szCs w:val="21"/>
          <w:lang w:eastAsia="en-GB"/>
        </w:rPr>
        <w:lastRenderedPageBreak/>
        <w:t>at both the national and sub-national levels, and also include supreme courts at sub-national levels.</w:t>
      </w:r>
    </w:p>
    <w:p w14:paraId="3B28521D" w14:textId="77777777" w:rsidR="0069230D" w:rsidRDefault="0069230D" w:rsidP="0069230D">
      <w:pPr>
        <w:pStyle w:val="ListParagraph"/>
        <w:numPr>
          <w:ilvl w:val="0"/>
          <w:numId w:val="6"/>
        </w:numPr>
        <w:shd w:val="clear" w:color="auto" w:fill="FFFFFF"/>
        <w:spacing w:after="0"/>
        <w:jc w:val="both"/>
        <w:rPr>
          <w:rFonts w:eastAsia="Times New Roman" w:cs="Times New Roman"/>
          <w:color w:val="4A4A4A"/>
          <w:sz w:val="21"/>
          <w:szCs w:val="21"/>
          <w:lang w:eastAsia="en-GB"/>
        </w:rPr>
      </w:pPr>
      <w:r w:rsidRPr="00FC7A0B">
        <w:rPr>
          <w:rFonts w:eastAsia="Times New Roman" w:cs="Times New Roman"/>
          <w:bCs/>
          <w:i/>
          <w:color w:val="4A4A4A"/>
          <w:sz w:val="21"/>
          <w:szCs w:val="21"/>
          <w:lang w:eastAsia="en-GB"/>
        </w:rPr>
        <w:t>Lower-level</w:t>
      </w:r>
      <w:r w:rsidRPr="004A57C7">
        <w:rPr>
          <w:rFonts w:eastAsia="Times New Roman" w:cs="Times New Roman"/>
          <w:bCs/>
          <w:i/>
          <w:color w:val="4A4A4A"/>
          <w:sz w:val="21"/>
          <w:szCs w:val="21"/>
          <w:lang w:eastAsia="en-GB"/>
        </w:rPr>
        <w:t xml:space="preserve"> </w:t>
      </w:r>
      <w:r w:rsidRPr="00FC7A0B">
        <w:rPr>
          <w:rFonts w:eastAsia="Times New Roman" w:cs="Times New Roman"/>
          <w:bCs/>
          <w:i/>
          <w:color w:val="4A4A4A"/>
          <w:sz w:val="21"/>
          <w:szCs w:val="21"/>
          <w:lang w:eastAsia="en-GB"/>
        </w:rPr>
        <w:t>courts</w:t>
      </w:r>
      <w:r w:rsidRPr="004A57C7">
        <w:rPr>
          <w:rFonts w:eastAsia="Times New Roman" w:cs="Times New Roman"/>
          <w:bCs/>
          <w:color w:val="4A4A4A"/>
          <w:sz w:val="21"/>
          <w:szCs w:val="21"/>
          <w:lang w:eastAsia="en-GB"/>
        </w:rPr>
        <w:t>:</w:t>
      </w:r>
      <w:r w:rsidRPr="00A50396">
        <w:rPr>
          <w:rFonts w:eastAsia="Times New Roman" w:cs="Times New Roman"/>
          <w:color w:val="4A4A4A"/>
          <w:sz w:val="21"/>
          <w:szCs w:val="21"/>
          <w:lang w:eastAsia="en-GB"/>
        </w:rPr>
        <w:t xml:space="preserve"> Lower-level courts encompass first-instance or frontline courts of local jurisdiction. This category includes local courts, district courts, magisterial courts, and magistrate courts. In federal court systems, lower-level courts include lower-level courts of both national and sub-national court systems.  </w:t>
      </w:r>
    </w:p>
    <w:p w14:paraId="14E304C5" w14:textId="77777777" w:rsidR="0069230D" w:rsidRDefault="0069230D" w:rsidP="0069230D">
      <w:pPr>
        <w:pStyle w:val="ListParagraph"/>
        <w:numPr>
          <w:ilvl w:val="0"/>
          <w:numId w:val="6"/>
        </w:numPr>
        <w:shd w:val="clear" w:color="auto" w:fill="FFFFFF"/>
        <w:spacing w:after="0"/>
        <w:ind w:left="1434" w:hanging="357"/>
        <w:contextualSpacing w:val="0"/>
        <w:jc w:val="both"/>
        <w:rPr>
          <w:rFonts w:eastAsia="Times New Roman" w:cs="Times New Roman"/>
          <w:bCs/>
          <w:iCs/>
          <w:color w:val="4A4A4A"/>
          <w:sz w:val="21"/>
          <w:szCs w:val="21"/>
          <w:lang w:eastAsia="en-GB"/>
        </w:rPr>
      </w:pPr>
      <w:r w:rsidRPr="00FC7A0B">
        <w:rPr>
          <w:rFonts w:eastAsia="Times New Roman" w:cs="Times New Roman"/>
          <w:bCs/>
          <w:iCs/>
          <w:color w:val="4A4A4A"/>
          <w:sz w:val="21"/>
          <w:szCs w:val="21"/>
          <w:lang w:eastAsia="en-GB"/>
        </w:rPr>
        <w:t xml:space="preserve">Finally, a note about </w:t>
      </w:r>
      <w:r w:rsidRPr="00FC7A0B">
        <w:rPr>
          <w:rFonts w:eastAsia="Times New Roman" w:cs="Times New Roman"/>
          <w:bCs/>
          <w:i/>
          <w:color w:val="4A4A4A"/>
          <w:sz w:val="21"/>
          <w:szCs w:val="21"/>
          <w:lang w:eastAsia="en-GB"/>
        </w:rPr>
        <w:t>specialized courts</w:t>
      </w:r>
      <w:r w:rsidRPr="00FC7A0B">
        <w:rPr>
          <w:rFonts w:eastAsia="Times New Roman" w:cs="Times New Roman"/>
          <w:bCs/>
          <w:iCs/>
          <w:color w:val="4A4A4A"/>
          <w:sz w:val="21"/>
          <w:szCs w:val="21"/>
          <w:lang w:eastAsia="en-GB"/>
        </w:rPr>
        <w:t xml:space="preserve"> is in order</w:t>
      </w:r>
      <w:r w:rsidRPr="00DC38B2">
        <w:rPr>
          <w:rFonts w:eastAsia="Times New Roman" w:cs="Times New Roman"/>
          <w:bCs/>
          <w:iCs/>
          <w:color w:val="4A4A4A"/>
          <w:sz w:val="21"/>
          <w:szCs w:val="21"/>
          <w:lang w:eastAsia="en-GB"/>
        </w:rPr>
        <w:t xml:space="preserve">: The determination of whether specialized courts or tribunals, or a subset thereof, fall within supreme/constitutional, higher-level, or lower-level courts is left to the discretion of countries. Specialized courts are courts that have limited jurisdiction over a specialized subject matter, and may include, but are not limited to, war crimes courts, gender-based violence courts, commercial courts, finance courts, labour courts, family courts, property courts, military courts, administrative courts, social welfare courts, juvenile courts, courts for organized crime, narcotics, and corruption, etc. In many jurisdictions, specialized courts are considered higher-level courts. In such jurisdictions, these specialized courts might have exclusive or original jurisdiction over certain claims, and therefore act in the first instance for those claims, but are nevertheless considered higher-level courts. In other jurisdictions, specialized courts might be considered lower-level courts or supreme courts. Some jurisdictions might categorize a subset of specialized courts as higher-level courts and another subset as lower-level courts. </w:t>
      </w:r>
    </w:p>
    <w:p w14:paraId="643AB20F" w14:textId="77777777" w:rsidR="0069230D" w:rsidRPr="002D3C5D" w:rsidRDefault="0069230D" w:rsidP="0069230D">
      <w:pPr>
        <w:shd w:val="clear" w:color="auto" w:fill="FFFFFF"/>
        <w:spacing w:after="0"/>
        <w:jc w:val="both"/>
        <w:rPr>
          <w:rFonts w:eastAsia="Times New Roman" w:cs="Times New Roman"/>
          <w:bCs/>
          <w:iCs/>
          <w:color w:val="4A4A4A"/>
          <w:sz w:val="21"/>
          <w:szCs w:val="21"/>
          <w:lang w:eastAsia="en-GB"/>
        </w:rPr>
      </w:pPr>
    </w:p>
    <w:p w14:paraId="3ACDE801" w14:textId="77777777" w:rsidR="0069230D" w:rsidRPr="00FC7A0B" w:rsidRDefault="0069230D" w:rsidP="0069230D">
      <w:pPr>
        <w:pStyle w:val="ListParagraph"/>
        <w:numPr>
          <w:ilvl w:val="0"/>
          <w:numId w:val="8"/>
        </w:numPr>
        <w:spacing w:after="0"/>
        <w:jc w:val="both"/>
        <w:rPr>
          <w:color w:val="4A4A4A"/>
          <w:sz w:val="21"/>
          <w:szCs w:val="21"/>
          <w:lang w:eastAsia="en-GB"/>
        </w:rPr>
      </w:pPr>
      <w:r w:rsidRPr="00FC7A0B">
        <w:rPr>
          <w:b/>
          <w:bCs/>
          <w:color w:val="4A4A4A"/>
          <w:sz w:val="21"/>
          <w:szCs w:val="21"/>
          <w:lang w:eastAsia="en-GB"/>
        </w:rPr>
        <w:t>Decision-making positions</w:t>
      </w:r>
      <w:r w:rsidRPr="004A57C7">
        <w:rPr>
          <w:b/>
          <w:bCs/>
          <w:color w:val="4A4A4A"/>
          <w:sz w:val="21"/>
          <w:szCs w:val="21"/>
          <w:lang w:eastAsia="en-GB"/>
        </w:rPr>
        <w:t>:</w:t>
      </w:r>
      <w:r w:rsidRPr="00B76894">
        <w:rPr>
          <w:b/>
          <w:bCs/>
          <w:color w:val="4A4A4A"/>
          <w:sz w:val="21"/>
          <w:szCs w:val="21"/>
          <w:lang w:eastAsia="en-GB"/>
        </w:rPr>
        <w:t xml:space="preserve"> </w:t>
      </w:r>
      <w:r w:rsidRPr="00FC7A0B">
        <w:rPr>
          <w:color w:val="4A4A4A"/>
          <w:sz w:val="21"/>
          <w:szCs w:val="21"/>
          <w:lang w:eastAsia="en-GB"/>
        </w:rPr>
        <w:t>Target 16.7 focuses on ‘decision-making’ and the extent to which it is responsive, inclusive, and representative. In the judiciary, decision-making power and leadership roles are essentially held by individuals in two types of positions, namely judges and registrars. Judges play important roles in decision-making by carrying out their core functions of interpreting laws and adjudicating controversies over the application of laws to particular circumstances. Registrars assist judges in performing their functions and play an important role in case management, including by scheduling hearing dates, registering court documents, receiving fees emanating from court matters, preparing case files, drafting decisions, and executing court decisions. Additionally, in certain circumstances, they can perform judicial or quasi-judicial functions themselves, including making decisions on interlocutory applications, assessment of damages, and applications for the entry of default judgments.</w:t>
      </w:r>
      <w:r w:rsidRPr="004A57C7">
        <w:rPr>
          <w:color w:val="4A4A4A"/>
          <w:sz w:val="21"/>
          <w:szCs w:val="21"/>
          <w:lang w:eastAsia="en-GB"/>
        </w:rPr>
        <w:t xml:space="preserve"> </w:t>
      </w:r>
      <w:r w:rsidRPr="00FC7A0B">
        <w:rPr>
          <w:color w:val="4A4A4A"/>
          <w:sz w:val="21"/>
          <w:szCs w:val="21"/>
          <w:lang w:eastAsia="en-GB"/>
        </w:rPr>
        <w:t>The judiciary sub-component of SDG indicator 16.7.1 does not cover other positions such as: court-annexed alternative dispute resolution professionals (individuals appointed by the state to decide upon an adjudicatory dispute resolution process, such as arbitrators and mediators); non-legal court personnel (part-time or full-time individuals paid by the state to support the administration of the judicial system, such as bailiffs, tipstaff, secretaries, notaries, paralegals, and administrators); or state-funded legal professionals within the justice sector (individuals paid by the state to carry out the representation or prosecution of an individual in a legal proceeding, including prosecutors, public defenders, and legal aid service providers). While these individuals play some role in the functioning of the justice system as a whole and are supported by state funds, they do not constitute the judiciary as it is understood by most countries. Additionally, they are typically accounted for in the public service sub-component of SDG indicator 16.7.1 (</w:t>
      </w:r>
      <w:r>
        <w:rPr>
          <w:color w:val="4A4A4A"/>
          <w:sz w:val="21"/>
          <w:szCs w:val="21"/>
          <w:lang w:eastAsia="en-GB"/>
        </w:rPr>
        <w:t xml:space="preserve">i.e. </w:t>
      </w:r>
      <w:r w:rsidRPr="00FC7A0B">
        <w:rPr>
          <w:color w:val="4A4A4A"/>
          <w:sz w:val="21"/>
          <w:szCs w:val="21"/>
          <w:lang w:eastAsia="en-GB"/>
        </w:rPr>
        <w:t>SDG 16.7.1b).</w:t>
      </w:r>
    </w:p>
    <w:p w14:paraId="084A4030" w14:textId="77777777" w:rsidR="0069230D" w:rsidRPr="00A50396" w:rsidRDefault="0069230D" w:rsidP="0069230D">
      <w:pPr>
        <w:pStyle w:val="ListParagraph"/>
        <w:numPr>
          <w:ilvl w:val="0"/>
          <w:numId w:val="7"/>
        </w:numPr>
        <w:shd w:val="clear" w:color="auto" w:fill="FFFFFF"/>
        <w:spacing w:after="0"/>
        <w:jc w:val="both"/>
        <w:rPr>
          <w:rFonts w:eastAsia="Times New Roman" w:cs="Times New Roman"/>
          <w:color w:val="4A4A4A"/>
          <w:sz w:val="21"/>
          <w:szCs w:val="21"/>
          <w:lang w:eastAsia="en-GB"/>
        </w:rPr>
      </w:pPr>
      <w:r w:rsidRPr="00FC7A0B">
        <w:rPr>
          <w:rFonts w:eastAsia="Times New Roman" w:cs="Times New Roman"/>
          <w:bCs/>
          <w:i/>
          <w:color w:val="4A4A4A"/>
          <w:sz w:val="21"/>
          <w:szCs w:val="21"/>
          <w:lang w:eastAsia="en-GB"/>
        </w:rPr>
        <w:t>Judge</w:t>
      </w:r>
      <w:r w:rsidRPr="00A50396">
        <w:rPr>
          <w:rFonts w:eastAsia="Times New Roman" w:cs="Times New Roman"/>
          <w:i/>
          <w:color w:val="4A4A4A"/>
          <w:sz w:val="21"/>
          <w:szCs w:val="21"/>
          <w:lang w:eastAsia="en-GB"/>
        </w:rPr>
        <w:t xml:space="preserve"> </w:t>
      </w:r>
      <w:r w:rsidRPr="00A50396">
        <w:rPr>
          <w:rFonts w:eastAsia="Times New Roman" w:cs="Times New Roman"/>
          <w:color w:val="4A4A4A"/>
          <w:sz w:val="21"/>
          <w:szCs w:val="21"/>
          <w:lang w:eastAsia="en-GB"/>
        </w:rPr>
        <w:t xml:space="preserve">(alternatively called ‘justice’, ‘magistrate’, or ‘jurist’): A judge is a person authorized to decide cases in a court of law. UN DESA’s Manual for the Development of </w:t>
      </w:r>
      <w:r>
        <w:rPr>
          <w:rFonts w:eastAsia="Times New Roman" w:cs="Times New Roman"/>
          <w:color w:val="4A4A4A"/>
          <w:sz w:val="21"/>
          <w:szCs w:val="21"/>
          <w:lang w:eastAsia="en-GB"/>
        </w:rPr>
        <w:t>a</w:t>
      </w:r>
      <w:r w:rsidRPr="00A50396">
        <w:rPr>
          <w:rFonts w:eastAsia="Times New Roman" w:cs="Times New Roman"/>
          <w:color w:val="4A4A4A"/>
          <w:sz w:val="21"/>
          <w:szCs w:val="21"/>
          <w:lang w:eastAsia="en-GB"/>
        </w:rPr>
        <w:t xml:space="preserve"> System of Criminal Justice Statistics defines </w:t>
      </w:r>
      <w:r>
        <w:rPr>
          <w:rFonts w:eastAsia="Times New Roman" w:cs="Times New Roman"/>
          <w:color w:val="4A4A4A"/>
          <w:sz w:val="21"/>
          <w:szCs w:val="21"/>
          <w:lang w:eastAsia="en-GB"/>
        </w:rPr>
        <w:t>‘</w:t>
      </w:r>
      <w:r w:rsidRPr="00A50396">
        <w:rPr>
          <w:rFonts w:eastAsia="Times New Roman" w:cs="Times New Roman"/>
          <w:color w:val="4A4A4A"/>
          <w:sz w:val="21"/>
          <w:szCs w:val="21"/>
          <w:lang w:eastAsia="en-GB"/>
        </w:rPr>
        <w:t>professional judges or magistrates</w:t>
      </w:r>
      <w:r>
        <w:rPr>
          <w:rFonts w:eastAsia="Times New Roman" w:cs="Times New Roman"/>
          <w:color w:val="4A4A4A"/>
          <w:sz w:val="21"/>
          <w:szCs w:val="21"/>
          <w:lang w:eastAsia="en-GB"/>
        </w:rPr>
        <w:t>’</w:t>
      </w:r>
      <w:r w:rsidRPr="00A50396">
        <w:rPr>
          <w:rFonts w:eastAsia="Times New Roman" w:cs="Times New Roman"/>
          <w:color w:val="4A4A4A"/>
          <w:sz w:val="21"/>
          <w:szCs w:val="21"/>
          <w:lang w:eastAsia="en-GB"/>
        </w:rPr>
        <w:t xml:space="preserve"> as both full-time and part-time officials authorized to hear civil, criminal, and other cases, including in appeal </w:t>
      </w:r>
      <w:r w:rsidRPr="00A50396">
        <w:rPr>
          <w:rFonts w:eastAsia="Times New Roman" w:cs="Times New Roman"/>
          <w:color w:val="4A4A4A"/>
          <w:sz w:val="21"/>
          <w:szCs w:val="21"/>
          <w:lang w:eastAsia="en-GB"/>
        </w:rPr>
        <w:lastRenderedPageBreak/>
        <w:t>courts, and to make dispositions in a court of law. This category includes associate judges and magistrates who may be so authorized.</w:t>
      </w:r>
      <w:r>
        <w:rPr>
          <w:rStyle w:val="FootnoteReference"/>
          <w:rFonts w:eastAsia="Times New Roman" w:cs="Times New Roman"/>
          <w:color w:val="4A4A4A"/>
          <w:sz w:val="21"/>
          <w:szCs w:val="21"/>
          <w:lang w:eastAsia="en-GB"/>
        </w:rPr>
        <w:footnoteReference w:id="4"/>
      </w:r>
      <w:r w:rsidRPr="00A50396">
        <w:rPr>
          <w:rFonts w:eastAsia="Times New Roman" w:cs="Times New Roman"/>
          <w:color w:val="4A4A4A"/>
          <w:sz w:val="21"/>
          <w:szCs w:val="21"/>
          <w:lang w:eastAsia="en-GB"/>
        </w:rPr>
        <w:t xml:space="preserve"> </w:t>
      </w:r>
    </w:p>
    <w:p w14:paraId="238D3267" w14:textId="77777777" w:rsidR="0069230D" w:rsidRDefault="0069230D" w:rsidP="0069230D">
      <w:pPr>
        <w:pStyle w:val="ListParagraph"/>
        <w:numPr>
          <w:ilvl w:val="0"/>
          <w:numId w:val="7"/>
        </w:numPr>
        <w:shd w:val="clear" w:color="auto" w:fill="FFFFFF"/>
        <w:spacing w:after="0"/>
        <w:ind w:left="1434" w:hanging="357"/>
        <w:contextualSpacing w:val="0"/>
        <w:jc w:val="both"/>
        <w:rPr>
          <w:rFonts w:eastAsia="Times New Roman" w:cs="Times New Roman"/>
          <w:color w:val="4A4A4A"/>
          <w:sz w:val="21"/>
          <w:szCs w:val="21"/>
          <w:lang w:eastAsia="en-GB"/>
        </w:rPr>
      </w:pPr>
      <w:r w:rsidRPr="00FC7A0B">
        <w:rPr>
          <w:rFonts w:eastAsia="Times New Roman" w:cs="Times New Roman"/>
          <w:bCs/>
          <w:i/>
          <w:color w:val="4A4A4A"/>
          <w:sz w:val="21"/>
          <w:szCs w:val="21"/>
          <w:lang w:eastAsia="en-GB"/>
        </w:rPr>
        <w:t>Registrar</w:t>
      </w:r>
      <w:r w:rsidRPr="00A50396">
        <w:rPr>
          <w:rFonts w:eastAsia="Times New Roman" w:cs="Times New Roman"/>
          <w:i/>
          <w:color w:val="4A4A4A"/>
          <w:sz w:val="21"/>
          <w:szCs w:val="21"/>
          <w:lang w:eastAsia="en-GB"/>
        </w:rPr>
        <w:t xml:space="preserve"> </w:t>
      </w:r>
      <w:r>
        <w:rPr>
          <w:rFonts w:eastAsia="Times New Roman" w:cs="Times New Roman"/>
          <w:color w:val="4A4A4A"/>
          <w:sz w:val="21"/>
          <w:szCs w:val="21"/>
          <w:lang w:eastAsia="en-GB"/>
        </w:rPr>
        <w:t xml:space="preserve">(alternatively called ‘clerk’, ‘judicial officer’, </w:t>
      </w:r>
      <w:r w:rsidRPr="00A50396">
        <w:rPr>
          <w:rFonts w:eastAsia="Times New Roman" w:cs="Times New Roman"/>
          <w:color w:val="4A4A4A"/>
          <w:sz w:val="21"/>
          <w:szCs w:val="21"/>
          <w:lang w:eastAsia="en-GB"/>
        </w:rPr>
        <w:t>‘</w:t>
      </w:r>
      <w:r w:rsidRPr="00A50396">
        <w:rPr>
          <w:rFonts w:eastAsia="Times New Roman" w:cs="Times New Roman"/>
          <w:i/>
          <w:color w:val="4A4A4A"/>
          <w:sz w:val="21"/>
          <w:szCs w:val="21"/>
          <w:lang w:eastAsia="en-GB"/>
        </w:rPr>
        <w:t>Rechtspfleger</w:t>
      </w:r>
      <w:r w:rsidRPr="00A50396">
        <w:rPr>
          <w:rFonts w:eastAsia="Times New Roman" w:cs="Times New Roman"/>
          <w:color w:val="4A4A4A"/>
          <w:sz w:val="21"/>
          <w:szCs w:val="21"/>
          <w:lang w:eastAsia="en-GB"/>
        </w:rPr>
        <w:t>’</w:t>
      </w:r>
      <w:r>
        <w:rPr>
          <w:rFonts w:eastAsia="Times New Roman" w:cs="Times New Roman"/>
          <w:color w:val="4A4A4A"/>
          <w:sz w:val="21"/>
          <w:szCs w:val="21"/>
          <w:lang w:eastAsia="en-GB"/>
        </w:rPr>
        <w:t>, ‘</w:t>
      </w:r>
      <w:r w:rsidRPr="002C52B2">
        <w:rPr>
          <w:rFonts w:eastAsia="Times New Roman" w:cs="Times New Roman"/>
          <w:i/>
          <w:color w:val="4A4A4A"/>
          <w:sz w:val="21"/>
          <w:szCs w:val="21"/>
          <w:lang w:eastAsia="en-GB"/>
        </w:rPr>
        <w:t>secretario de estudio y cuenta</w:t>
      </w:r>
      <w:r>
        <w:rPr>
          <w:rFonts w:eastAsia="Times New Roman" w:cs="Times New Roman"/>
          <w:color w:val="4A4A4A"/>
          <w:sz w:val="21"/>
          <w:szCs w:val="21"/>
          <w:lang w:eastAsia="en-GB"/>
        </w:rPr>
        <w:t>’,</w:t>
      </w:r>
      <w:r w:rsidRPr="002C52B2">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w:t>
      </w:r>
      <w:r w:rsidRPr="002C52B2">
        <w:rPr>
          <w:rFonts w:eastAsia="Times New Roman" w:cs="Times New Roman"/>
          <w:i/>
          <w:color w:val="4A4A4A"/>
          <w:sz w:val="21"/>
          <w:szCs w:val="21"/>
          <w:lang w:eastAsia="en-GB"/>
        </w:rPr>
        <w:t>secretario general</w:t>
      </w:r>
      <w:r>
        <w:rPr>
          <w:rFonts w:eastAsia="Times New Roman" w:cs="Times New Roman"/>
          <w:color w:val="4A4A4A"/>
          <w:sz w:val="21"/>
          <w:szCs w:val="21"/>
          <w:lang w:eastAsia="en-GB"/>
        </w:rPr>
        <w:t>’,</w:t>
      </w:r>
      <w:r w:rsidRPr="002C52B2">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w:t>
      </w:r>
      <w:r w:rsidRPr="002C52B2">
        <w:rPr>
          <w:rFonts w:eastAsia="Times New Roman" w:cs="Times New Roman"/>
          <w:i/>
          <w:color w:val="4A4A4A"/>
          <w:sz w:val="21"/>
          <w:szCs w:val="21"/>
          <w:lang w:eastAsia="en-GB"/>
        </w:rPr>
        <w:t>secretario de acuerdos</w:t>
      </w:r>
      <w:r>
        <w:rPr>
          <w:rFonts w:eastAsia="Times New Roman" w:cs="Times New Roman"/>
          <w:color w:val="4A4A4A"/>
          <w:sz w:val="21"/>
          <w:szCs w:val="21"/>
          <w:lang w:eastAsia="en-GB"/>
        </w:rPr>
        <w:t>’, ‘</w:t>
      </w:r>
      <w:r w:rsidRPr="00042E2A">
        <w:rPr>
          <w:rFonts w:eastAsia="Times New Roman" w:cs="Times New Roman"/>
          <w:i/>
          <w:color w:val="4A4A4A"/>
          <w:sz w:val="21"/>
          <w:szCs w:val="21"/>
          <w:lang w:eastAsia="en-GB"/>
        </w:rPr>
        <w:t>greffiers’</w:t>
      </w:r>
      <w:r>
        <w:rPr>
          <w:rFonts w:eastAsia="Times New Roman" w:cs="Times New Roman"/>
          <w:color w:val="4A4A4A"/>
          <w:sz w:val="21"/>
          <w:szCs w:val="21"/>
          <w:lang w:eastAsia="en-GB"/>
        </w:rPr>
        <w:t>, ‘</w:t>
      </w:r>
      <w:r w:rsidRPr="00042E2A">
        <w:rPr>
          <w:rFonts w:ascii="ArialMT" w:cs="ArialMT" w:hint="cs"/>
          <w:color w:val="43464D"/>
          <w:sz w:val="21"/>
          <w:szCs w:val="21"/>
          <w:rtl/>
          <w:lang w:val="en-US"/>
        </w:rPr>
        <w:t>المسجلون</w:t>
      </w:r>
      <w:r w:rsidRPr="00042E2A">
        <w:rPr>
          <w:rFonts w:eastAsia="Times New Roman" w:cs="Times New Roman"/>
          <w:color w:val="4A4A4A"/>
          <w:sz w:val="21"/>
          <w:szCs w:val="21"/>
          <w:lang w:eastAsia="en-GB"/>
        </w:rPr>
        <w:t>’</w:t>
      </w:r>
      <w:r w:rsidRPr="00A50396">
        <w:rPr>
          <w:rFonts w:eastAsia="Times New Roman" w:cs="Times New Roman"/>
          <w:color w:val="4A4A4A"/>
          <w:sz w:val="21"/>
          <w:szCs w:val="21"/>
          <w:lang w:eastAsia="en-GB"/>
        </w:rPr>
        <w:t xml:space="preserve">): A registrar is a judicial officer of the court entrusted with judicial or quasi-judicial functions who has autonomous competence. A registrar’s decisions may be subject to </w:t>
      </w:r>
      <w:r>
        <w:rPr>
          <w:rFonts w:eastAsia="Times New Roman" w:cs="Times New Roman"/>
          <w:color w:val="4A4A4A"/>
          <w:sz w:val="21"/>
          <w:szCs w:val="21"/>
          <w:lang w:eastAsia="en-GB"/>
        </w:rPr>
        <w:t>appeal in certain circumstances</w:t>
      </w:r>
      <w:r w:rsidRPr="00A50396">
        <w:rPr>
          <w:rFonts w:eastAsia="Times New Roman" w:cs="Times New Roman"/>
          <w:color w:val="4A4A4A"/>
          <w:sz w:val="21"/>
          <w:szCs w:val="21"/>
          <w:lang w:eastAsia="en-GB"/>
        </w:rPr>
        <w:t>.</w:t>
      </w:r>
    </w:p>
    <w:p w14:paraId="7AD35F66" w14:textId="77777777" w:rsidR="0069230D" w:rsidRPr="00FC7A0B" w:rsidRDefault="0069230D" w:rsidP="0069230D">
      <w:pPr>
        <w:shd w:val="clear" w:color="auto" w:fill="FFFFFF"/>
        <w:spacing w:after="0"/>
        <w:jc w:val="both"/>
        <w:rPr>
          <w:rFonts w:eastAsia="Times New Roman" w:cs="Times New Roman"/>
          <w:color w:val="4A4A4A"/>
          <w:sz w:val="21"/>
          <w:szCs w:val="21"/>
          <w:lang w:eastAsia="en-GB"/>
        </w:rPr>
      </w:pPr>
    </w:p>
    <w:p w14:paraId="19FFBEEC" w14:textId="77777777" w:rsidR="0069230D" w:rsidRDefault="0069230D" w:rsidP="0069230D">
      <w:pPr>
        <w:pStyle w:val="ListParagraph"/>
        <w:numPr>
          <w:ilvl w:val="0"/>
          <w:numId w:val="8"/>
        </w:numPr>
        <w:shd w:val="clear" w:color="auto" w:fill="FFFFFF"/>
        <w:spacing w:after="0"/>
        <w:ind w:left="714" w:hanging="357"/>
        <w:contextualSpacing w:val="0"/>
        <w:jc w:val="both"/>
        <w:rPr>
          <w:rFonts w:eastAsia="Times New Roman" w:cstheme="minorHAnsi"/>
          <w:bCs/>
          <w:color w:val="404040" w:themeColor="text1" w:themeTint="BF"/>
          <w:sz w:val="21"/>
          <w:szCs w:val="21"/>
          <w:lang w:eastAsia="en-GB"/>
        </w:rPr>
      </w:pPr>
      <w:r w:rsidRPr="00FC7A0B">
        <w:rPr>
          <w:rFonts w:eastAsia="Times New Roman" w:cstheme="minorHAnsi"/>
          <w:b/>
          <w:i/>
          <w:iCs/>
          <w:color w:val="404040" w:themeColor="text1" w:themeTint="BF"/>
          <w:sz w:val="21"/>
          <w:szCs w:val="21"/>
          <w:lang w:eastAsia="en-GB"/>
        </w:rPr>
        <w:t>Definition of “youth”:</w:t>
      </w:r>
      <w:r>
        <w:rPr>
          <w:rFonts w:eastAsia="Times New Roman" w:cstheme="minorHAnsi"/>
          <w:bCs/>
          <w:color w:val="404040" w:themeColor="text1" w:themeTint="BF"/>
          <w:sz w:val="21"/>
          <w:szCs w:val="21"/>
          <w:lang w:eastAsia="en-GB"/>
        </w:rPr>
        <w:t xml:space="preserve"> </w:t>
      </w:r>
      <w:r w:rsidRPr="0012556A">
        <w:rPr>
          <w:rFonts w:eastAsia="Times New Roman" w:cstheme="minorHAnsi"/>
          <w:bCs/>
          <w:color w:val="404040" w:themeColor="text1" w:themeTint="BF"/>
          <w:sz w:val="21"/>
          <w:szCs w:val="21"/>
          <w:lang w:eastAsia="en-GB"/>
        </w:rPr>
        <w:t>youth for the purpose of this indicator is defined as 44 years old and below, because positions in the judiciary require training and experience. This cutoff also provides consistency with sub-component (a) of SDG 16.7.1 on parliaments which uses a similar cutoff for ‘youth’, based on the Interparliamentary Union’s definition of ‘young MPs’ as MPs aged 45 and below (see metadata for SDG indicator 16.7.1(a)).</w:t>
      </w:r>
    </w:p>
    <w:p w14:paraId="034C28BF" w14:textId="77777777" w:rsidR="0069230D" w:rsidRPr="00FC7A0B" w:rsidRDefault="0069230D" w:rsidP="0069230D">
      <w:pPr>
        <w:shd w:val="clear" w:color="auto" w:fill="FFFFFF"/>
        <w:spacing w:after="0"/>
        <w:jc w:val="both"/>
        <w:rPr>
          <w:rFonts w:eastAsia="Times New Roman" w:cstheme="minorHAnsi"/>
          <w:bCs/>
          <w:color w:val="404040" w:themeColor="text1" w:themeTint="BF"/>
          <w:sz w:val="21"/>
          <w:szCs w:val="21"/>
          <w:lang w:eastAsia="en-GB"/>
        </w:rPr>
      </w:pPr>
    </w:p>
    <w:p w14:paraId="1BC3E608" w14:textId="77777777" w:rsidR="0069230D" w:rsidRDefault="0069230D" w:rsidP="0069230D">
      <w:pPr>
        <w:pStyle w:val="ListParagraph"/>
        <w:numPr>
          <w:ilvl w:val="0"/>
          <w:numId w:val="8"/>
        </w:numPr>
        <w:shd w:val="clear" w:color="auto" w:fill="FFFFFF"/>
        <w:spacing w:after="0"/>
        <w:ind w:left="714" w:hanging="357"/>
        <w:contextualSpacing w:val="0"/>
        <w:jc w:val="both"/>
        <w:rPr>
          <w:rFonts w:eastAsia="Times New Roman" w:cstheme="minorHAnsi"/>
          <w:bCs/>
          <w:color w:val="404040" w:themeColor="text1" w:themeTint="BF"/>
          <w:sz w:val="21"/>
          <w:szCs w:val="21"/>
          <w:lang w:eastAsia="en-GB"/>
        </w:rPr>
      </w:pPr>
      <w:r w:rsidRPr="00FC7A0B">
        <w:rPr>
          <w:rFonts w:eastAsia="Times New Roman" w:cstheme="minorHAnsi"/>
          <w:b/>
          <w:i/>
          <w:iCs/>
          <w:color w:val="404040" w:themeColor="text1" w:themeTint="BF"/>
          <w:sz w:val="21"/>
          <w:szCs w:val="21"/>
          <w:lang w:eastAsia="en-GB"/>
        </w:rPr>
        <w:t>Information for part-time positions should be given in full-time equivalents</w:t>
      </w:r>
      <w:r w:rsidRPr="00FC7A0B">
        <w:rPr>
          <w:rFonts w:eastAsia="Times New Roman" w:cstheme="minorHAnsi"/>
          <w:bCs/>
          <w:color w:val="404040" w:themeColor="text1" w:themeTint="BF"/>
          <w:sz w:val="21"/>
          <w:szCs w:val="21"/>
          <w:lang w:eastAsia="en-GB"/>
        </w:rPr>
        <w:t xml:space="preserve"> and should be counted only for permanent posts actually filled. </w:t>
      </w:r>
      <w:r w:rsidRPr="00FC7A0B">
        <w:rPr>
          <w:rFonts w:eastAsia="Times New Roman" w:cstheme="minorHAnsi"/>
          <w:bCs/>
          <w:i/>
          <w:color w:val="404040" w:themeColor="text1" w:themeTint="BF"/>
          <w:sz w:val="21"/>
          <w:szCs w:val="21"/>
          <w:lang w:eastAsia="en-GB"/>
        </w:rPr>
        <w:t>It is important to consider the part-time or full-time status of posts</w:t>
      </w:r>
      <w:r w:rsidRPr="00FC7A0B">
        <w:rPr>
          <w:rFonts w:eastAsia="Times New Roman" w:cstheme="minorHAnsi"/>
          <w:bCs/>
          <w:color w:val="404040" w:themeColor="text1" w:themeTint="BF"/>
          <w:sz w:val="21"/>
          <w:szCs w:val="21"/>
          <w:lang w:eastAsia="en-GB"/>
        </w:rPr>
        <w:t xml:space="preserve"> to address the risk that some target groups may be underemployed and over-reported (e.g., if women are more likely to receive part-time posts than full-time posts, there might be a false impression that women are equally represented in those posts, when in reality they adjudicate a smaller portion of cases than their male counterparts due to their part-time status).  </w:t>
      </w:r>
    </w:p>
    <w:p w14:paraId="455C6EB1" w14:textId="77777777" w:rsidR="0069230D" w:rsidRPr="00FC7A0B" w:rsidRDefault="0069230D" w:rsidP="0069230D">
      <w:pPr>
        <w:shd w:val="clear" w:color="auto" w:fill="FFFFFF"/>
        <w:spacing w:after="0"/>
        <w:jc w:val="both"/>
        <w:rPr>
          <w:rFonts w:eastAsia="Times New Roman" w:cstheme="minorHAnsi"/>
          <w:bCs/>
          <w:color w:val="404040" w:themeColor="text1" w:themeTint="BF"/>
          <w:sz w:val="21"/>
          <w:szCs w:val="21"/>
          <w:lang w:eastAsia="en-GB"/>
        </w:rPr>
      </w:pPr>
    </w:p>
    <w:p w14:paraId="060F461C" w14:textId="77777777" w:rsidR="0069230D" w:rsidRPr="00FC7A0B" w:rsidRDefault="0069230D" w:rsidP="0069230D">
      <w:pPr>
        <w:pStyle w:val="ListParagraph"/>
        <w:numPr>
          <w:ilvl w:val="0"/>
          <w:numId w:val="8"/>
        </w:numPr>
        <w:shd w:val="clear" w:color="auto" w:fill="FFFFFF"/>
        <w:spacing w:after="0"/>
        <w:jc w:val="both"/>
        <w:rPr>
          <w:rFonts w:eastAsia="Times New Roman" w:cs="Times New Roman"/>
          <w:color w:val="404040" w:themeColor="text1" w:themeTint="BF"/>
          <w:sz w:val="21"/>
          <w:szCs w:val="21"/>
          <w:lang w:eastAsia="en-GB"/>
        </w:rPr>
      </w:pPr>
      <w:r w:rsidRPr="00F6373D">
        <w:rPr>
          <w:rFonts w:eastAsia="Times New Roman" w:cs="Times New Roman"/>
          <w:b/>
          <w:bCs/>
          <w:i/>
          <w:color w:val="404040" w:themeColor="text1" w:themeTint="BF"/>
          <w:sz w:val="21"/>
          <w:szCs w:val="21"/>
          <w:lang w:val="en-US" w:eastAsia="en-GB"/>
        </w:rPr>
        <w:t>D</w:t>
      </w:r>
      <w:r w:rsidRPr="00F6373D">
        <w:rPr>
          <w:rFonts w:eastAsia="Times New Roman" w:cs="Times New Roman"/>
          <w:b/>
          <w:bCs/>
          <w:i/>
          <w:color w:val="404040" w:themeColor="text1" w:themeTint="BF"/>
          <w:sz w:val="21"/>
          <w:szCs w:val="21"/>
          <w:lang w:eastAsia="en-GB"/>
        </w:rPr>
        <w:t>isability status:</w:t>
      </w:r>
      <w:r w:rsidRPr="00F6373D">
        <w:rPr>
          <w:rFonts w:eastAsia="Times New Roman" w:cs="Times New Roman"/>
          <w:b/>
          <w:bCs/>
          <w:color w:val="404040" w:themeColor="text1" w:themeTint="BF"/>
          <w:sz w:val="21"/>
          <w:szCs w:val="21"/>
          <w:lang w:eastAsia="en-GB"/>
        </w:rPr>
        <w:t xml:space="preserve"> </w:t>
      </w:r>
      <w:r w:rsidRPr="00F6373D">
        <w:rPr>
          <w:rFonts w:eastAsia="Times New Roman" w:cs="Times New Roman"/>
          <w:color w:val="404040" w:themeColor="text1" w:themeTint="BF"/>
          <w:sz w:val="21"/>
          <w:szCs w:val="21"/>
          <w:lang w:val="en-US" w:eastAsia="en-GB"/>
        </w:rPr>
        <w:t xml:space="preserve">To disaggregate data </w:t>
      </w:r>
      <w:r>
        <w:rPr>
          <w:rFonts w:eastAsia="Times New Roman" w:cs="Times New Roman"/>
          <w:color w:val="404040" w:themeColor="text1" w:themeTint="BF"/>
          <w:sz w:val="21"/>
          <w:szCs w:val="21"/>
          <w:lang w:val="en-US" w:eastAsia="en-GB"/>
        </w:rPr>
        <w:t xml:space="preserve">on judges and registrars </w:t>
      </w:r>
      <w:r w:rsidRPr="00F6373D">
        <w:rPr>
          <w:rFonts w:eastAsia="Times New Roman" w:cs="Times New Roman"/>
          <w:color w:val="404040" w:themeColor="text1" w:themeTint="BF"/>
          <w:sz w:val="21"/>
          <w:szCs w:val="21"/>
          <w:lang w:val="en-US" w:eastAsia="en-GB"/>
        </w:rPr>
        <w:t xml:space="preserve">by disability status, it is recommended that countries use the </w:t>
      </w:r>
      <w:hyperlink r:id="rId11" w:history="1">
        <w:r w:rsidRPr="00F6373D">
          <w:rPr>
            <w:rStyle w:val="Hyperlink"/>
            <w:rFonts w:eastAsia="Times New Roman" w:cs="Times New Roman"/>
            <w:sz w:val="21"/>
            <w:szCs w:val="21"/>
            <w:lang w:val="en-US" w:eastAsia="en-GB"/>
          </w:rPr>
          <w:t>Short Set of Questions on</w:t>
        </w:r>
        <w:r w:rsidRPr="00F6373D">
          <w:rPr>
            <w:rStyle w:val="Hyperlink"/>
            <w:rFonts w:eastAsia="Times New Roman" w:cs="Times New Roman"/>
            <w:b/>
            <w:sz w:val="21"/>
            <w:szCs w:val="21"/>
            <w:lang w:val="en-US" w:eastAsia="en-GB"/>
          </w:rPr>
          <w:t xml:space="preserve"> </w:t>
        </w:r>
        <w:r w:rsidRPr="00F6373D">
          <w:rPr>
            <w:rStyle w:val="Hyperlink"/>
            <w:rFonts w:eastAsia="Times New Roman" w:cs="Times New Roman"/>
            <w:sz w:val="21"/>
            <w:szCs w:val="21"/>
            <w:lang w:val="en-US" w:eastAsia="en-GB"/>
          </w:rPr>
          <w:t>Disability</w:t>
        </w:r>
        <w:r w:rsidRPr="00F6373D">
          <w:rPr>
            <w:rStyle w:val="Hyperlink"/>
            <w:rFonts w:eastAsia="Times New Roman" w:cs="Times New Roman"/>
            <w:b/>
            <w:sz w:val="21"/>
            <w:szCs w:val="21"/>
            <w:lang w:val="en-US" w:eastAsia="en-GB"/>
          </w:rPr>
          <w:t xml:space="preserve"> </w:t>
        </w:r>
        <w:r w:rsidRPr="00F6373D">
          <w:rPr>
            <w:rStyle w:val="Hyperlink"/>
            <w:rFonts w:eastAsia="Times New Roman" w:cs="Times New Roman"/>
            <w:sz w:val="21"/>
            <w:szCs w:val="21"/>
            <w:lang w:val="en-US" w:eastAsia="en-GB"/>
          </w:rPr>
          <w:t>elaborated by the Washington Group</w:t>
        </w:r>
      </w:hyperlink>
      <w:r w:rsidRPr="00F6373D">
        <w:rPr>
          <w:rFonts w:eastAsia="Times New Roman" w:cs="Times New Roman"/>
          <w:color w:val="404040" w:themeColor="text1" w:themeTint="BF"/>
          <w:sz w:val="21"/>
          <w:szCs w:val="21"/>
          <w:u w:val="single"/>
          <w:lang w:val="en-US" w:eastAsia="en-GB"/>
        </w:rPr>
        <w:t>.</w:t>
      </w:r>
      <w:r w:rsidRPr="00026B5A">
        <w:rPr>
          <w:vertAlign w:val="superscript"/>
          <w:lang w:val="en-US" w:eastAsia="en-GB"/>
        </w:rPr>
        <w:footnoteReference w:id="5"/>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1CAE3771" w14:textId="26B5052E" w:rsidR="00576CFA" w:rsidRPr="00A96255" w:rsidRDefault="007B1AAA" w:rsidP="00576CFA">
      <w:pPr>
        <w:pStyle w:val="MText"/>
      </w:pPr>
      <w:r>
        <w:t>Ratio</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6291A7DD" w14:textId="1DD36544" w:rsidR="00576CFA" w:rsidRPr="00A96255" w:rsidRDefault="00722DC6" w:rsidP="00576CFA">
      <w:pPr>
        <w:pStyle w:val="MText"/>
      </w:pPr>
      <w:r>
        <w:t>Not Applicable</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1E661398" w14:textId="77777777" w:rsidR="0069230D" w:rsidRPr="006103EE" w:rsidRDefault="0069230D" w:rsidP="0069230D">
      <w:pPr>
        <w:shd w:val="clear" w:color="auto" w:fill="FFFFFF"/>
        <w:spacing w:after="0"/>
        <w:jc w:val="both"/>
        <w:rPr>
          <w:rFonts w:eastAsia="Times New Roman" w:cs="Times New Roman"/>
          <w:color w:val="404040" w:themeColor="text1" w:themeTint="BF"/>
          <w:sz w:val="21"/>
          <w:szCs w:val="21"/>
          <w:lang w:eastAsia="en-GB"/>
        </w:rPr>
      </w:pPr>
      <w:r w:rsidRPr="00027A11">
        <w:rPr>
          <w:rFonts w:eastAsia="Times New Roman" w:cs="Times New Roman"/>
          <w:color w:val="404040" w:themeColor="text1" w:themeTint="BF"/>
          <w:sz w:val="21"/>
          <w:szCs w:val="21"/>
          <w:lang w:eastAsia="en-GB"/>
        </w:rPr>
        <w:lastRenderedPageBreak/>
        <w:t>Human Resource Management Information System (HRMIS)</w:t>
      </w:r>
      <w:r>
        <w:rPr>
          <w:rFonts w:eastAsia="Times New Roman" w:cs="Times New Roman"/>
          <w:color w:val="404040" w:themeColor="text1" w:themeTint="BF"/>
          <w:sz w:val="21"/>
          <w:szCs w:val="21"/>
          <w:lang w:eastAsia="en-GB"/>
        </w:rPr>
        <w:t xml:space="preserve"> of </w:t>
      </w:r>
      <w:r w:rsidRPr="006103EE">
        <w:rPr>
          <w:rFonts w:eastAsia="Times New Roman" w:cs="Times New Roman"/>
          <w:color w:val="404040" w:themeColor="text1" w:themeTint="BF"/>
          <w:sz w:val="21"/>
          <w:szCs w:val="21"/>
          <w:lang w:eastAsia="en-GB"/>
        </w:rPr>
        <w:t xml:space="preserve">Judicial Service Commissions, Ministries of Justice, or other similar competent bodies with oversight over the judiciary for data collection are most likely to collect data on the staffing of the judiciary. </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6E78CDFE" w14:textId="77777777" w:rsidR="0069230D" w:rsidRDefault="0069230D" w:rsidP="0069230D">
      <w:pPr>
        <w:shd w:val="clear" w:color="auto" w:fill="FFFFFF"/>
        <w:spacing w:after="0"/>
        <w:jc w:val="both"/>
        <w:rPr>
          <w:rFonts w:eastAsia="Times New Roman" w:cs="Times New Roman"/>
          <w:color w:val="404040" w:themeColor="text1" w:themeTint="BF"/>
          <w:sz w:val="21"/>
          <w:szCs w:val="21"/>
          <w:lang w:eastAsia="en-GB"/>
        </w:rPr>
      </w:pPr>
      <w:r w:rsidRPr="00E2147C">
        <w:rPr>
          <w:rFonts w:eastAsia="Times New Roman" w:cs="Times New Roman"/>
          <w:color w:val="404040" w:themeColor="text1" w:themeTint="BF"/>
          <w:sz w:val="21"/>
          <w:szCs w:val="21"/>
          <w:lang w:eastAsia="en-GB"/>
        </w:rPr>
        <w:t xml:space="preserve">NSOs should coordinate with primary data-producing entities </w:t>
      </w:r>
      <w:r w:rsidRPr="006103EE">
        <w:rPr>
          <w:rFonts w:eastAsia="Times New Roman" w:cs="Times New Roman"/>
          <w:color w:val="404040" w:themeColor="text1" w:themeTint="BF"/>
          <w:sz w:val="21"/>
          <w:szCs w:val="21"/>
          <w:lang w:eastAsia="en-GB"/>
        </w:rPr>
        <w:t>to report on this indicator</w:t>
      </w:r>
      <w:r>
        <w:rPr>
          <w:rFonts w:eastAsia="Times New Roman" w:cs="Times New Roman"/>
          <w:color w:val="404040" w:themeColor="text1" w:themeTint="BF"/>
          <w:sz w:val="21"/>
          <w:szCs w:val="21"/>
          <w:lang w:eastAsia="en-GB"/>
        </w:rPr>
        <w:t xml:space="preserve">. </w:t>
      </w:r>
      <w:r w:rsidRPr="006103EE">
        <w:rPr>
          <w:rFonts w:eastAsia="Times New Roman" w:cs="Times New Roman"/>
          <w:color w:val="404040" w:themeColor="text1" w:themeTint="BF"/>
          <w:sz w:val="21"/>
          <w:szCs w:val="21"/>
          <w:lang w:eastAsia="en-GB"/>
        </w:rPr>
        <w:t xml:space="preserve">Data obtained from national judiciaries will be </w:t>
      </w:r>
      <w:r>
        <w:rPr>
          <w:rFonts w:eastAsia="Times New Roman" w:cs="Times New Roman"/>
          <w:color w:val="404040" w:themeColor="text1" w:themeTint="BF"/>
          <w:sz w:val="21"/>
          <w:szCs w:val="21"/>
          <w:lang w:eastAsia="en-GB"/>
        </w:rPr>
        <w:t xml:space="preserve">compiled, </w:t>
      </w:r>
      <w:r w:rsidRPr="006103EE">
        <w:rPr>
          <w:rFonts w:eastAsia="Times New Roman" w:cs="Times New Roman"/>
          <w:color w:val="404040" w:themeColor="text1" w:themeTint="BF"/>
          <w:sz w:val="21"/>
          <w:szCs w:val="21"/>
          <w:lang w:eastAsia="en-GB"/>
        </w:rPr>
        <w:t>reviewed and validated</w:t>
      </w:r>
      <w:r>
        <w:rPr>
          <w:rFonts w:eastAsia="Times New Roman" w:cs="Times New Roman"/>
          <w:color w:val="404040" w:themeColor="text1" w:themeTint="BF"/>
          <w:sz w:val="21"/>
          <w:szCs w:val="21"/>
          <w:lang w:eastAsia="en-GB"/>
        </w:rPr>
        <w:t xml:space="preserve"> by NSOs</w:t>
      </w:r>
      <w:r w:rsidRPr="006103EE">
        <w:rPr>
          <w:rFonts w:eastAsia="Times New Roman" w:cs="Times New Roman"/>
          <w:color w:val="404040" w:themeColor="text1" w:themeTint="BF"/>
          <w:sz w:val="21"/>
          <w:szCs w:val="21"/>
          <w:lang w:eastAsia="en-GB"/>
        </w:rPr>
        <w:t xml:space="preserve">. </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203646EE" w14:textId="77777777" w:rsidR="00A62497" w:rsidRDefault="00A62497" w:rsidP="00A62497">
      <w:pPr>
        <w:pStyle w:val="MText"/>
      </w:pPr>
      <w:r>
        <w:t xml:space="preserve">Data should be reported to the custodian agency (UNDP) at least once every two years, and annually if possible. This will ensure timely capturing of changes in the composition of the judiciary. </w:t>
      </w:r>
    </w:p>
    <w:p w14:paraId="5D4BD573" w14:textId="77777777" w:rsidR="00A62497" w:rsidRDefault="00A62497" w:rsidP="00A62497">
      <w:pPr>
        <w:pStyle w:val="MText"/>
      </w:pPr>
    </w:p>
    <w:p w14:paraId="01BA862E" w14:textId="18E6646E" w:rsidR="00EC2915" w:rsidRDefault="00A62497" w:rsidP="00A62497">
      <w:pPr>
        <w:pStyle w:val="MText"/>
      </w:pPr>
      <w:r>
        <w:t>UNDP will send a data submission request to NSOs in January of every year, requesting data that provides a snapshot of the situation as of 31 December of the preceding year.</w:t>
      </w:r>
    </w:p>
    <w:p w14:paraId="59A7810A" w14:textId="77777777" w:rsidR="00A62497" w:rsidRPr="00A96255" w:rsidRDefault="00A62497" w:rsidP="00A62497">
      <w:pPr>
        <w:pStyle w:val="MText"/>
      </w:pPr>
    </w:p>
    <w:p w14:paraId="7D466604" w14:textId="674844F0" w:rsidR="00E46D96" w:rsidRPr="00F719A8" w:rsidRDefault="00E46D96" w:rsidP="00F719A8">
      <w:pPr>
        <w:pStyle w:val="MHeader2"/>
      </w:pPr>
      <w:r w:rsidRPr="00A96255">
        <w:t>3.d. Data release calendar</w:t>
      </w:r>
    </w:p>
    <w:p w14:paraId="09DDC155" w14:textId="77777777" w:rsidR="00A62497" w:rsidRDefault="00A62497" w:rsidP="00A62497">
      <w:pPr>
        <w:shd w:val="clear" w:color="auto" w:fill="FFFFFF"/>
        <w:spacing w:after="0"/>
        <w:jc w:val="both"/>
        <w:rPr>
          <w:rFonts w:eastAsia="Times New Roman" w:cs="Times New Roman"/>
          <w:color w:val="404040" w:themeColor="text1" w:themeTint="BF"/>
          <w:sz w:val="21"/>
          <w:szCs w:val="21"/>
          <w:lang w:eastAsia="en-GB"/>
        </w:rPr>
      </w:pPr>
      <w:r w:rsidRPr="00147CF8">
        <w:rPr>
          <w:rFonts w:eastAsia="Times New Roman" w:cs="Times New Roman"/>
          <w:color w:val="404040" w:themeColor="text1" w:themeTint="BF"/>
          <w:sz w:val="21"/>
          <w:szCs w:val="21"/>
          <w:lang w:eastAsia="en-GB"/>
        </w:rPr>
        <w:t xml:space="preserve">Data will be reported </w:t>
      </w:r>
      <w:r>
        <w:rPr>
          <w:rFonts w:eastAsia="Times New Roman" w:cs="Times New Roman"/>
          <w:color w:val="404040" w:themeColor="text1" w:themeTint="BF"/>
          <w:sz w:val="21"/>
          <w:szCs w:val="21"/>
          <w:lang w:eastAsia="en-GB"/>
        </w:rPr>
        <w:t xml:space="preserve">by UNDP to </w:t>
      </w:r>
      <w:r w:rsidRPr="00147CF8">
        <w:rPr>
          <w:rFonts w:eastAsia="Times New Roman" w:cs="Times New Roman"/>
          <w:color w:val="404040" w:themeColor="text1" w:themeTint="BF"/>
          <w:sz w:val="21"/>
          <w:szCs w:val="21"/>
          <w:lang w:eastAsia="en-GB"/>
        </w:rPr>
        <w:t xml:space="preserve">the international level in April each year, and will provide a snapshot of the situation as at </w:t>
      </w:r>
      <w:r>
        <w:rPr>
          <w:rFonts w:eastAsia="Times New Roman" w:cs="Times New Roman"/>
          <w:color w:val="404040" w:themeColor="text1" w:themeTint="BF"/>
          <w:sz w:val="21"/>
          <w:szCs w:val="21"/>
          <w:lang w:eastAsia="en-GB"/>
        </w:rPr>
        <w:t>31 December</w:t>
      </w:r>
      <w:r w:rsidRPr="00147CF8">
        <w:rPr>
          <w:rFonts w:eastAsia="Times New Roman" w:cs="Times New Roman"/>
          <w:color w:val="404040" w:themeColor="text1" w:themeTint="BF"/>
          <w:sz w:val="21"/>
          <w:szCs w:val="21"/>
          <w:lang w:eastAsia="en-GB"/>
        </w:rPr>
        <w:t xml:space="preserve"> of </w:t>
      </w:r>
      <w:r>
        <w:rPr>
          <w:rFonts w:eastAsia="Times New Roman" w:cs="Times New Roman"/>
          <w:color w:val="404040" w:themeColor="text1" w:themeTint="BF"/>
          <w:sz w:val="21"/>
          <w:szCs w:val="21"/>
          <w:lang w:eastAsia="en-GB"/>
        </w:rPr>
        <w:t xml:space="preserve">the preceding </w:t>
      </w:r>
      <w:r w:rsidRPr="00147CF8">
        <w:rPr>
          <w:rFonts w:eastAsia="Times New Roman" w:cs="Times New Roman"/>
          <w:color w:val="404040" w:themeColor="text1" w:themeTint="BF"/>
          <w:sz w:val="21"/>
          <w:szCs w:val="21"/>
          <w:lang w:eastAsia="en-GB"/>
        </w:rPr>
        <w:t>year.</w:t>
      </w:r>
    </w:p>
    <w:p w14:paraId="1B4E86B0" w14:textId="77777777" w:rsidR="00A62497" w:rsidRDefault="00A62497" w:rsidP="00A62497">
      <w:pPr>
        <w:shd w:val="clear" w:color="auto" w:fill="FFFFFF"/>
        <w:spacing w:after="0"/>
        <w:jc w:val="both"/>
        <w:rPr>
          <w:rFonts w:eastAsia="Times New Roman" w:cs="Times New Roman"/>
          <w:color w:val="404040" w:themeColor="text1" w:themeTint="BF"/>
          <w:sz w:val="21"/>
          <w:szCs w:val="21"/>
          <w:lang w:eastAsia="en-GB"/>
        </w:rPr>
      </w:pPr>
    </w:p>
    <w:p w14:paraId="2E91D93E" w14:textId="77777777" w:rsidR="00A62497" w:rsidRPr="00147CF8" w:rsidRDefault="00A62497" w:rsidP="00A62497">
      <w:pPr>
        <w:shd w:val="clear" w:color="auto" w:fill="FFFFFF"/>
        <w:spacing w:after="0"/>
        <w:jc w:val="both"/>
        <w:rPr>
          <w:rFonts w:eastAsia="Times New Roman" w:cs="Times New Roman"/>
          <w:color w:val="404040" w:themeColor="text1" w:themeTint="BF"/>
          <w:sz w:val="21"/>
          <w:szCs w:val="21"/>
          <w:lang w:eastAsia="en-GB"/>
        </w:rPr>
      </w:pPr>
      <w:r w:rsidRPr="00A62C75">
        <w:rPr>
          <w:rFonts w:eastAsia="Times New Roman" w:cs="Times New Roman"/>
          <w:color w:val="404040" w:themeColor="text1" w:themeTint="BF"/>
          <w:sz w:val="21"/>
          <w:szCs w:val="21"/>
          <w:lang w:eastAsia="en-GB"/>
        </w:rPr>
        <w:t xml:space="preserve">The first full release of data for the indicator will take place in April 2020, on the basis of data as at </w:t>
      </w:r>
      <w:r>
        <w:rPr>
          <w:rFonts w:eastAsia="Times New Roman" w:cs="Times New Roman"/>
          <w:color w:val="404040" w:themeColor="text1" w:themeTint="BF"/>
          <w:sz w:val="21"/>
          <w:szCs w:val="21"/>
          <w:lang w:eastAsia="en-GB"/>
        </w:rPr>
        <w:t>31</w:t>
      </w:r>
      <w:r w:rsidRPr="00A62C75">
        <w:rPr>
          <w:rFonts w:eastAsia="Times New Roman" w:cs="Times New Roman"/>
          <w:color w:val="404040" w:themeColor="text1" w:themeTint="BF"/>
          <w:sz w:val="21"/>
          <w:szCs w:val="21"/>
          <w:lang w:eastAsia="en-GB"/>
        </w:rPr>
        <w:t xml:space="preserve"> </w:t>
      </w:r>
      <w:r>
        <w:rPr>
          <w:rFonts w:eastAsia="Times New Roman" w:cs="Times New Roman"/>
          <w:color w:val="404040" w:themeColor="text1" w:themeTint="BF"/>
          <w:sz w:val="21"/>
          <w:szCs w:val="21"/>
          <w:lang w:eastAsia="en-GB"/>
        </w:rPr>
        <w:t>December</w:t>
      </w:r>
      <w:r w:rsidRPr="00A62C75">
        <w:rPr>
          <w:rFonts w:eastAsia="Times New Roman" w:cs="Times New Roman"/>
          <w:color w:val="404040" w:themeColor="text1" w:themeTint="BF"/>
          <w:sz w:val="21"/>
          <w:szCs w:val="21"/>
          <w:lang w:eastAsia="en-GB"/>
        </w:rPr>
        <w:t xml:space="preserve"> 20</w:t>
      </w:r>
      <w:r>
        <w:rPr>
          <w:rFonts w:eastAsia="Times New Roman" w:cs="Times New Roman"/>
          <w:color w:val="404040" w:themeColor="text1" w:themeTint="BF"/>
          <w:sz w:val="21"/>
          <w:szCs w:val="21"/>
          <w:lang w:eastAsia="en-GB"/>
        </w:rPr>
        <w:t>19</w:t>
      </w:r>
      <w:r w:rsidRPr="00A62C75">
        <w:rPr>
          <w:rFonts w:eastAsia="Times New Roman" w:cs="Times New Roman"/>
          <w:color w:val="404040" w:themeColor="text1" w:themeTint="BF"/>
          <w:sz w:val="21"/>
          <w:szCs w:val="21"/>
          <w:lang w:eastAsia="en-GB"/>
        </w:rPr>
        <w:t>.</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58306394" w14:textId="77777777" w:rsidR="00A62497" w:rsidRPr="00A26EF2" w:rsidRDefault="00A62497" w:rsidP="00A62497">
      <w:pPr>
        <w:shd w:val="clear" w:color="auto" w:fill="FFFFFF"/>
        <w:spacing w:after="0"/>
        <w:jc w:val="both"/>
        <w:rPr>
          <w:rFonts w:eastAsia="Times New Roman" w:cs="Times New Roman"/>
          <w:color w:val="404040" w:themeColor="text1" w:themeTint="BF"/>
          <w:sz w:val="21"/>
          <w:szCs w:val="21"/>
          <w:lang w:eastAsia="en-GB"/>
        </w:rPr>
      </w:pPr>
      <w:r w:rsidRPr="00DE439E">
        <w:rPr>
          <w:rFonts w:eastAsia="Times New Roman" w:cs="Times New Roman"/>
          <w:color w:val="404040" w:themeColor="text1" w:themeTint="BF"/>
          <w:sz w:val="21"/>
          <w:szCs w:val="21"/>
          <w:lang w:eastAsia="en-GB"/>
        </w:rPr>
        <w:t xml:space="preserve">National Statistical Offices with relevant primary data-producing entities </w:t>
      </w:r>
      <w:r>
        <w:rPr>
          <w:rFonts w:eastAsia="Times New Roman" w:cs="Times New Roman"/>
          <w:color w:val="404040" w:themeColor="text1" w:themeTint="BF"/>
          <w:sz w:val="21"/>
          <w:szCs w:val="21"/>
          <w:lang w:eastAsia="en-GB"/>
        </w:rPr>
        <w:t>(</w:t>
      </w:r>
      <w:r w:rsidRPr="00A26EF2">
        <w:rPr>
          <w:rFonts w:eastAsia="Times New Roman" w:cs="Times New Roman"/>
          <w:color w:val="404040" w:themeColor="text1" w:themeTint="BF"/>
          <w:sz w:val="21"/>
          <w:szCs w:val="21"/>
          <w:lang w:eastAsia="en-GB"/>
        </w:rPr>
        <w:t xml:space="preserve">Judicial Services Commissions </w:t>
      </w:r>
      <w:r>
        <w:rPr>
          <w:rFonts w:eastAsia="Times New Roman" w:cs="Times New Roman"/>
          <w:color w:val="404040" w:themeColor="text1" w:themeTint="BF"/>
          <w:sz w:val="21"/>
          <w:szCs w:val="21"/>
          <w:lang w:eastAsia="en-GB"/>
        </w:rPr>
        <w:t xml:space="preserve">- </w:t>
      </w:r>
      <w:r w:rsidRPr="00A26EF2">
        <w:rPr>
          <w:rFonts w:eastAsia="Times New Roman" w:cs="Times New Roman"/>
          <w:color w:val="404040" w:themeColor="text1" w:themeTint="BF"/>
          <w:sz w:val="21"/>
          <w:szCs w:val="21"/>
          <w:lang w:eastAsia="en-GB"/>
        </w:rPr>
        <w:t>also referred to as Councils of Justice, Councils of the Judiciary, Judicial Offices, Federal Judicial Centres, Ministries of Justice, or other similar competent bodies managing human resources for the judiciary, handling the appointment of judges and registrars, or otherwise having some oversight role over the judiciary</w:t>
      </w:r>
      <w:r>
        <w:rPr>
          <w:rFonts w:eastAsia="Times New Roman" w:cs="Times New Roman"/>
          <w:color w:val="404040" w:themeColor="text1" w:themeTint="BF"/>
          <w:sz w:val="21"/>
          <w:szCs w:val="21"/>
          <w:lang w:eastAsia="en-GB"/>
        </w:rPr>
        <w:t>)</w:t>
      </w:r>
      <w:r w:rsidRPr="00A26EF2">
        <w:rPr>
          <w:rFonts w:eastAsia="Times New Roman" w:cs="Times New Roman"/>
          <w:color w:val="404040" w:themeColor="text1" w:themeTint="BF"/>
          <w:sz w:val="21"/>
          <w:szCs w:val="21"/>
          <w:lang w:eastAsia="en-GB"/>
        </w:rPr>
        <w:t xml:space="preserve">. </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3.f. Data compilers</w:t>
      </w:r>
    </w:p>
    <w:p w14:paraId="5C43435B" w14:textId="6FCE632F" w:rsidR="00EC2915" w:rsidRDefault="00A62497" w:rsidP="00576CFA">
      <w:pPr>
        <w:pStyle w:val="MText"/>
        <w:rPr>
          <w:color w:val="404040" w:themeColor="text1" w:themeTint="BF"/>
        </w:rPr>
      </w:pPr>
      <w:r w:rsidRPr="00AA6F89">
        <w:rPr>
          <w:color w:val="404040" w:themeColor="text1" w:themeTint="BF"/>
        </w:rPr>
        <w:t>UNDP</w:t>
      </w:r>
    </w:p>
    <w:p w14:paraId="5BBFFA42" w14:textId="77777777" w:rsidR="00A62497" w:rsidRPr="00A96255" w:rsidRDefault="00A62497" w:rsidP="00576CFA">
      <w:pPr>
        <w:pStyle w:val="MText"/>
      </w:pPr>
    </w:p>
    <w:p w14:paraId="5655E768" w14:textId="5429F32E" w:rsidR="00E46D96" w:rsidRPr="00A96255" w:rsidRDefault="00E46D96" w:rsidP="00F719A8">
      <w:pPr>
        <w:pStyle w:val="MHeader2"/>
      </w:pPr>
      <w:r w:rsidRPr="00A96255">
        <w:t>3.g. Institutional mandate</w:t>
      </w:r>
    </w:p>
    <w:p w14:paraId="4B12206B" w14:textId="6272CD14" w:rsidR="00440C74" w:rsidRDefault="00590FD3" w:rsidP="00440C74">
      <w:pPr>
        <w:pStyle w:val="MText"/>
      </w:pPr>
      <w:r>
        <w:t xml:space="preserve">UNDP promotes representative and participatory decision making in the judiciary, as one of its </w:t>
      </w:r>
      <w:r w:rsidR="00440C74">
        <w:t>key engagement in s</w:t>
      </w:r>
      <w:r w:rsidR="00722DC6" w:rsidRPr="00722DC6">
        <w:t>trengthening the rule of law</w:t>
      </w:r>
      <w:r w:rsidR="00440C74">
        <w:t>. UNDP engagement also includes s</w:t>
      </w:r>
      <w:r w:rsidR="00440C74" w:rsidRPr="00440C74">
        <w:t>upporting the advancement of women’s equal participation and decision-making in political processes and institutions</w:t>
      </w:r>
      <w:r w:rsidR="00440C74">
        <w:t xml:space="preserve">, </w:t>
      </w:r>
      <w:r w:rsidR="00440C74" w:rsidRPr="00440C74">
        <w:t>promot</w:t>
      </w:r>
      <w:r w:rsidR="00440C74">
        <w:t>ing</w:t>
      </w:r>
      <w:r w:rsidR="00440C74" w:rsidRPr="00440C74">
        <w:t xml:space="preserve"> youth-focused and youth-led development</w:t>
      </w:r>
      <w:r w:rsidR="00440C74">
        <w:t xml:space="preserve">, advance the rights of persons with disabilities, reduction of inequalities and exclusion of indigenous peoples. </w:t>
      </w:r>
      <w:r>
        <w:t>UNDP Oslo Governance Centre was mandated to support countries to monitor progress on SDG16 and to produce governance statistics which includes the representation and participation in the judiciary.</w:t>
      </w:r>
    </w:p>
    <w:p w14:paraId="73ADF386" w14:textId="77777777" w:rsidR="00440C74" w:rsidRDefault="00440C74" w:rsidP="00440C74">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lastRenderedPageBreak/>
        <w:t>4. Other methodological considerations</w:t>
      </w:r>
    </w:p>
    <w:p w14:paraId="1AFA5517" w14:textId="54FD9B10" w:rsidR="00AF5ED1" w:rsidRPr="00A96255" w:rsidRDefault="00576CFA" w:rsidP="00F719A8">
      <w:pPr>
        <w:pStyle w:val="MHeader2"/>
      </w:pPr>
      <w:r w:rsidRPr="00A96255">
        <w:t>4.a. Rationale</w:t>
      </w:r>
    </w:p>
    <w:p w14:paraId="40618D68" w14:textId="77777777" w:rsidR="0081040E" w:rsidRDefault="0081040E" w:rsidP="0081040E">
      <w:pPr>
        <w:shd w:val="clear" w:color="auto" w:fill="FFFFFF"/>
        <w:spacing w:after="0"/>
        <w:jc w:val="both"/>
        <w:rPr>
          <w:rFonts w:eastAsia="Times New Roman" w:cs="Times New Roman"/>
          <w:color w:val="404040" w:themeColor="text1" w:themeTint="BF"/>
          <w:sz w:val="21"/>
          <w:szCs w:val="21"/>
          <w:lang w:eastAsia="en-GB"/>
        </w:rPr>
      </w:pPr>
      <w:r w:rsidRPr="00DA4A31">
        <w:rPr>
          <w:rFonts w:eastAsia="Times New Roman" w:cs="Times New Roman"/>
          <w:color w:val="404040" w:themeColor="text1" w:themeTint="BF"/>
          <w:sz w:val="21"/>
          <w:szCs w:val="21"/>
          <w:lang w:eastAsia="en-GB"/>
        </w:rPr>
        <w:t>In order for decision-making by the judiciary to be responsive, inclusive, participatory, and representative at all levels, as called for by target 16.7, it is important to ensure diversity in key positions in national- and local-level courts. Diversity in judicial positions renders decision-making by the judiciary more legitimate</w:t>
      </w:r>
      <w:r>
        <w:rPr>
          <w:rFonts w:eastAsia="Times New Roman" w:cs="Times New Roman"/>
          <w:color w:val="404040" w:themeColor="text1" w:themeTint="BF"/>
          <w:sz w:val="21"/>
          <w:szCs w:val="21"/>
          <w:lang w:eastAsia="en-GB"/>
        </w:rPr>
        <w:t xml:space="preserve"> in the eyes of citizens</w:t>
      </w:r>
      <w:r w:rsidRPr="00DA4A31">
        <w:rPr>
          <w:rFonts w:eastAsia="Times New Roman" w:cs="Times New Roman"/>
          <w:color w:val="404040" w:themeColor="text1" w:themeTint="BF"/>
          <w:sz w:val="21"/>
          <w:szCs w:val="21"/>
          <w:lang w:eastAsia="en-GB"/>
        </w:rPr>
        <w:t xml:space="preserve"> and more responsive to the concerns of the whole population.</w:t>
      </w:r>
      <w:r w:rsidRPr="00DA4A31">
        <w:rPr>
          <w:rStyle w:val="FootnoteReference"/>
          <w:rFonts w:eastAsia="Times New Roman" w:cs="Times New Roman"/>
          <w:color w:val="404040" w:themeColor="text1" w:themeTint="BF"/>
          <w:sz w:val="21"/>
          <w:szCs w:val="21"/>
          <w:lang w:eastAsia="en-GB"/>
        </w:rPr>
        <w:footnoteReference w:id="6"/>
      </w:r>
      <w:r w:rsidRPr="00DA4A31">
        <w:rPr>
          <w:rFonts w:eastAsia="Times New Roman" w:cs="Times New Roman"/>
          <w:color w:val="404040" w:themeColor="text1" w:themeTint="BF"/>
          <w:sz w:val="21"/>
          <w:szCs w:val="21"/>
          <w:lang w:eastAsia="en-GB"/>
        </w:rPr>
        <w:t xml:space="preserve"> </w:t>
      </w:r>
    </w:p>
    <w:p w14:paraId="797A93F0" w14:textId="77777777" w:rsidR="0081040E" w:rsidRDefault="0081040E" w:rsidP="0081040E">
      <w:pPr>
        <w:shd w:val="clear" w:color="auto" w:fill="FFFFFF"/>
        <w:spacing w:after="0"/>
        <w:jc w:val="both"/>
        <w:rPr>
          <w:rFonts w:eastAsia="Times New Roman" w:cs="Times New Roman"/>
          <w:color w:val="404040" w:themeColor="text1" w:themeTint="BF"/>
          <w:sz w:val="21"/>
          <w:szCs w:val="21"/>
          <w:lang w:eastAsia="en-GB"/>
        </w:rPr>
      </w:pPr>
    </w:p>
    <w:p w14:paraId="6E8A5120" w14:textId="77777777" w:rsidR="0081040E" w:rsidRPr="0042671F" w:rsidRDefault="0081040E" w:rsidP="0081040E">
      <w:pPr>
        <w:pStyle w:val="Default"/>
        <w:spacing w:line="276" w:lineRule="auto"/>
        <w:jc w:val="both"/>
        <w:rPr>
          <w:rFonts w:cstheme="minorHAnsi"/>
          <w:color w:val="404040" w:themeColor="text1" w:themeTint="BF"/>
          <w:sz w:val="21"/>
          <w:szCs w:val="21"/>
        </w:rPr>
      </w:pPr>
      <w:r>
        <w:rPr>
          <w:rFonts w:asciiTheme="minorHAnsi" w:hAnsiTheme="minorHAnsi" w:cstheme="minorHAnsi"/>
          <w:color w:val="404040" w:themeColor="text1" w:themeTint="BF"/>
          <w:sz w:val="21"/>
          <w:szCs w:val="21"/>
          <w:lang w:val="en-GB"/>
        </w:rPr>
        <w:t xml:space="preserve">Furthermore, it has been shown that </w:t>
      </w:r>
      <w:r w:rsidRPr="00A97C62">
        <w:rPr>
          <w:rFonts w:asciiTheme="minorHAnsi" w:hAnsiTheme="minorHAnsi" w:cstheme="minorHAnsi"/>
          <w:color w:val="404040" w:themeColor="text1" w:themeTint="BF"/>
          <w:sz w:val="21"/>
          <w:szCs w:val="21"/>
          <w:lang w:val="en-GB"/>
        </w:rPr>
        <w:t>judicial diversity in terms of ethnicity, race</w:t>
      </w:r>
      <w:r>
        <w:rPr>
          <w:rFonts w:asciiTheme="minorHAnsi" w:hAnsiTheme="minorHAnsi" w:cstheme="minorHAnsi"/>
          <w:color w:val="404040" w:themeColor="text1" w:themeTint="BF"/>
          <w:sz w:val="21"/>
          <w:szCs w:val="21"/>
          <w:lang w:val="en-GB"/>
        </w:rPr>
        <w:t>,</w:t>
      </w:r>
      <w:r w:rsidRPr="00A97C62">
        <w:rPr>
          <w:rFonts w:asciiTheme="minorHAnsi" w:hAnsiTheme="minorHAnsi" w:cstheme="minorHAnsi"/>
          <w:color w:val="404040" w:themeColor="text1" w:themeTint="BF"/>
          <w:sz w:val="21"/>
          <w:szCs w:val="21"/>
          <w:lang w:val="en-GB"/>
        </w:rPr>
        <w:t xml:space="preserve"> and economic class, in addition to gender</w:t>
      </w:r>
      <w:r>
        <w:rPr>
          <w:rFonts w:asciiTheme="minorHAnsi" w:hAnsiTheme="minorHAnsi" w:cstheme="minorHAnsi"/>
          <w:color w:val="404040" w:themeColor="text1" w:themeTint="BF"/>
          <w:sz w:val="21"/>
          <w:szCs w:val="21"/>
          <w:lang w:val="en-GB"/>
        </w:rPr>
        <w:t>,</w:t>
      </w:r>
      <w:r w:rsidRPr="00A97C62">
        <w:rPr>
          <w:rFonts w:asciiTheme="minorHAnsi" w:hAnsiTheme="minorHAnsi" w:cstheme="minorHAnsi"/>
          <w:color w:val="404040" w:themeColor="text1" w:themeTint="BF"/>
          <w:sz w:val="21"/>
          <w:szCs w:val="21"/>
          <w:lang w:val="en-GB"/>
        </w:rPr>
        <w:t xml:space="preserve"> help</w:t>
      </w:r>
      <w:r>
        <w:rPr>
          <w:rFonts w:asciiTheme="minorHAnsi" w:hAnsiTheme="minorHAnsi" w:cstheme="minorHAnsi"/>
          <w:color w:val="404040" w:themeColor="text1" w:themeTint="BF"/>
          <w:sz w:val="21"/>
          <w:szCs w:val="21"/>
          <w:lang w:val="en-GB"/>
        </w:rPr>
        <w:t>s</w:t>
      </w:r>
      <w:r w:rsidRPr="00A97C62">
        <w:rPr>
          <w:rFonts w:asciiTheme="minorHAnsi" w:hAnsiTheme="minorHAnsi" w:cstheme="minorHAnsi"/>
          <w:color w:val="404040" w:themeColor="text1" w:themeTint="BF"/>
          <w:sz w:val="21"/>
          <w:szCs w:val="21"/>
          <w:lang w:val="en-GB"/>
        </w:rPr>
        <w:t xml:space="preserve"> address public image issues and trust deficits that hamper the efficiency and efficacy of judiciaries, particularly in conflict-affected environments.</w:t>
      </w:r>
      <w:r>
        <w:rPr>
          <w:rStyle w:val="FootnoteReference"/>
          <w:rFonts w:asciiTheme="minorHAnsi" w:hAnsiTheme="minorHAnsi" w:cstheme="minorHAnsi"/>
          <w:color w:val="404040" w:themeColor="text1" w:themeTint="BF"/>
          <w:sz w:val="21"/>
          <w:szCs w:val="21"/>
          <w:lang w:val="en-GB"/>
        </w:rPr>
        <w:footnoteReference w:id="7"/>
      </w:r>
      <w:r w:rsidRPr="00A97C62">
        <w:rPr>
          <w:rFonts w:asciiTheme="minorHAnsi" w:hAnsiTheme="minorHAnsi" w:cstheme="minorHAnsi"/>
          <w:color w:val="404040" w:themeColor="text1" w:themeTint="BF"/>
          <w:sz w:val="21"/>
          <w:szCs w:val="21"/>
          <w:lang w:val="en-GB"/>
        </w:rPr>
        <w:t xml:space="preserve"> Where judiciaries are perceived to be representative of certain groups to the exclusion of other groups, individuals from excluded groups may be less willing to turn to courts to access justice, </w:t>
      </w:r>
      <w:r>
        <w:rPr>
          <w:rFonts w:asciiTheme="minorHAnsi" w:hAnsiTheme="minorHAnsi" w:cstheme="minorHAnsi"/>
          <w:color w:val="404040" w:themeColor="text1" w:themeTint="BF"/>
          <w:sz w:val="21"/>
          <w:szCs w:val="21"/>
          <w:lang w:val="en-GB"/>
        </w:rPr>
        <w:t xml:space="preserve">thus </w:t>
      </w:r>
      <w:r w:rsidRPr="00A97C62">
        <w:rPr>
          <w:rFonts w:asciiTheme="minorHAnsi" w:hAnsiTheme="minorHAnsi" w:cstheme="minorHAnsi"/>
          <w:color w:val="404040" w:themeColor="text1" w:themeTint="BF"/>
          <w:sz w:val="21"/>
          <w:szCs w:val="21"/>
          <w:lang w:val="en-GB"/>
        </w:rPr>
        <w:t xml:space="preserve">undermining the justice system. </w:t>
      </w:r>
      <w:r w:rsidRPr="00A97C62" w:rsidDel="000114DC">
        <w:rPr>
          <w:rFonts w:asciiTheme="minorHAnsi" w:hAnsiTheme="minorHAnsi" w:cstheme="minorHAnsi"/>
          <w:color w:val="404040" w:themeColor="text1" w:themeTint="BF"/>
          <w:sz w:val="21"/>
          <w:szCs w:val="21"/>
          <w:lang w:val="en-GB"/>
        </w:rPr>
        <w:t xml:space="preserve"> </w:t>
      </w:r>
    </w:p>
    <w:p w14:paraId="4B572B0A" w14:textId="77777777" w:rsidR="0081040E" w:rsidRPr="00DA4A31" w:rsidRDefault="0081040E" w:rsidP="0081040E">
      <w:pPr>
        <w:shd w:val="clear" w:color="auto" w:fill="FFFFFF"/>
        <w:spacing w:after="0"/>
        <w:jc w:val="both"/>
        <w:rPr>
          <w:rFonts w:eastAsia="Times New Roman" w:cs="Times New Roman"/>
          <w:color w:val="404040" w:themeColor="text1" w:themeTint="BF"/>
          <w:sz w:val="21"/>
          <w:szCs w:val="21"/>
          <w:lang w:eastAsia="en-GB"/>
        </w:rPr>
      </w:pPr>
    </w:p>
    <w:p w14:paraId="6A1B068E" w14:textId="77777777" w:rsidR="0081040E" w:rsidRPr="00DA4A31" w:rsidRDefault="0081040E" w:rsidP="0081040E">
      <w:pPr>
        <w:shd w:val="clear" w:color="auto" w:fill="FFFFFF"/>
        <w:spacing w:after="0"/>
        <w:jc w:val="both"/>
        <w:rPr>
          <w:rFonts w:eastAsia="Times New Roman" w:cs="Times New Roman"/>
          <w:color w:val="404040" w:themeColor="text1" w:themeTint="BF"/>
          <w:sz w:val="21"/>
          <w:szCs w:val="21"/>
          <w:lang w:eastAsia="en-GB"/>
        </w:rPr>
      </w:pPr>
      <w:r w:rsidRPr="00DA4A31">
        <w:rPr>
          <w:rFonts w:eastAsia="Times New Roman" w:cs="Times New Roman"/>
          <w:color w:val="404040" w:themeColor="text1" w:themeTint="BF"/>
          <w:sz w:val="21"/>
          <w:szCs w:val="21"/>
          <w:lang w:eastAsia="en-GB"/>
        </w:rPr>
        <w:t xml:space="preserve">In cases where a group is </w:t>
      </w:r>
      <w:r>
        <w:rPr>
          <w:rFonts w:eastAsia="Times New Roman" w:cs="Times New Roman"/>
          <w:color w:val="404040" w:themeColor="text1" w:themeTint="BF"/>
          <w:sz w:val="21"/>
          <w:szCs w:val="21"/>
          <w:lang w:eastAsia="en-GB"/>
        </w:rPr>
        <w:t>significantly</w:t>
      </w:r>
      <w:r w:rsidRPr="00DA4A31">
        <w:rPr>
          <w:rFonts w:eastAsia="Times New Roman" w:cs="Times New Roman"/>
          <w:color w:val="404040" w:themeColor="text1" w:themeTint="BF"/>
          <w:sz w:val="21"/>
          <w:szCs w:val="21"/>
          <w:lang w:eastAsia="en-GB"/>
        </w:rPr>
        <w:t xml:space="preserve"> under-represented or has experienced historical discrimination, temporary special measures including minimum quotas on representation may be introduced to redress such discrimination.</w:t>
      </w:r>
      <w:r>
        <w:rPr>
          <w:rStyle w:val="FootnoteReference"/>
          <w:rFonts w:eastAsia="Times New Roman" w:cs="Times New Roman"/>
          <w:color w:val="404040" w:themeColor="text1" w:themeTint="BF"/>
          <w:sz w:val="21"/>
          <w:szCs w:val="21"/>
          <w:lang w:eastAsia="en-GB"/>
        </w:rPr>
        <w:footnoteReference w:id="8"/>
      </w:r>
      <w:r w:rsidRPr="00DA4A31">
        <w:rPr>
          <w:rFonts w:eastAsia="Times New Roman" w:cs="Times New Roman"/>
          <w:color w:val="404040" w:themeColor="text1" w:themeTint="BF"/>
          <w:sz w:val="21"/>
          <w:szCs w:val="21"/>
          <w:lang w:eastAsia="en-GB"/>
        </w:rPr>
        <w:t xml:space="preserve"> </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3F78EF2B" w14:textId="77777777" w:rsidR="0069230D" w:rsidRPr="00FC7A0B" w:rsidRDefault="0069230D" w:rsidP="0069230D">
      <w:pPr>
        <w:pStyle w:val="ListParagraph"/>
        <w:numPr>
          <w:ilvl w:val="0"/>
          <w:numId w:val="8"/>
        </w:numPr>
        <w:shd w:val="clear" w:color="auto" w:fill="FFFFFF"/>
        <w:spacing w:after="0"/>
        <w:jc w:val="both"/>
        <w:rPr>
          <w:rFonts w:eastAsia="Times New Roman" w:cs="Times New Roman"/>
          <w:color w:val="404040" w:themeColor="text1" w:themeTint="BF"/>
          <w:sz w:val="21"/>
          <w:szCs w:val="21"/>
          <w:lang w:eastAsia="en-GB"/>
        </w:rPr>
      </w:pPr>
      <w:r w:rsidRPr="00FC7A0B">
        <w:rPr>
          <w:rFonts w:eastAsia="Times New Roman" w:cs="Times New Roman"/>
          <w:b/>
          <w:bCs/>
          <w:i/>
          <w:iCs/>
          <w:color w:val="404040" w:themeColor="text1" w:themeTint="BF"/>
          <w:sz w:val="21"/>
          <w:szCs w:val="21"/>
          <w:lang w:eastAsia="en-GB"/>
        </w:rPr>
        <w:t>Tokenism:</w:t>
      </w:r>
      <w:r>
        <w:rPr>
          <w:rFonts w:eastAsia="Times New Roman" w:cs="Times New Roman"/>
          <w:color w:val="404040" w:themeColor="text1" w:themeTint="BF"/>
          <w:sz w:val="21"/>
          <w:szCs w:val="21"/>
          <w:lang w:eastAsia="en-GB"/>
        </w:rPr>
        <w:t xml:space="preserve"> </w:t>
      </w:r>
      <w:r w:rsidRPr="00FC7A0B">
        <w:rPr>
          <w:rFonts w:eastAsia="Times New Roman" w:cs="Times New Roman"/>
          <w:color w:val="404040" w:themeColor="text1" w:themeTint="BF"/>
          <w:sz w:val="21"/>
          <w:szCs w:val="21"/>
          <w:lang w:eastAsia="en-GB"/>
        </w:rPr>
        <w:t>While the indicator provides a good measure of progress in overcoming historical or ongoing discrimination, it cannot detect tokenism where official job titles mask a lack of influence in practice or other forms of discrimination within the judiciary that may affect the ability of certain judges or registrars to participate in decision-making. For example, women in the judiciary may face institutional, cultural, or other constraints that restrict them from exercising their decision-making power.</w:t>
      </w:r>
      <w:r>
        <w:rPr>
          <w:rStyle w:val="FootnoteReference"/>
          <w:rFonts w:eastAsia="Times New Roman" w:cs="Times New Roman"/>
          <w:color w:val="404040" w:themeColor="text1" w:themeTint="BF"/>
          <w:sz w:val="21"/>
          <w:szCs w:val="21"/>
          <w:lang w:eastAsia="en-GB"/>
        </w:rPr>
        <w:footnoteReference w:id="9"/>
      </w:r>
      <w:r w:rsidRPr="00FC7A0B">
        <w:rPr>
          <w:rFonts w:eastAsia="Times New Roman" w:cs="Times New Roman"/>
          <w:color w:val="404040" w:themeColor="text1" w:themeTint="BF"/>
          <w:sz w:val="21"/>
          <w:szCs w:val="21"/>
          <w:lang w:eastAsia="en-GB"/>
        </w:rPr>
        <w:t xml:space="preserve"> IDLO’s Women Delivering Justice Report (2018) notes that stereotypes in certain </w:t>
      </w:r>
      <w:r w:rsidRPr="00FC7A0B">
        <w:rPr>
          <w:rFonts w:eastAsia="Times New Roman" w:cs="Times New Roman"/>
          <w:color w:val="404040" w:themeColor="text1" w:themeTint="BF"/>
          <w:sz w:val="21"/>
          <w:szCs w:val="21"/>
          <w:lang w:eastAsia="en-GB"/>
        </w:rPr>
        <w:lastRenderedPageBreak/>
        <w:t>jurisdictions might dictate that women can rule on family court cases, but that they are not suited to decide criminal cases because of the perceived danger of such roles.</w:t>
      </w:r>
      <w:r>
        <w:rPr>
          <w:rStyle w:val="FootnoteReference"/>
          <w:rFonts w:eastAsia="Times New Roman" w:cs="Times New Roman"/>
          <w:color w:val="404040" w:themeColor="text1" w:themeTint="BF"/>
          <w:sz w:val="21"/>
          <w:szCs w:val="21"/>
          <w:lang w:eastAsia="en-GB"/>
        </w:rPr>
        <w:footnoteReference w:id="10"/>
      </w:r>
      <w:r w:rsidRPr="00FC7A0B">
        <w:rPr>
          <w:rFonts w:eastAsia="Times New Roman" w:cs="Times New Roman"/>
          <w:color w:val="404040" w:themeColor="text1" w:themeTint="BF"/>
          <w:sz w:val="21"/>
          <w:szCs w:val="21"/>
          <w:lang w:eastAsia="en-GB"/>
        </w:rPr>
        <w:t xml:space="preserve"> </w:t>
      </w:r>
    </w:p>
    <w:p w14:paraId="1D7C1B2A" w14:textId="77777777" w:rsidR="0069230D" w:rsidRDefault="0069230D" w:rsidP="0069230D">
      <w:pPr>
        <w:shd w:val="clear" w:color="auto" w:fill="FFFFFF"/>
        <w:spacing w:after="0"/>
        <w:jc w:val="both"/>
        <w:rPr>
          <w:rFonts w:eastAsia="Times New Roman" w:cs="Times New Roman"/>
          <w:color w:val="404040" w:themeColor="text1" w:themeTint="BF"/>
          <w:sz w:val="21"/>
          <w:szCs w:val="21"/>
          <w:lang w:eastAsia="en-GB"/>
        </w:rPr>
      </w:pPr>
    </w:p>
    <w:p w14:paraId="3D2AEC3B" w14:textId="77777777" w:rsidR="0069230D" w:rsidRDefault="0069230D" w:rsidP="0069230D">
      <w:pPr>
        <w:pStyle w:val="ListParagraph"/>
        <w:numPr>
          <w:ilvl w:val="0"/>
          <w:numId w:val="8"/>
        </w:numPr>
        <w:shd w:val="clear" w:color="auto" w:fill="FFFFFF"/>
        <w:spacing w:after="0"/>
        <w:jc w:val="both"/>
        <w:rPr>
          <w:rFonts w:eastAsia="Times New Roman" w:cstheme="minorHAnsi"/>
          <w:color w:val="404040" w:themeColor="text1" w:themeTint="BF"/>
          <w:sz w:val="21"/>
          <w:szCs w:val="21"/>
          <w:lang w:eastAsia="en-GB"/>
        </w:rPr>
      </w:pPr>
      <w:r w:rsidRPr="00DD3ECC">
        <w:rPr>
          <w:rFonts w:eastAsia="Times New Roman" w:cstheme="minorHAnsi"/>
          <w:b/>
          <w:i/>
          <w:iCs/>
          <w:color w:val="404040" w:themeColor="text1" w:themeTint="BF"/>
          <w:sz w:val="21"/>
          <w:szCs w:val="21"/>
          <w:lang w:eastAsia="en-GB"/>
        </w:rPr>
        <w:t xml:space="preserve">Rationale for computing ratios rather than proportions: </w:t>
      </w:r>
      <w:r w:rsidRPr="00DD3ECC">
        <w:rPr>
          <w:rFonts w:eastAsia="Times New Roman" w:cstheme="minorHAnsi"/>
          <w:bCs/>
          <w:color w:val="404040" w:themeColor="text1" w:themeTint="BF"/>
          <w:sz w:val="21"/>
          <w:szCs w:val="21"/>
          <w:lang w:eastAsia="en-GB"/>
        </w:rPr>
        <w:t>It may be noted that the below computation methods lead to ratios rather than simple proportions. The rationale for this is simple:</w:t>
      </w:r>
      <w:r w:rsidRPr="00DD3ECC">
        <w:rPr>
          <w:rFonts w:eastAsia="Times New Roman" w:cstheme="minorHAnsi"/>
          <w:bCs/>
          <w:i/>
          <w:iCs/>
          <w:color w:val="404040" w:themeColor="text1" w:themeTint="BF"/>
          <w:sz w:val="21"/>
          <w:szCs w:val="21"/>
          <w:lang w:eastAsia="en-GB"/>
        </w:rPr>
        <w:t xml:space="preserve">  </w:t>
      </w:r>
      <w:r w:rsidRPr="00DD3ECC">
        <w:rPr>
          <w:rFonts w:eastAsia="Times New Roman" w:cstheme="minorHAnsi"/>
          <w:bCs/>
          <w:color w:val="404040" w:themeColor="text1" w:themeTint="BF"/>
          <w:sz w:val="21"/>
          <w:szCs w:val="21"/>
          <w:lang w:eastAsia="en-GB"/>
        </w:rPr>
        <w:t>While a simple proportion of ‘young’ judges in the judiciary is not internationally comparable, a ratio computed using the above formula is. For instance, 48% of ‘young’ judges (aged 44 or below) may be an</w:t>
      </w:r>
      <w:r w:rsidRPr="00DD3ECC">
        <w:rPr>
          <w:rFonts w:eastAsia="Times New Roman" w:cstheme="minorHAnsi"/>
          <w:color w:val="404040" w:themeColor="text1" w:themeTint="BF"/>
          <w:sz w:val="21"/>
          <w:szCs w:val="21"/>
          <w:lang w:eastAsia="en-GB"/>
        </w:rPr>
        <w:t xml:space="preserve"> overrepresentation of youth in country A where only 30% of the national population of working-age falls in this age bracket (Ratio = 48/30 = 1.6), but in country B where 70% of the national population of working-age is aged 44 and below, the same 48% would be interpreted as under-representation (Ratio = 48/70 = 0.69). In this example, the figure of 48% is not internationally comparable in relation to the national population (it means over-representation in one country and under-representation in another), but the ratios 1.6 and 0.69 </w:t>
      </w:r>
      <w:r w:rsidRPr="00DD3ECC">
        <w:rPr>
          <w:rFonts w:eastAsia="Times New Roman" w:cstheme="minorHAnsi"/>
          <w:i/>
          <w:color w:val="404040" w:themeColor="text1" w:themeTint="BF"/>
          <w:sz w:val="21"/>
          <w:szCs w:val="21"/>
          <w:lang w:eastAsia="en-GB"/>
        </w:rPr>
        <w:t xml:space="preserve">are </w:t>
      </w:r>
      <w:r w:rsidRPr="00DD3ECC">
        <w:rPr>
          <w:rFonts w:eastAsia="Times New Roman" w:cstheme="minorHAnsi"/>
          <w:color w:val="404040" w:themeColor="text1" w:themeTint="BF"/>
          <w:sz w:val="21"/>
          <w:szCs w:val="21"/>
          <w:lang w:eastAsia="en-GB"/>
        </w:rPr>
        <w:t xml:space="preserve">internationally comparable. They help us understand whether 48% of judges aged 44 and below is close to, or far from, proportional representation of this age group in the national population. </w:t>
      </w:r>
    </w:p>
    <w:p w14:paraId="32B56256" w14:textId="77777777" w:rsidR="0069230D" w:rsidRPr="00FC7A0B" w:rsidRDefault="0069230D" w:rsidP="0069230D">
      <w:pPr>
        <w:shd w:val="clear" w:color="auto" w:fill="FFFFFF"/>
        <w:spacing w:after="0"/>
        <w:jc w:val="both"/>
        <w:rPr>
          <w:rFonts w:eastAsia="Times New Roman" w:cstheme="minorHAnsi"/>
          <w:color w:val="404040" w:themeColor="text1" w:themeTint="BF"/>
          <w:sz w:val="21"/>
          <w:szCs w:val="21"/>
          <w:lang w:eastAsia="en-GB"/>
        </w:rPr>
      </w:pPr>
    </w:p>
    <w:p w14:paraId="738A3AFB" w14:textId="77777777" w:rsidR="0069230D" w:rsidRPr="00FC7A0B" w:rsidRDefault="0069230D" w:rsidP="0069230D">
      <w:pPr>
        <w:pStyle w:val="ListParagraph"/>
        <w:numPr>
          <w:ilvl w:val="0"/>
          <w:numId w:val="8"/>
        </w:numPr>
        <w:shd w:val="clear" w:color="auto" w:fill="FFFFFF"/>
        <w:spacing w:after="0"/>
        <w:ind w:left="714" w:hanging="357"/>
        <w:jc w:val="both"/>
        <w:rPr>
          <w:rFonts w:eastAsia="Times New Roman" w:cs="Times New Roman"/>
          <w:color w:val="404040" w:themeColor="text1" w:themeTint="BF"/>
          <w:sz w:val="21"/>
          <w:szCs w:val="21"/>
          <w:lang w:eastAsia="en-GB"/>
        </w:rPr>
      </w:pPr>
      <w:r w:rsidRPr="00FC7A0B">
        <w:rPr>
          <w:rFonts w:eastAsia="Times New Roman" w:cs="Times New Roman"/>
          <w:b/>
          <w:bCs/>
          <w:i/>
          <w:iCs/>
          <w:color w:val="404040" w:themeColor="text1" w:themeTint="BF"/>
          <w:sz w:val="21"/>
          <w:szCs w:val="21"/>
          <w:lang w:eastAsia="en-GB"/>
        </w:rPr>
        <w:t>Sensitivity of collecting disability and population group data</w:t>
      </w:r>
      <w:r w:rsidRPr="00FC7A0B">
        <w:rPr>
          <w:rFonts w:eastAsia="Times New Roman" w:cs="Times New Roman"/>
          <w:color w:val="404040" w:themeColor="text1" w:themeTint="BF"/>
          <w:sz w:val="21"/>
          <w:szCs w:val="21"/>
          <w:lang w:eastAsia="en-GB"/>
        </w:rPr>
        <w:t>:</w:t>
      </w:r>
      <w:r w:rsidRPr="00FC7A0B" w:rsidDel="00A55C04">
        <w:rPr>
          <w:rFonts w:eastAsia="Times New Roman" w:cs="Times New Roman"/>
          <w:color w:val="404040" w:themeColor="text1" w:themeTint="BF"/>
          <w:sz w:val="21"/>
          <w:szCs w:val="21"/>
          <w:lang w:eastAsia="en-GB"/>
        </w:rPr>
        <w:t xml:space="preserve"> </w:t>
      </w:r>
      <w:r w:rsidRPr="00FC7A0B">
        <w:rPr>
          <w:rFonts w:eastAsia="Times New Roman" w:cs="Times New Roman"/>
          <w:color w:val="404040" w:themeColor="text1" w:themeTint="BF"/>
          <w:sz w:val="21"/>
          <w:szCs w:val="21"/>
          <w:lang w:eastAsia="en-GB"/>
        </w:rPr>
        <w:t>Data disaggregated by disability and population group may not be readily available in many countries. Collecting this data for judges and registrars may therefore require additional investment in data collection systems, with a corresponding investment in human capacity to analyse the data and use the information generated in recruitment and human resources policies for the judiciary. Moreover, some countries may impose legal restrictions on collecting data on certain target groups</w:t>
      </w:r>
      <w:r>
        <w:rPr>
          <w:rFonts w:eastAsia="Times New Roman" w:cs="Times New Roman"/>
          <w:color w:val="404040" w:themeColor="text1" w:themeTint="BF"/>
          <w:sz w:val="21"/>
          <w:szCs w:val="21"/>
          <w:lang w:eastAsia="en-GB"/>
        </w:rPr>
        <w:t xml:space="preserve"> (e.g. </w:t>
      </w:r>
      <w:r w:rsidRPr="00957738">
        <w:rPr>
          <w:rFonts w:eastAsia="Times New Roman" w:cs="Times New Roman"/>
          <w:color w:val="404040" w:themeColor="text1" w:themeTint="BF"/>
          <w:sz w:val="21"/>
          <w:szCs w:val="21"/>
          <w:lang w:eastAsia="en-GB"/>
        </w:rPr>
        <w:t xml:space="preserve">disability </w:t>
      </w:r>
      <w:r>
        <w:rPr>
          <w:rFonts w:eastAsia="Times New Roman" w:cs="Times New Roman"/>
          <w:color w:val="404040" w:themeColor="text1" w:themeTint="BF"/>
          <w:sz w:val="21"/>
          <w:szCs w:val="21"/>
          <w:lang w:eastAsia="en-GB"/>
        </w:rPr>
        <w:t xml:space="preserve">often </w:t>
      </w:r>
      <w:r w:rsidRPr="00957738">
        <w:rPr>
          <w:rFonts w:eastAsia="Times New Roman" w:cs="Times New Roman"/>
          <w:color w:val="404040" w:themeColor="text1" w:themeTint="BF"/>
          <w:sz w:val="21"/>
          <w:szCs w:val="21"/>
          <w:lang w:eastAsia="en-GB"/>
        </w:rPr>
        <w:t>falls under the umbrella of health data, and is therefore confidential, thus preventing Judicial Services Commissions, Ministries of Justice, or other similar competent bodies from releasing this information even on an anonymous basis</w:t>
      </w:r>
      <w:r>
        <w:rPr>
          <w:rFonts w:eastAsia="Times New Roman" w:cs="Times New Roman"/>
          <w:color w:val="404040" w:themeColor="text1" w:themeTint="BF"/>
          <w:sz w:val="21"/>
          <w:szCs w:val="21"/>
          <w:lang w:eastAsia="en-GB"/>
        </w:rPr>
        <w:t xml:space="preserve">; likewise, </w:t>
      </w:r>
      <w:r w:rsidRPr="00BF6ECD">
        <w:rPr>
          <w:rFonts w:eastAsia="Times New Roman" w:cs="Times New Roman"/>
          <w:color w:val="404040" w:themeColor="text1" w:themeTint="BF"/>
          <w:sz w:val="21"/>
          <w:szCs w:val="21"/>
          <w:lang w:eastAsia="en-GB"/>
        </w:rPr>
        <w:t>several countries actively restrict or ban identification of ethnic or religious status, in order to protect vulnerable populations or discourage inter-ethnic conflict. As such, it is left to the discretion of each country to determine which groups should be highlighted when disaggregating totals for judges and registrars</w:t>
      </w:r>
      <w:r>
        <w:rPr>
          <w:rFonts w:eastAsia="Times New Roman" w:cs="Times New Roman"/>
          <w:color w:val="404040" w:themeColor="text1" w:themeTint="BF"/>
          <w:sz w:val="21"/>
          <w:szCs w:val="21"/>
          <w:lang w:eastAsia="en-GB"/>
        </w:rPr>
        <w:t>).</w:t>
      </w:r>
      <w:r w:rsidRPr="00BF6ECD">
        <w:rPr>
          <w:rFonts w:eastAsia="Times New Roman" w:cs="Times New Roman"/>
          <w:color w:val="404040" w:themeColor="text1" w:themeTint="BF"/>
          <w:sz w:val="21"/>
          <w:szCs w:val="21"/>
          <w:vertAlign w:val="superscript"/>
          <w:lang w:eastAsia="en-GB"/>
        </w:rPr>
        <w:footnoteReference w:id="11"/>
      </w:r>
      <w:r>
        <w:rPr>
          <w:rFonts w:eastAsia="Times New Roman" w:cs="Times New Roman"/>
          <w:color w:val="404040" w:themeColor="text1" w:themeTint="BF"/>
          <w:sz w:val="21"/>
          <w:szCs w:val="21"/>
          <w:lang w:eastAsia="en-GB"/>
        </w:rPr>
        <w:t xml:space="preserve"> </w:t>
      </w:r>
      <w:r w:rsidRPr="00FC7A0B">
        <w:rPr>
          <w:rFonts w:cs="Calibri"/>
          <w:color w:val="404040" w:themeColor="text1" w:themeTint="BF"/>
          <w:sz w:val="21"/>
          <w:szCs w:val="21"/>
          <w:lang w:eastAsia="en-GB"/>
        </w:rPr>
        <w:t xml:space="preserve">Collecting disaggregated data should be subject to the legality of compiling such data in a particular national context and to a careful assessment of the potential risks of collecting such data for the safety and privacy of respondents. </w:t>
      </w:r>
      <w:r w:rsidRPr="00FC7A0B">
        <w:rPr>
          <w:rFonts w:eastAsia="Times New Roman" w:cs="Times New Roman"/>
          <w:color w:val="404040" w:themeColor="text1" w:themeTint="BF"/>
          <w:sz w:val="21"/>
          <w:szCs w:val="21"/>
          <w:lang w:eastAsia="en-GB"/>
        </w:rPr>
        <w:t>Meanwhile, most countries already produce sex-disaggregated data on judges and registrars and therefore countries are expected at a minimum to be able to report sex-disaggregated data for overall totals of individuals occupying these two positions, as well as for overall totals disaggregated by the three levels of courts cited above.</w:t>
      </w:r>
    </w:p>
    <w:p w14:paraId="1905A2CD" w14:textId="77777777" w:rsidR="0069230D" w:rsidRDefault="0069230D" w:rsidP="0069230D">
      <w:pPr>
        <w:shd w:val="clear" w:color="auto" w:fill="FFFFFF"/>
        <w:spacing w:after="0"/>
        <w:jc w:val="both"/>
        <w:rPr>
          <w:rFonts w:eastAsia="Times New Roman" w:cs="Times New Roman"/>
          <w:color w:val="404040" w:themeColor="text1" w:themeTint="BF"/>
          <w:sz w:val="21"/>
          <w:szCs w:val="21"/>
          <w:lang w:eastAsia="en-GB"/>
        </w:rPr>
      </w:pPr>
    </w:p>
    <w:p w14:paraId="08435071" w14:textId="77777777" w:rsidR="0069230D" w:rsidRDefault="0069230D" w:rsidP="0069230D">
      <w:pPr>
        <w:pStyle w:val="ListParagraph"/>
        <w:numPr>
          <w:ilvl w:val="0"/>
          <w:numId w:val="8"/>
        </w:numPr>
        <w:shd w:val="clear" w:color="auto" w:fill="FFFFFF"/>
        <w:spacing w:after="0"/>
        <w:jc w:val="both"/>
        <w:rPr>
          <w:rFonts w:cs="Calibri"/>
          <w:color w:val="404040" w:themeColor="text1" w:themeTint="BF"/>
          <w:sz w:val="21"/>
          <w:szCs w:val="21"/>
          <w:lang w:eastAsia="en-GB"/>
        </w:rPr>
      </w:pPr>
      <w:r>
        <w:rPr>
          <w:rFonts w:cs="Calibri"/>
          <w:b/>
          <w:bCs/>
          <w:i/>
          <w:iCs/>
          <w:color w:val="404040" w:themeColor="text1" w:themeTint="BF"/>
          <w:sz w:val="21"/>
          <w:szCs w:val="21"/>
          <w:lang w:eastAsia="en-GB"/>
        </w:rPr>
        <w:lastRenderedPageBreak/>
        <w:t xml:space="preserve">Rationale for </w:t>
      </w:r>
      <w:r w:rsidRPr="00FC7A0B">
        <w:rPr>
          <w:rFonts w:cs="Calibri"/>
          <w:b/>
          <w:bCs/>
          <w:i/>
          <w:iCs/>
          <w:color w:val="404040" w:themeColor="text1" w:themeTint="BF"/>
          <w:sz w:val="21"/>
          <w:szCs w:val="21"/>
          <w:lang w:eastAsia="en-GB"/>
        </w:rPr>
        <w:t>the age disaggregation</w:t>
      </w:r>
      <w:r>
        <w:rPr>
          <w:rFonts w:cs="Calibri"/>
          <w:b/>
          <w:bCs/>
          <w:i/>
          <w:iCs/>
          <w:color w:val="404040" w:themeColor="text1" w:themeTint="BF"/>
          <w:sz w:val="21"/>
          <w:szCs w:val="21"/>
          <w:lang w:eastAsia="en-GB"/>
        </w:rPr>
        <w:t>:</w:t>
      </w:r>
      <w:r w:rsidRPr="00FC7A0B">
        <w:rPr>
          <w:rFonts w:cs="Calibri"/>
          <w:b/>
          <w:bCs/>
          <w:i/>
          <w:iCs/>
          <w:color w:val="404040" w:themeColor="text1" w:themeTint="BF"/>
          <w:sz w:val="21"/>
          <w:szCs w:val="21"/>
          <w:lang w:eastAsia="en-GB"/>
        </w:rPr>
        <w:t xml:space="preserve"> </w:t>
      </w:r>
      <w:r w:rsidRPr="00FC7A0B">
        <w:rPr>
          <w:rFonts w:cs="Calibri"/>
          <w:color w:val="404040" w:themeColor="text1" w:themeTint="BF"/>
          <w:sz w:val="21"/>
          <w:szCs w:val="21"/>
          <w:lang w:eastAsia="en-GB"/>
        </w:rPr>
        <w:t xml:space="preserve">The number of young persons in the judiciary tends to be relatively small, particularly in contexts where judges typically assume their position based on seniority. While in such contexts disaggregation on the basis of age may not be very insightful, in others contexts, such as that of new democracies where judges are typically younger, age-disaggregation can be a more meaningful measure of representation. The presence of a large proportion of ‘young’ judges in post-conflict countries, for example, can indicate a country’s investment in its justice system. Even if null values for the number of ‘young’ judges are likely to be common in many countries, there is an inherent awareness-raising value in tracking representation of ‘young’ judges and registrars, to help call attention to the challenges faced by younger age-brackets in accessing decision-making positions. Additionally, age-disaggregated data becomes particularly relevant when considering the intersectionality of age with other demographic variables (e.g. a growing proportion of ‘young’ female judges could signal that a country is making concerted efforts to invest in increasing female participation in decision-making positions over the longer-term). </w:t>
      </w:r>
    </w:p>
    <w:p w14:paraId="1971BAD9" w14:textId="77777777" w:rsidR="0069230D" w:rsidRDefault="0069230D" w:rsidP="0069230D">
      <w:pPr>
        <w:shd w:val="clear" w:color="auto" w:fill="FFFFFF"/>
        <w:spacing w:after="0"/>
        <w:jc w:val="both"/>
        <w:rPr>
          <w:rFonts w:cs="Calibri"/>
          <w:color w:val="404040" w:themeColor="text1" w:themeTint="BF"/>
          <w:sz w:val="21"/>
          <w:szCs w:val="21"/>
          <w:lang w:eastAsia="en-GB"/>
        </w:rPr>
      </w:pPr>
    </w:p>
    <w:p w14:paraId="3B19C85C" w14:textId="77777777" w:rsidR="0069230D" w:rsidRPr="00FC7A0B" w:rsidRDefault="0069230D" w:rsidP="0069230D">
      <w:pPr>
        <w:pStyle w:val="ListParagraph"/>
        <w:numPr>
          <w:ilvl w:val="0"/>
          <w:numId w:val="8"/>
        </w:numPr>
        <w:shd w:val="clear" w:color="auto" w:fill="FFFFFF"/>
        <w:spacing w:after="0"/>
        <w:jc w:val="both"/>
        <w:rPr>
          <w:rFonts w:eastAsia="Times New Roman" w:cs="Times New Roman"/>
          <w:color w:val="404040" w:themeColor="text1" w:themeTint="BF"/>
          <w:sz w:val="21"/>
          <w:szCs w:val="21"/>
          <w:lang w:eastAsia="en-GB"/>
        </w:rPr>
      </w:pPr>
      <w:r w:rsidRPr="00FC7A0B">
        <w:rPr>
          <w:rFonts w:eastAsia="Times New Roman" w:cs="Times New Roman"/>
          <w:b/>
          <w:bCs/>
          <w:i/>
          <w:iCs/>
          <w:color w:val="404040" w:themeColor="text1" w:themeTint="BF"/>
          <w:sz w:val="21"/>
          <w:szCs w:val="21"/>
          <w:lang w:eastAsia="en-GB"/>
        </w:rPr>
        <w:t xml:space="preserve">Normative framework: </w:t>
      </w:r>
      <w:r w:rsidRPr="00FC7A0B">
        <w:rPr>
          <w:rFonts w:eastAsia="Times New Roman" w:cs="Times New Roman"/>
          <w:color w:val="404040" w:themeColor="text1" w:themeTint="BF"/>
          <w:sz w:val="21"/>
          <w:szCs w:val="21"/>
          <w:lang w:eastAsia="en-GB"/>
        </w:rPr>
        <w:t>Global reporting on this indicator includes data disaggregated by sex, age, disability, and population group. Disaggregated data that allows for comparison of these target groups to understand the situations of specific groups are central to a human-rights based approach to data and form part of countries’ obligations under international human rights treaties. OHCHR guidance on data collection and disaggregation for SDG monitoring urges that capacities and partnerships be developed to enable countries to meet their obligation to collect and publish disaggregated data</w:t>
      </w:r>
      <w:r>
        <w:rPr>
          <w:rFonts w:eastAsia="Times New Roman" w:cs="Times New Roman"/>
          <w:color w:val="404040" w:themeColor="text1" w:themeTint="BF"/>
          <w:sz w:val="21"/>
          <w:szCs w:val="21"/>
          <w:lang w:eastAsia="en-GB"/>
        </w:rPr>
        <w:t>:</w:t>
      </w:r>
      <w:r>
        <w:rPr>
          <w:rStyle w:val="FootnoteReference"/>
          <w:rFonts w:eastAsia="Times New Roman" w:cs="Times New Roman"/>
          <w:color w:val="404040" w:themeColor="text1" w:themeTint="BF"/>
          <w:sz w:val="21"/>
          <w:szCs w:val="21"/>
          <w:lang w:eastAsia="en-GB"/>
        </w:rPr>
        <w:footnoteReference w:id="12"/>
      </w:r>
    </w:p>
    <w:p w14:paraId="67284DBB" w14:textId="77777777" w:rsidR="0069230D" w:rsidRDefault="0069230D" w:rsidP="0069230D">
      <w:pPr>
        <w:pStyle w:val="ListParagraph"/>
        <w:numPr>
          <w:ilvl w:val="1"/>
          <w:numId w:val="8"/>
        </w:numPr>
        <w:shd w:val="clear" w:color="auto" w:fill="FFFFFF"/>
        <w:spacing w:after="0"/>
        <w:jc w:val="both"/>
        <w:rPr>
          <w:rFonts w:eastAsia="Times New Roman" w:cs="Times New Roman"/>
          <w:color w:val="404040" w:themeColor="text1" w:themeTint="BF"/>
          <w:sz w:val="21"/>
          <w:szCs w:val="21"/>
          <w:lang w:eastAsia="en-GB"/>
        </w:rPr>
      </w:pPr>
      <w:r w:rsidRPr="00FC7A0B">
        <w:rPr>
          <w:rFonts w:cstheme="minorHAnsi"/>
          <w:color w:val="404040" w:themeColor="text1" w:themeTint="BF"/>
          <w:sz w:val="21"/>
          <w:szCs w:val="21"/>
        </w:rPr>
        <w:t>Sex is an important component of SDG indicator 16.7.1(c), as it tracks the extent to which judiciaries are inclusive and representative of women with a view to achieving equal representation of women and men. Women are largely underrepresented in judiciaries, particularly in the highest-level positions,</w:t>
      </w:r>
      <w:r w:rsidRPr="00FC7A0B">
        <w:rPr>
          <w:rFonts w:eastAsia="Times New Roman" w:cs="Times New Roman"/>
          <w:color w:val="404040" w:themeColor="text1" w:themeTint="BF"/>
          <w:sz w:val="21"/>
          <w:szCs w:val="21"/>
          <w:lang w:eastAsia="en-GB"/>
        </w:rPr>
        <w:t xml:space="preserve"> </w:t>
      </w:r>
      <w:r w:rsidRPr="00FC7A0B">
        <w:rPr>
          <w:rFonts w:cstheme="minorHAnsi"/>
          <w:color w:val="404040" w:themeColor="text1" w:themeTint="BF"/>
          <w:sz w:val="21"/>
          <w:szCs w:val="21"/>
        </w:rPr>
        <w:t>according to A Practitioner’s Toolkit on Women’s Access to Justice Programming (2018), published by UN Women, UNDP, UNODC, and OHCHR</w:t>
      </w:r>
      <w:r w:rsidRPr="00FC7A0B">
        <w:rPr>
          <w:rFonts w:eastAsia="Times New Roman" w:cs="Times New Roman"/>
          <w:color w:val="404040" w:themeColor="text1" w:themeTint="BF"/>
          <w:sz w:val="21"/>
          <w:szCs w:val="21"/>
          <w:lang w:eastAsia="en-GB"/>
        </w:rPr>
        <w:t>. S</w:t>
      </w:r>
      <w:r w:rsidRPr="00FC7A0B">
        <w:rPr>
          <w:rFonts w:cstheme="minorHAnsi"/>
          <w:color w:val="404040" w:themeColor="text1" w:themeTint="BF"/>
          <w:sz w:val="21"/>
          <w:szCs w:val="21"/>
        </w:rPr>
        <w:t xml:space="preserve">ex-disaggregated data on individuals occupying decision-making and leadership positions in the judiciary can shed light on the existence of gender-based inequalities in accessing such positions. </w:t>
      </w:r>
      <w:r w:rsidRPr="00FC7A0B">
        <w:rPr>
          <w:rFonts w:eastAsia="Times New Roman" w:cs="Times New Roman"/>
          <w:color w:val="404040" w:themeColor="text1" w:themeTint="BF"/>
          <w:sz w:val="21"/>
          <w:szCs w:val="21"/>
          <w:lang w:eastAsia="en-GB"/>
        </w:rPr>
        <w:t xml:space="preserve">The Convention on the Elimination of All Forms of Discrimination Against Women (1979) provides the basis for realizing equality between women and men through ensuring women's equal access to, and equal opportunities in, political and public life, including the right to participate in the formulation of government policy and the implementation thereof and to hold public office and perform all public functions at all levels of government (Article 7). States parties agree to take all appropriate measures to overcome historical discrimination against women and obstacles to women’s participation in decision-making processes (Article 8), including legislation and temporary special measures (Article 4). The Beijing Declaration and Platform for Action (1995) also calls on governments to ensure women’s equal access to and full participation in power structures and decision-making, including in the judiciary, by setting specific targets and implementing measures to substantially increase the number of women in all governmental positions. </w:t>
      </w:r>
    </w:p>
    <w:p w14:paraId="103AF6BF" w14:textId="77777777" w:rsidR="0069230D" w:rsidRDefault="0069230D" w:rsidP="0069230D">
      <w:pPr>
        <w:pStyle w:val="ListParagraph"/>
        <w:numPr>
          <w:ilvl w:val="1"/>
          <w:numId w:val="8"/>
        </w:numPr>
        <w:shd w:val="clear" w:color="auto" w:fill="FFFFFF"/>
        <w:spacing w:after="0"/>
        <w:jc w:val="both"/>
        <w:rPr>
          <w:rFonts w:eastAsia="Times New Roman" w:cs="Times New Roman"/>
          <w:color w:val="404040" w:themeColor="text1" w:themeTint="BF"/>
          <w:sz w:val="21"/>
          <w:szCs w:val="21"/>
          <w:lang w:eastAsia="en-GB"/>
        </w:rPr>
      </w:pPr>
      <w:r>
        <w:rPr>
          <w:rFonts w:eastAsia="Times New Roman" w:cs="Times New Roman"/>
          <w:color w:val="404040" w:themeColor="text1" w:themeTint="BF"/>
          <w:sz w:val="21"/>
          <w:szCs w:val="21"/>
          <w:lang w:eastAsia="en-GB"/>
        </w:rPr>
        <w:t xml:space="preserve">Age: </w:t>
      </w:r>
      <w:r w:rsidRPr="00FC7A0B">
        <w:rPr>
          <w:rFonts w:eastAsia="Times New Roman" w:cs="Times New Roman"/>
          <w:color w:val="404040" w:themeColor="text1" w:themeTint="BF"/>
          <w:sz w:val="21"/>
          <w:szCs w:val="21"/>
          <w:lang w:eastAsia="en-GB"/>
        </w:rPr>
        <w:t xml:space="preserve">Security Council Resolution 2250 of 2015 urges Member States to consider ways to increase inclusive representation of youth in decision-making at all levels in local, national, </w:t>
      </w:r>
      <w:r w:rsidRPr="00FC7A0B">
        <w:rPr>
          <w:rFonts w:eastAsia="Times New Roman" w:cs="Times New Roman"/>
          <w:color w:val="404040" w:themeColor="text1" w:themeTint="BF"/>
          <w:sz w:val="21"/>
          <w:szCs w:val="21"/>
          <w:lang w:eastAsia="en-GB"/>
        </w:rPr>
        <w:lastRenderedPageBreak/>
        <w:t>regional, and international institutions and mechanisms for the prevention and resolution of conflict and to counter violent extremism.</w:t>
      </w:r>
    </w:p>
    <w:p w14:paraId="4118C1DF" w14:textId="77777777" w:rsidR="0069230D" w:rsidRPr="00FC7A0B" w:rsidRDefault="0069230D" w:rsidP="0069230D">
      <w:pPr>
        <w:pStyle w:val="ListParagraph"/>
        <w:numPr>
          <w:ilvl w:val="1"/>
          <w:numId w:val="8"/>
        </w:numPr>
        <w:shd w:val="clear" w:color="auto" w:fill="FFFFFF"/>
        <w:spacing w:after="0"/>
        <w:jc w:val="both"/>
        <w:rPr>
          <w:rFonts w:eastAsia="Times New Roman" w:cs="Times New Roman"/>
          <w:color w:val="404040" w:themeColor="text1" w:themeTint="BF"/>
          <w:sz w:val="21"/>
          <w:szCs w:val="21"/>
          <w:lang w:eastAsia="en-GB"/>
        </w:rPr>
      </w:pPr>
      <w:r>
        <w:rPr>
          <w:rFonts w:eastAsia="Times New Roman" w:cs="Times New Roman"/>
          <w:color w:val="404040" w:themeColor="text1" w:themeTint="BF"/>
          <w:sz w:val="21"/>
          <w:szCs w:val="21"/>
          <w:lang w:eastAsia="en-GB"/>
        </w:rPr>
        <w:t xml:space="preserve">Disability: </w:t>
      </w:r>
      <w:r w:rsidRPr="00FC7A0B">
        <w:rPr>
          <w:rFonts w:eastAsia="Times New Roman" w:cs="Times New Roman"/>
          <w:color w:val="404040" w:themeColor="text1" w:themeTint="BF"/>
          <w:sz w:val="21"/>
          <w:szCs w:val="21"/>
          <w:lang w:eastAsia="en-GB"/>
        </w:rPr>
        <w:t>The United Nations Convention on the Rights of Persons with Disabilities (2006) calls upon State Parties to ensure that persons with disabilities</w:t>
      </w:r>
      <w:r w:rsidRPr="00EF53C8">
        <w:rPr>
          <w:vertAlign w:val="superscript"/>
          <w:lang w:val="en-US" w:eastAsia="en-GB"/>
        </w:rPr>
        <w:footnoteReference w:id="13"/>
      </w:r>
      <w:r w:rsidRPr="00FC7A0B">
        <w:rPr>
          <w:rFonts w:eastAsia="Times New Roman" w:cs="Times New Roman"/>
          <w:color w:val="404040" w:themeColor="text1" w:themeTint="BF"/>
          <w:sz w:val="21"/>
          <w:szCs w:val="21"/>
          <w:lang w:eastAsia="en-GB"/>
        </w:rPr>
        <w:t xml:space="preserve"> can effectively and fully participate in political and public life on an equal basis with others. General Comment No. 7 (2018) on Article 4.3 and 33.3 on the participation of persons with disabilities in the implementation and monitoring of the Convention, drafted by the Committee on the Rights of Persons with Disabilities, acknowledges the positive impact that the participation of persons with disabilities has on decision-making processes. Their involvement in all forms of decision-making empowers persons with disability to convey their views and lived experiences, enabling them to advocate for their rights and realize their aspirations. Moreover, participation of persons with disability is a critical component of good governance and democracy, as it helps to hold authorities accountable to their commitments in this area, to make them more responsive to the requirements of persons with disability, and to promote and protect the rights of such persons. </w:t>
      </w:r>
      <w:r w:rsidRPr="00FC7A0B">
        <w:rPr>
          <w:rFonts w:cstheme="minorHAnsi"/>
          <w:color w:val="404040" w:themeColor="text1" w:themeTint="BF"/>
          <w:sz w:val="21"/>
          <w:szCs w:val="21"/>
        </w:rPr>
        <w:t xml:space="preserve">Persons with disabilities are consistently under-represented in decision-making processes, as is noted in UNDP’s Disability Inclusive Development Report: Guidance and Entry Points (2018). Persons with disabilities face significant challenges and barriers to their inclusion and ability to fully participate in society. Employment rates for persons with disability are lower than for persons without disabilities, and equal and effective access to justice can be a significant obstacle for persons with disabilities. As part of the emphasis across the 2030 Agenda to ‘leave no one behind,’ participation and representation of persons with disability in public institutions and decision-making processes, including in the judiciary, is crucial to reaching those that are often left furthest behind. </w:t>
      </w:r>
    </w:p>
    <w:p w14:paraId="6DD26299" w14:textId="77777777" w:rsidR="0069230D" w:rsidRPr="00FC7A0B" w:rsidRDefault="0069230D" w:rsidP="0069230D">
      <w:pPr>
        <w:pStyle w:val="ListParagraph"/>
        <w:numPr>
          <w:ilvl w:val="1"/>
          <w:numId w:val="8"/>
        </w:numPr>
        <w:shd w:val="clear" w:color="auto" w:fill="FFFFFF"/>
        <w:spacing w:after="0"/>
        <w:ind w:left="1434" w:hanging="357"/>
        <w:contextualSpacing w:val="0"/>
        <w:jc w:val="both"/>
        <w:rPr>
          <w:rFonts w:eastAsia="Times New Roman" w:cs="Times New Roman"/>
          <w:color w:val="404040" w:themeColor="text1" w:themeTint="BF"/>
          <w:sz w:val="21"/>
          <w:szCs w:val="21"/>
          <w:lang w:eastAsia="en-GB"/>
        </w:rPr>
      </w:pPr>
      <w:r>
        <w:rPr>
          <w:rFonts w:ascii="Calibri" w:hAnsi="Calibri" w:cs="Calibri"/>
          <w:color w:val="404040" w:themeColor="text1" w:themeTint="BF"/>
          <w:sz w:val="21"/>
          <w:szCs w:val="21"/>
          <w:lang w:eastAsia="en-GB"/>
        </w:rPr>
        <w:t xml:space="preserve">Population groups: </w:t>
      </w:r>
      <w:r w:rsidRPr="00FC7A0B">
        <w:rPr>
          <w:rFonts w:ascii="Calibri" w:hAnsi="Calibri" w:cs="Calibri"/>
          <w:color w:val="404040" w:themeColor="text1" w:themeTint="BF"/>
          <w:sz w:val="21"/>
          <w:szCs w:val="21"/>
          <w:lang w:eastAsia="en-GB"/>
        </w:rPr>
        <w:t>T</w:t>
      </w:r>
      <w:r w:rsidRPr="00FC7A0B">
        <w:rPr>
          <w:rFonts w:cstheme="minorHAnsi"/>
          <w:color w:val="404040" w:themeColor="text1" w:themeTint="BF"/>
          <w:sz w:val="21"/>
          <w:szCs w:val="21"/>
        </w:rPr>
        <w:t>he collection of data on relevant population groups</w:t>
      </w:r>
      <w:r w:rsidRPr="007B00AA">
        <w:rPr>
          <w:rFonts w:ascii="Calibri" w:hAnsi="Calibri" w:cs="Calibri"/>
          <w:color w:val="404040" w:themeColor="text1" w:themeTint="BF"/>
          <w:vertAlign w:val="superscript"/>
          <w:lang w:eastAsia="en-GB"/>
        </w:rPr>
        <w:footnoteReference w:id="14"/>
      </w:r>
      <w:r w:rsidRPr="00FC7A0B">
        <w:rPr>
          <w:rFonts w:cstheme="minorHAnsi"/>
          <w:color w:val="404040" w:themeColor="text1" w:themeTint="BF"/>
          <w:sz w:val="21"/>
          <w:szCs w:val="21"/>
        </w:rPr>
        <w:t xml:space="preserve"> occupying decision-making and leadership positions in the judiciary is critical to assessing the inclusivity and representativeness of judiciaries. Increased judicial diversity with respect to populations groups strengthens the ability of judicial mechanisms to consider and respond to varied social contexts and experiences, which improves the justice sector’s responses to the needs of vulnerable and marginalized groups. When various national population groups are well-represented among judges and registrars, this can in turn improve access to justice by these various groups. Representative decision-making builds confidence among population groups and supports social cohesion and the ‘sustaining peace’ framework.</w:t>
      </w:r>
      <w:r>
        <w:rPr>
          <w:rStyle w:val="FootnoteReference"/>
          <w:rFonts w:cstheme="minorHAnsi"/>
          <w:color w:val="404040" w:themeColor="text1" w:themeTint="BF"/>
          <w:sz w:val="21"/>
          <w:szCs w:val="21"/>
        </w:rPr>
        <w:footnoteReference w:id="15"/>
      </w:r>
      <w:r w:rsidRPr="00FC7A0B">
        <w:rPr>
          <w:rFonts w:cstheme="minorHAnsi"/>
          <w:color w:val="404040" w:themeColor="text1" w:themeTint="BF"/>
          <w:sz w:val="21"/>
          <w:szCs w:val="21"/>
        </w:rPr>
        <w:t xml:space="preserve"> Notably, the World Bank’s Pathways for Peace study stressed the centrality of inclusion in the justice and security sectors to the prevention of conflict.</w:t>
      </w:r>
      <w:r>
        <w:rPr>
          <w:rFonts w:cstheme="minorHAnsi"/>
          <w:color w:val="404040" w:themeColor="text1" w:themeTint="BF"/>
          <w:sz w:val="21"/>
          <w:szCs w:val="21"/>
        </w:rPr>
        <w:t xml:space="preserve"> </w:t>
      </w:r>
      <w:r w:rsidRPr="00FC7A0B">
        <w:rPr>
          <w:rFonts w:ascii="Calibri" w:hAnsi="Calibri" w:cs="Calibri"/>
          <w:color w:val="404040" w:themeColor="text1" w:themeTint="BF"/>
          <w:sz w:val="21"/>
          <w:szCs w:val="21"/>
          <w:lang w:eastAsia="en-GB"/>
        </w:rPr>
        <w:t xml:space="preserve">The </w:t>
      </w:r>
      <w:r w:rsidRPr="00FC7A0B">
        <w:rPr>
          <w:rFonts w:ascii="Calibri" w:hAnsi="Calibri" w:cs="Calibri"/>
          <w:color w:val="404040" w:themeColor="text1" w:themeTint="BF"/>
          <w:sz w:val="21"/>
          <w:szCs w:val="21"/>
          <w:lang w:eastAsia="en-GB"/>
        </w:rPr>
        <w:lastRenderedPageBreak/>
        <w:t xml:space="preserve">International Convention on the Elimination of All Forms of Racial Discrimination (1965); Declaration on the Rights of Persons belonging to National or Ethnic, Religious and Linguistic Minorities (1992); and the Declaration on the Rights of Indigenous Peoples (2007) provide that persons belonging to racial and minority groups and indigenous peoples have the right to participate in the political, economic, social, and cultural life of the State. </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769C629E" w14:textId="77777777" w:rsidR="0069230D" w:rsidRDefault="0069230D" w:rsidP="0069230D">
      <w:pPr>
        <w:shd w:val="clear" w:color="auto" w:fill="FFFFFF"/>
        <w:spacing w:after="0"/>
        <w:jc w:val="both"/>
        <w:rPr>
          <w:rFonts w:eastAsia="Times New Roman" w:cs="Times New Roman"/>
          <w:color w:val="404040" w:themeColor="text1" w:themeTint="BF"/>
          <w:sz w:val="21"/>
          <w:szCs w:val="21"/>
          <w:lang w:eastAsia="en-GB"/>
        </w:rPr>
      </w:pPr>
      <w:r w:rsidRPr="002E5D5B">
        <w:rPr>
          <w:rFonts w:eastAsia="Times New Roman" w:cs="Calibri"/>
          <w:bCs/>
          <w:color w:val="404040" w:themeColor="text1" w:themeTint="BF"/>
          <w:sz w:val="21"/>
          <w:szCs w:val="21"/>
          <w:lang w:eastAsia="en-GB"/>
        </w:rPr>
        <w:t>I</w:t>
      </w:r>
      <w:r>
        <w:rPr>
          <w:rFonts w:eastAsia="Times New Roman" w:cs="Calibri"/>
          <w:bCs/>
          <w:color w:val="404040" w:themeColor="text1" w:themeTint="BF"/>
          <w:sz w:val="21"/>
          <w:szCs w:val="21"/>
          <w:lang w:eastAsia="en-GB"/>
        </w:rPr>
        <w:t>ndicator 16.7.1(</w:t>
      </w:r>
      <w:r w:rsidRPr="002E5D5B">
        <w:rPr>
          <w:rFonts w:eastAsia="Times New Roman" w:cs="Calibri"/>
          <w:bCs/>
          <w:color w:val="404040" w:themeColor="text1" w:themeTint="BF"/>
          <w:sz w:val="21"/>
          <w:szCs w:val="21"/>
          <w:lang w:eastAsia="en-GB"/>
        </w:rPr>
        <w:t>c</w:t>
      </w:r>
      <w:r>
        <w:rPr>
          <w:rFonts w:eastAsia="Times New Roman" w:cs="Calibri"/>
          <w:bCs/>
          <w:color w:val="404040" w:themeColor="text1" w:themeTint="BF"/>
          <w:sz w:val="21"/>
          <w:szCs w:val="21"/>
          <w:lang w:eastAsia="en-GB"/>
        </w:rPr>
        <w:t>)</w:t>
      </w:r>
      <w:r w:rsidRPr="002E5D5B">
        <w:rPr>
          <w:rFonts w:eastAsia="Times New Roman" w:cs="Calibri"/>
          <w:bCs/>
          <w:color w:val="404040" w:themeColor="text1" w:themeTint="BF"/>
          <w:sz w:val="21"/>
          <w:szCs w:val="21"/>
          <w:lang w:eastAsia="en-GB"/>
        </w:rPr>
        <w:t xml:space="preserve"> aims to compare the proportion of various demographic groups (by sex, age, di</w:t>
      </w:r>
      <w:r w:rsidRPr="00C31C62">
        <w:rPr>
          <w:rFonts w:eastAsia="Times New Roman" w:cstheme="minorHAnsi"/>
          <w:bCs/>
          <w:color w:val="404040" w:themeColor="text1" w:themeTint="BF"/>
          <w:sz w:val="21"/>
          <w:szCs w:val="21"/>
          <w:lang w:eastAsia="en-GB"/>
        </w:rPr>
        <w:t>sability status, and population group) represented in the judiciary,</w:t>
      </w:r>
      <w:r>
        <w:rPr>
          <w:rFonts w:eastAsia="Times New Roman" w:cstheme="minorHAnsi"/>
          <w:bCs/>
          <w:color w:val="404040" w:themeColor="text1" w:themeTint="BF"/>
          <w:sz w:val="21"/>
          <w:szCs w:val="21"/>
          <w:lang w:eastAsia="en-GB"/>
        </w:rPr>
        <w:t xml:space="preserve"> with the proportion </w:t>
      </w:r>
      <w:r w:rsidRPr="00C31C62">
        <w:rPr>
          <w:rFonts w:eastAsia="Times New Roman" w:cstheme="minorHAnsi"/>
          <w:bCs/>
          <w:color w:val="404040" w:themeColor="text1" w:themeTint="BF"/>
          <w:sz w:val="21"/>
          <w:szCs w:val="21"/>
          <w:lang w:eastAsia="en-GB"/>
        </w:rPr>
        <w:t>of these same groups in the national population</w:t>
      </w:r>
      <w:r>
        <w:rPr>
          <w:rFonts w:cstheme="minorHAnsi"/>
          <w:color w:val="404040" w:themeColor="text1" w:themeTint="BF"/>
          <w:sz w:val="21"/>
          <w:szCs w:val="21"/>
        </w:rPr>
        <w:t xml:space="preserve">. More specifically, the proportional representation of these groups assessed across </w:t>
      </w:r>
      <w:r w:rsidRPr="00DA4A31">
        <w:rPr>
          <w:rFonts w:ascii="Calibri" w:hAnsi="Calibri" w:cs="Calibri"/>
          <w:color w:val="404040" w:themeColor="text1" w:themeTint="BF"/>
          <w:sz w:val="21"/>
          <w:szCs w:val="21"/>
          <w:lang w:eastAsia="en-GB"/>
        </w:rPr>
        <w:t>two key decision-making positions</w:t>
      </w:r>
      <w:r>
        <w:rPr>
          <w:rFonts w:ascii="Calibri" w:hAnsi="Calibri" w:cs="Calibri"/>
          <w:color w:val="404040" w:themeColor="text1" w:themeTint="BF"/>
          <w:sz w:val="21"/>
          <w:szCs w:val="21"/>
          <w:lang w:eastAsia="en-GB"/>
        </w:rPr>
        <w:t xml:space="preserve"> </w:t>
      </w:r>
      <w:r w:rsidRPr="00DA4A31">
        <w:rPr>
          <w:rFonts w:ascii="Calibri" w:hAnsi="Calibri" w:cs="Calibri"/>
          <w:color w:val="404040" w:themeColor="text1" w:themeTint="BF"/>
          <w:sz w:val="21"/>
          <w:szCs w:val="21"/>
          <w:lang w:eastAsia="en-GB"/>
        </w:rPr>
        <w:t xml:space="preserve">in </w:t>
      </w:r>
      <w:r w:rsidRPr="004C0DBD">
        <w:rPr>
          <w:rFonts w:ascii="Calibri" w:hAnsi="Calibri" w:cs="Calibri"/>
          <w:color w:val="404040" w:themeColor="text1" w:themeTint="BF"/>
          <w:sz w:val="21"/>
          <w:szCs w:val="21"/>
          <w:lang w:eastAsia="en-GB"/>
        </w:rPr>
        <w:t xml:space="preserve">the </w:t>
      </w:r>
      <w:r>
        <w:rPr>
          <w:rFonts w:ascii="Calibri" w:hAnsi="Calibri" w:cs="Calibri"/>
          <w:color w:val="404040" w:themeColor="text1" w:themeTint="BF"/>
          <w:sz w:val="21"/>
          <w:szCs w:val="21"/>
          <w:lang w:eastAsia="en-GB"/>
        </w:rPr>
        <w:t>judiciary</w:t>
      </w:r>
      <w:r w:rsidRPr="004C0DBD">
        <w:rPr>
          <w:rFonts w:ascii="Calibri" w:hAnsi="Calibri" w:cs="Calibri"/>
          <w:color w:val="404040" w:themeColor="text1" w:themeTint="BF"/>
          <w:sz w:val="21"/>
          <w:szCs w:val="21"/>
          <w:lang w:eastAsia="en-GB"/>
        </w:rPr>
        <w:t xml:space="preserve"> </w:t>
      </w:r>
      <w:r w:rsidRPr="00DA4A31">
        <w:rPr>
          <w:rFonts w:ascii="Calibri" w:hAnsi="Calibri" w:cs="Calibri"/>
          <w:color w:val="404040" w:themeColor="text1" w:themeTint="BF"/>
          <w:sz w:val="21"/>
          <w:szCs w:val="21"/>
          <w:lang w:eastAsia="en-GB"/>
        </w:rPr>
        <w:t>(judges and registrars</w:t>
      </w:r>
      <w:r>
        <w:rPr>
          <w:rFonts w:ascii="Calibri" w:hAnsi="Calibri" w:cs="Calibri"/>
          <w:color w:val="404040" w:themeColor="text1" w:themeTint="BF"/>
          <w:sz w:val="21"/>
          <w:szCs w:val="21"/>
          <w:lang w:eastAsia="en-GB"/>
        </w:rPr>
        <w:t xml:space="preserve">) </w:t>
      </w:r>
      <w:r w:rsidRPr="00E66066">
        <w:rPr>
          <w:rFonts w:eastAsia="Times New Roman" w:cs="Times New Roman"/>
          <w:color w:val="404040" w:themeColor="text1" w:themeTint="BF"/>
          <w:sz w:val="21"/>
          <w:szCs w:val="21"/>
          <w:lang w:eastAsia="en-GB"/>
        </w:rPr>
        <w:t xml:space="preserve">as well as across </w:t>
      </w:r>
      <w:r w:rsidRPr="00F96F97">
        <w:rPr>
          <w:rFonts w:eastAsia="Times New Roman" w:cs="Times New Roman"/>
          <w:color w:val="404040" w:themeColor="text1" w:themeTint="BF"/>
          <w:sz w:val="21"/>
          <w:szCs w:val="21"/>
          <w:lang w:eastAsia="en-GB"/>
        </w:rPr>
        <w:t>three ‘levels’ of courts</w:t>
      </w:r>
      <w:r>
        <w:rPr>
          <w:rFonts w:eastAsia="Times New Roman" w:cs="Times New Roman"/>
          <w:color w:val="404040" w:themeColor="text1" w:themeTint="BF"/>
          <w:sz w:val="21"/>
          <w:szCs w:val="21"/>
          <w:lang w:eastAsia="en-GB"/>
        </w:rPr>
        <w:t>.</w:t>
      </w:r>
    </w:p>
    <w:p w14:paraId="6880317F" w14:textId="77777777" w:rsidR="0069230D" w:rsidRDefault="0069230D" w:rsidP="0069230D">
      <w:pPr>
        <w:shd w:val="clear" w:color="auto" w:fill="FFFFFF"/>
        <w:spacing w:after="0"/>
        <w:rPr>
          <w:rFonts w:eastAsia="Times New Roman" w:cstheme="minorHAnsi"/>
          <w:bCs/>
          <w:color w:val="404040" w:themeColor="text1" w:themeTint="BF"/>
          <w:sz w:val="21"/>
          <w:szCs w:val="21"/>
          <w:lang w:eastAsia="en-GB"/>
        </w:rPr>
      </w:pPr>
    </w:p>
    <w:p w14:paraId="18F7B6C5" w14:textId="77777777" w:rsidR="0069230D" w:rsidRPr="004708A1" w:rsidRDefault="0069230D" w:rsidP="0069230D">
      <w:pPr>
        <w:shd w:val="clear" w:color="auto" w:fill="FFFFFF"/>
        <w:spacing w:after="0"/>
        <w:rPr>
          <w:rFonts w:eastAsia="Times New Roman" w:cstheme="minorHAnsi"/>
          <w:bCs/>
          <w:color w:val="404040" w:themeColor="text1" w:themeTint="BF"/>
          <w:sz w:val="21"/>
          <w:szCs w:val="21"/>
          <w:lang w:eastAsia="en-GB"/>
        </w:rPr>
      </w:pPr>
      <w:r w:rsidRPr="004708A1">
        <w:rPr>
          <w:rFonts w:eastAsia="Times New Roman" w:cstheme="minorHAnsi"/>
          <w:bCs/>
          <w:color w:val="404040" w:themeColor="text1" w:themeTint="BF"/>
          <w:sz w:val="21"/>
          <w:szCs w:val="21"/>
          <w:lang w:eastAsia="en-GB"/>
        </w:rPr>
        <w:t>Global reporting on indicator 16.7.1</w:t>
      </w:r>
      <w:r>
        <w:rPr>
          <w:rFonts w:eastAsia="Times New Roman" w:cstheme="minorHAnsi"/>
          <w:bCs/>
          <w:color w:val="404040" w:themeColor="text1" w:themeTint="BF"/>
          <w:sz w:val="21"/>
          <w:szCs w:val="21"/>
          <w:lang w:eastAsia="en-GB"/>
        </w:rPr>
        <w:t>(c)</w:t>
      </w:r>
      <w:r w:rsidRPr="004708A1">
        <w:rPr>
          <w:rFonts w:eastAsia="Times New Roman" w:cstheme="minorHAnsi"/>
          <w:bCs/>
          <w:color w:val="404040" w:themeColor="text1" w:themeTint="BF"/>
          <w:sz w:val="21"/>
          <w:szCs w:val="21"/>
          <w:lang w:eastAsia="en-GB"/>
        </w:rPr>
        <w:t xml:space="preserve"> </w:t>
      </w:r>
      <w:r>
        <w:rPr>
          <w:rFonts w:eastAsia="Times New Roman" w:cstheme="minorHAnsi"/>
          <w:bCs/>
          <w:color w:val="404040" w:themeColor="text1" w:themeTint="BF"/>
          <w:sz w:val="21"/>
          <w:szCs w:val="21"/>
          <w:lang w:eastAsia="en-GB"/>
        </w:rPr>
        <w:t xml:space="preserve">for judges </w:t>
      </w:r>
      <w:r w:rsidRPr="004708A1">
        <w:rPr>
          <w:rFonts w:eastAsia="Times New Roman" w:cstheme="minorHAnsi"/>
          <w:bCs/>
          <w:color w:val="404040" w:themeColor="text1" w:themeTint="BF"/>
          <w:sz w:val="21"/>
          <w:szCs w:val="21"/>
          <w:lang w:eastAsia="en-GB"/>
        </w:rPr>
        <w:t xml:space="preserve">can be done in </w:t>
      </w:r>
      <w:r>
        <w:rPr>
          <w:rFonts w:eastAsia="Times New Roman" w:cstheme="minorHAnsi"/>
          <w:bCs/>
          <w:color w:val="404040" w:themeColor="text1" w:themeTint="BF"/>
          <w:sz w:val="21"/>
          <w:szCs w:val="21"/>
          <w:lang w:eastAsia="en-GB"/>
        </w:rPr>
        <w:t>three</w:t>
      </w:r>
      <w:r w:rsidRPr="004708A1">
        <w:rPr>
          <w:rFonts w:eastAsia="Times New Roman" w:cstheme="minorHAnsi"/>
          <w:bCs/>
          <w:color w:val="404040" w:themeColor="text1" w:themeTint="BF"/>
          <w:sz w:val="21"/>
          <w:szCs w:val="21"/>
          <w:lang w:eastAsia="en-GB"/>
        </w:rPr>
        <w:t xml:space="preserve"> steps: </w:t>
      </w:r>
    </w:p>
    <w:p w14:paraId="722B710A" w14:textId="77777777" w:rsidR="0069230D" w:rsidRDefault="0069230D" w:rsidP="0069230D">
      <w:pPr>
        <w:shd w:val="clear" w:color="auto" w:fill="FFFFFF"/>
        <w:spacing w:after="0"/>
        <w:rPr>
          <w:rFonts w:eastAsia="Times New Roman" w:cstheme="minorHAnsi"/>
          <w:bCs/>
          <w:color w:val="404040" w:themeColor="text1" w:themeTint="BF"/>
          <w:sz w:val="21"/>
          <w:szCs w:val="21"/>
          <w:lang w:eastAsia="en-GB"/>
        </w:rPr>
      </w:pPr>
    </w:p>
    <w:p w14:paraId="079C85CC" w14:textId="77777777" w:rsidR="0069230D" w:rsidRDefault="0069230D" w:rsidP="0069230D">
      <w:pPr>
        <w:shd w:val="clear" w:color="auto" w:fill="FFFFFF"/>
        <w:spacing w:after="0"/>
        <w:jc w:val="both"/>
        <w:rPr>
          <w:rFonts w:eastAsia="Times New Roman" w:cstheme="minorHAnsi"/>
          <w:bCs/>
          <w:color w:val="404040" w:themeColor="text1" w:themeTint="BF"/>
          <w:sz w:val="21"/>
          <w:szCs w:val="21"/>
          <w:lang w:eastAsia="en-GB"/>
        </w:rPr>
      </w:pPr>
      <w:r w:rsidRPr="00FC7A0B">
        <w:rPr>
          <w:rFonts w:eastAsia="Times New Roman" w:cstheme="minorHAnsi"/>
          <w:b/>
          <w:color w:val="404040" w:themeColor="text1" w:themeTint="BF"/>
          <w:sz w:val="21"/>
          <w:szCs w:val="21"/>
          <w:lang w:eastAsia="en-GB"/>
        </w:rPr>
        <w:t xml:space="preserve">Step 1 </w:t>
      </w:r>
      <w:r w:rsidRPr="00E318B6">
        <w:rPr>
          <w:rFonts w:eastAsia="Times New Roman" w:cstheme="minorHAnsi"/>
          <w:bCs/>
          <w:color w:val="404040" w:themeColor="text1" w:themeTint="BF"/>
          <w:sz w:val="21"/>
          <w:szCs w:val="21"/>
          <w:lang w:eastAsia="en-GB"/>
        </w:rPr>
        <w:t xml:space="preserve">requires data producers to compile the raw numbers of personnel in the </w:t>
      </w:r>
      <w:r>
        <w:rPr>
          <w:rFonts w:eastAsia="Times New Roman" w:cstheme="minorHAnsi"/>
          <w:bCs/>
          <w:color w:val="404040" w:themeColor="text1" w:themeTint="BF"/>
          <w:sz w:val="21"/>
          <w:szCs w:val="21"/>
          <w:lang w:eastAsia="en-GB"/>
        </w:rPr>
        <w:t>judiciary</w:t>
      </w:r>
      <w:r w:rsidRPr="00E318B6">
        <w:rPr>
          <w:rFonts w:eastAsia="Times New Roman" w:cstheme="minorHAnsi"/>
          <w:bCs/>
          <w:color w:val="404040" w:themeColor="text1" w:themeTint="BF"/>
          <w:sz w:val="21"/>
          <w:szCs w:val="21"/>
          <w:lang w:eastAsia="en-GB"/>
        </w:rPr>
        <w:t>, disaggregated along</w:t>
      </w:r>
      <w:r>
        <w:rPr>
          <w:rFonts w:eastAsia="Times New Roman" w:cstheme="minorHAnsi"/>
          <w:bCs/>
          <w:color w:val="404040" w:themeColor="text1" w:themeTint="BF"/>
          <w:sz w:val="21"/>
          <w:szCs w:val="21"/>
          <w:lang w:eastAsia="en-GB"/>
        </w:rPr>
        <w:t xml:space="preserve"> the two position types and three levels of courts. </w:t>
      </w:r>
      <w:r w:rsidRPr="00E318B6">
        <w:rPr>
          <w:rFonts w:eastAsia="Times New Roman" w:cstheme="minorHAnsi"/>
          <w:bCs/>
          <w:color w:val="404040" w:themeColor="text1" w:themeTint="BF"/>
          <w:sz w:val="21"/>
          <w:szCs w:val="21"/>
          <w:lang w:eastAsia="en-GB"/>
        </w:rPr>
        <w:t>The table below provides an illustration of how this “raw” data can be compiled. (NB: For ease of presentation, this table excludes ‘total’ columns and rows, which data producers may wish to include)</w:t>
      </w:r>
      <w:r>
        <w:rPr>
          <w:rFonts w:eastAsia="Times New Roman" w:cstheme="minorHAnsi"/>
          <w:bCs/>
          <w:color w:val="404040" w:themeColor="text1" w:themeTint="BF"/>
          <w:sz w:val="21"/>
          <w:szCs w:val="21"/>
          <w:lang w:eastAsia="en-GB"/>
        </w:rPr>
        <w:t>.</w:t>
      </w:r>
    </w:p>
    <w:p w14:paraId="278B1D0C" w14:textId="703E680F" w:rsidR="0069230D" w:rsidRDefault="0069230D" w:rsidP="00FA4517">
      <w:pPr>
        <w:spacing w:after="0"/>
        <w:rPr>
          <w:rFonts w:eastAsia="Times New Roman" w:cstheme="minorHAnsi"/>
          <w:bCs/>
          <w:color w:val="404040" w:themeColor="text1" w:themeTint="BF"/>
          <w:sz w:val="21"/>
          <w:szCs w:val="21"/>
          <w:lang w:eastAsia="en-GB"/>
        </w:rPr>
      </w:pPr>
    </w:p>
    <w:p w14:paraId="1EE6229D" w14:textId="77777777" w:rsidR="0069230D" w:rsidRDefault="0069230D" w:rsidP="0069230D">
      <w:pPr>
        <w:shd w:val="clear" w:color="auto" w:fill="FFFFFF"/>
        <w:spacing w:after="0"/>
        <w:jc w:val="both"/>
        <w:rPr>
          <w:rFonts w:eastAsia="Times New Roman" w:cstheme="minorHAnsi"/>
          <w:bCs/>
          <w:color w:val="404040" w:themeColor="text1" w:themeTint="BF"/>
          <w:sz w:val="21"/>
          <w:szCs w:val="21"/>
          <w:lang w:eastAsia="en-GB"/>
        </w:rPr>
      </w:pPr>
    </w:p>
    <w:tbl>
      <w:tblPr>
        <w:tblW w:w="10171" w:type="dxa"/>
        <w:jc w:val="center"/>
        <w:tblLook w:val="04A0" w:firstRow="1" w:lastRow="0" w:firstColumn="1" w:lastColumn="0" w:noHBand="0" w:noVBand="1"/>
      </w:tblPr>
      <w:tblGrid>
        <w:gridCol w:w="1276"/>
        <w:gridCol w:w="816"/>
        <w:gridCol w:w="425"/>
        <w:gridCol w:w="567"/>
        <w:gridCol w:w="567"/>
        <w:gridCol w:w="567"/>
        <w:gridCol w:w="567"/>
        <w:gridCol w:w="394"/>
        <w:gridCol w:w="839"/>
        <w:gridCol w:w="893"/>
        <w:gridCol w:w="851"/>
        <w:gridCol w:w="850"/>
        <w:gridCol w:w="851"/>
        <w:gridCol w:w="708"/>
      </w:tblGrid>
      <w:tr w:rsidR="0069230D" w:rsidRPr="00DC5BFE" w14:paraId="743A2606" w14:textId="77777777" w:rsidTr="0069230D">
        <w:trPr>
          <w:trHeight w:val="220"/>
          <w:jc w:val="center"/>
        </w:trPr>
        <w:tc>
          <w:tcPr>
            <w:tcW w:w="1276" w:type="dxa"/>
            <w:tcBorders>
              <w:top w:val="nil"/>
              <w:left w:val="nil"/>
              <w:bottom w:val="nil"/>
              <w:right w:val="nil"/>
            </w:tcBorders>
            <w:shd w:val="clear" w:color="auto" w:fill="auto"/>
            <w:noWrap/>
            <w:tcMar>
              <w:left w:w="28" w:type="dxa"/>
              <w:right w:w="28" w:type="dxa"/>
            </w:tcMar>
            <w:hideMark/>
          </w:tcPr>
          <w:p w14:paraId="7DCA9EEC" w14:textId="77777777" w:rsidR="0069230D" w:rsidRPr="00DC5BFE" w:rsidRDefault="0069230D" w:rsidP="0069230D">
            <w:pPr>
              <w:spacing w:after="0" w:line="240" w:lineRule="auto"/>
              <w:rPr>
                <w:rFonts w:ascii="Times New Roman" w:eastAsia="Times New Roman" w:hAnsi="Times New Roman" w:cs="Times New Roman"/>
                <w:sz w:val="20"/>
                <w:szCs w:val="20"/>
                <w:lang w:eastAsia="en-GB"/>
              </w:rPr>
            </w:pPr>
          </w:p>
        </w:tc>
        <w:tc>
          <w:tcPr>
            <w:tcW w:w="816" w:type="dxa"/>
            <w:tcBorders>
              <w:top w:val="nil"/>
              <w:left w:val="nil"/>
              <w:bottom w:val="nil"/>
              <w:right w:val="nil"/>
            </w:tcBorders>
            <w:shd w:val="clear" w:color="auto" w:fill="auto"/>
            <w:noWrap/>
            <w:tcMar>
              <w:left w:w="28" w:type="dxa"/>
              <w:right w:w="28" w:type="dxa"/>
            </w:tcMar>
            <w:hideMark/>
          </w:tcPr>
          <w:p w14:paraId="613FC549" w14:textId="77777777" w:rsidR="0069230D" w:rsidRPr="00DC5BFE" w:rsidRDefault="0069230D" w:rsidP="0069230D">
            <w:pPr>
              <w:spacing w:after="0" w:line="240" w:lineRule="auto"/>
              <w:rPr>
                <w:rFonts w:ascii="Times New Roman" w:eastAsia="Times New Roman" w:hAnsi="Times New Roman" w:cs="Times New Roman"/>
                <w:sz w:val="20"/>
                <w:szCs w:val="20"/>
                <w:lang w:eastAsia="en-GB"/>
              </w:rPr>
            </w:pP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hideMark/>
          </w:tcPr>
          <w:p w14:paraId="66805D9B"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Sex</w:t>
            </w:r>
          </w:p>
        </w:tc>
        <w:tc>
          <w:tcPr>
            <w:tcW w:w="2095" w:type="dxa"/>
            <w:gridSpan w:val="4"/>
            <w:tcBorders>
              <w:top w:val="single" w:sz="4" w:space="0" w:color="auto"/>
              <w:left w:val="nil"/>
              <w:bottom w:val="single" w:sz="4" w:space="0" w:color="auto"/>
              <w:right w:val="single" w:sz="4" w:space="0" w:color="auto"/>
            </w:tcBorders>
            <w:shd w:val="clear" w:color="auto" w:fill="auto"/>
          </w:tcPr>
          <w:p w14:paraId="6593E636"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Age group</w:t>
            </w:r>
          </w:p>
        </w:tc>
        <w:tc>
          <w:tcPr>
            <w:tcW w:w="1732" w:type="dxa"/>
            <w:gridSpan w:val="2"/>
            <w:tcBorders>
              <w:top w:val="single" w:sz="4" w:space="0" w:color="auto"/>
              <w:left w:val="nil"/>
              <w:bottom w:val="single" w:sz="4" w:space="0" w:color="auto"/>
              <w:right w:val="single" w:sz="4" w:space="0" w:color="auto"/>
            </w:tcBorders>
            <w:shd w:val="clear" w:color="auto" w:fill="auto"/>
            <w:noWrap/>
            <w:tcMar>
              <w:left w:w="28" w:type="dxa"/>
              <w:right w:w="28" w:type="dxa"/>
            </w:tcMar>
            <w:hideMark/>
          </w:tcPr>
          <w:p w14:paraId="75F39CD3"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Disability status</w:t>
            </w:r>
          </w:p>
        </w:tc>
        <w:tc>
          <w:tcPr>
            <w:tcW w:w="3260" w:type="dxa"/>
            <w:gridSpan w:val="4"/>
            <w:tcBorders>
              <w:top w:val="single" w:sz="4" w:space="0" w:color="auto"/>
              <w:left w:val="nil"/>
              <w:bottom w:val="single" w:sz="4" w:space="0" w:color="auto"/>
              <w:right w:val="single" w:sz="4" w:space="0" w:color="auto"/>
            </w:tcBorders>
            <w:shd w:val="clear" w:color="auto" w:fill="auto"/>
            <w:noWrap/>
            <w:tcMar>
              <w:left w:w="28" w:type="dxa"/>
              <w:right w:w="28" w:type="dxa"/>
            </w:tcMar>
            <w:hideMark/>
          </w:tcPr>
          <w:p w14:paraId="1DD44A7C"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Population subgroup</w:t>
            </w:r>
          </w:p>
        </w:tc>
      </w:tr>
      <w:tr w:rsidR="0069230D" w:rsidRPr="00DC5BFE" w14:paraId="7566EDDD" w14:textId="77777777" w:rsidTr="0069230D">
        <w:trPr>
          <w:trHeight w:val="220"/>
          <w:jc w:val="center"/>
        </w:trPr>
        <w:tc>
          <w:tcPr>
            <w:tcW w:w="1276" w:type="dxa"/>
            <w:tcBorders>
              <w:top w:val="nil"/>
              <w:left w:val="nil"/>
              <w:bottom w:val="nil"/>
              <w:right w:val="nil"/>
            </w:tcBorders>
            <w:shd w:val="clear" w:color="auto" w:fill="auto"/>
            <w:noWrap/>
            <w:tcMar>
              <w:left w:w="28" w:type="dxa"/>
              <w:right w:w="28" w:type="dxa"/>
            </w:tcMar>
            <w:hideMark/>
          </w:tcPr>
          <w:p w14:paraId="75D1B01C" w14:textId="77777777" w:rsidR="0069230D" w:rsidRPr="00DC5BFE" w:rsidRDefault="0069230D" w:rsidP="0069230D">
            <w:pPr>
              <w:spacing w:after="0" w:line="240" w:lineRule="auto"/>
              <w:rPr>
                <w:rFonts w:ascii="Times New Roman" w:eastAsia="Times New Roman" w:hAnsi="Times New Roman" w:cs="Times New Roman"/>
                <w:sz w:val="20"/>
                <w:szCs w:val="20"/>
                <w:lang w:eastAsia="en-GB"/>
              </w:rPr>
            </w:pPr>
          </w:p>
        </w:tc>
        <w:tc>
          <w:tcPr>
            <w:tcW w:w="816" w:type="dxa"/>
            <w:tcBorders>
              <w:top w:val="nil"/>
              <w:left w:val="nil"/>
              <w:bottom w:val="nil"/>
              <w:right w:val="nil"/>
            </w:tcBorders>
            <w:shd w:val="clear" w:color="auto" w:fill="auto"/>
            <w:noWrap/>
            <w:tcMar>
              <w:left w:w="28" w:type="dxa"/>
              <w:right w:w="28" w:type="dxa"/>
            </w:tcMar>
            <w:hideMark/>
          </w:tcPr>
          <w:p w14:paraId="085E0CCC" w14:textId="77777777" w:rsidR="0069230D" w:rsidRPr="00DC5BFE" w:rsidRDefault="0069230D" w:rsidP="0069230D">
            <w:pPr>
              <w:spacing w:after="0" w:line="240" w:lineRule="auto"/>
              <w:rPr>
                <w:rFonts w:ascii="Times New Roman" w:eastAsia="Times New Roman" w:hAnsi="Times New Roman" w:cs="Times New Roman"/>
                <w:sz w:val="20"/>
                <w:szCs w:val="20"/>
                <w:lang w:eastAsia="en-GB"/>
              </w:rPr>
            </w:pPr>
          </w:p>
        </w:tc>
        <w:tc>
          <w:tcPr>
            <w:tcW w:w="425" w:type="dxa"/>
            <w:tcBorders>
              <w:top w:val="nil"/>
              <w:left w:val="single" w:sz="4" w:space="0" w:color="auto"/>
              <w:bottom w:val="single" w:sz="4" w:space="0" w:color="auto"/>
              <w:right w:val="single" w:sz="4" w:space="0" w:color="auto"/>
            </w:tcBorders>
            <w:shd w:val="clear" w:color="auto" w:fill="auto"/>
            <w:noWrap/>
            <w:tcMar>
              <w:left w:w="28" w:type="dxa"/>
              <w:right w:w="28" w:type="dxa"/>
            </w:tcMar>
            <w:hideMark/>
          </w:tcPr>
          <w:p w14:paraId="1B1DB3DF"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Male</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5D8A299B"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Female</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186B16F9"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Pr>
                <w:rFonts w:ascii="Calibri" w:eastAsia="Times New Roman" w:hAnsi="Calibri" w:cs="Times New Roman"/>
                <w:color w:val="000000"/>
                <w:sz w:val="16"/>
                <w:szCs w:val="16"/>
                <w:lang w:eastAsia="en-GB"/>
              </w:rPr>
              <w:t>&lt;</w:t>
            </w:r>
            <w:r w:rsidRPr="00DC5BFE">
              <w:rPr>
                <w:rFonts w:ascii="Calibri" w:eastAsia="Times New Roman" w:hAnsi="Calibri" w:cs="Times New Roman"/>
                <w:color w:val="000000"/>
                <w:sz w:val="16"/>
                <w:szCs w:val="16"/>
                <w:lang w:eastAsia="en-GB"/>
              </w:rPr>
              <w:t>4</w:t>
            </w:r>
            <w:r>
              <w:rPr>
                <w:rFonts w:ascii="Calibri" w:eastAsia="Times New Roman" w:hAnsi="Calibri" w:cs="Times New Roman"/>
                <w:color w:val="000000"/>
                <w:sz w:val="16"/>
                <w:szCs w:val="16"/>
                <w:lang w:eastAsia="en-GB"/>
              </w:rPr>
              <w:t>5</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5F5D0501"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45-54</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0E95DA32"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55-64</w:t>
            </w:r>
          </w:p>
        </w:tc>
        <w:tc>
          <w:tcPr>
            <w:tcW w:w="394" w:type="dxa"/>
            <w:tcBorders>
              <w:top w:val="nil"/>
              <w:left w:val="nil"/>
              <w:bottom w:val="single" w:sz="4" w:space="0" w:color="auto"/>
              <w:right w:val="single" w:sz="4" w:space="0" w:color="auto"/>
            </w:tcBorders>
            <w:shd w:val="clear" w:color="auto" w:fill="auto"/>
            <w:noWrap/>
            <w:tcMar>
              <w:left w:w="28" w:type="dxa"/>
              <w:right w:w="28" w:type="dxa"/>
            </w:tcMar>
            <w:hideMark/>
          </w:tcPr>
          <w:p w14:paraId="25E07A0C"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65+</w:t>
            </w:r>
          </w:p>
        </w:tc>
        <w:tc>
          <w:tcPr>
            <w:tcW w:w="839" w:type="dxa"/>
            <w:tcBorders>
              <w:top w:val="nil"/>
              <w:left w:val="nil"/>
              <w:bottom w:val="single" w:sz="4" w:space="0" w:color="auto"/>
              <w:right w:val="single" w:sz="4" w:space="0" w:color="auto"/>
            </w:tcBorders>
            <w:shd w:val="clear" w:color="auto" w:fill="auto"/>
            <w:noWrap/>
            <w:tcMar>
              <w:left w:w="28" w:type="dxa"/>
              <w:right w:w="28" w:type="dxa"/>
            </w:tcMar>
            <w:hideMark/>
          </w:tcPr>
          <w:p w14:paraId="2FB6D595"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Disabled</w:t>
            </w:r>
          </w:p>
        </w:tc>
        <w:tc>
          <w:tcPr>
            <w:tcW w:w="893" w:type="dxa"/>
            <w:tcBorders>
              <w:top w:val="nil"/>
              <w:left w:val="nil"/>
              <w:bottom w:val="single" w:sz="4" w:space="0" w:color="auto"/>
              <w:right w:val="single" w:sz="4" w:space="0" w:color="auto"/>
            </w:tcBorders>
            <w:shd w:val="clear" w:color="auto" w:fill="auto"/>
            <w:noWrap/>
            <w:tcMar>
              <w:left w:w="28" w:type="dxa"/>
              <w:right w:w="28" w:type="dxa"/>
            </w:tcMar>
            <w:hideMark/>
          </w:tcPr>
          <w:p w14:paraId="142C89F3"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Not disabled</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0BB4FA6F"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Group A</w:t>
            </w:r>
          </w:p>
        </w:tc>
        <w:tc>
          <w:tcPr>
            <w:tcW w:w="850" w:type="dxa"/>
            <w:tcBorders>
              <w:top w:val="nil"/>
              <w:left w:val="nil"/>
              <w:bottom w:val="single" w:sz="4" w:space="0" w:color="auto"/>
              <w:right w:val="single" w:sz="4" w:space="0" w:color="auto"/>
            </w:tcBorders>
            <w:shd w:val="clear" w:color="auto" w:fill="auto"/>
            <w:noWrap/>
            <w:tcMar>
              <w:left w:w="28" w:type="dxa"/>
              <w:right w:w="28" w:type="dxa"/>
            </w:tcMar>
            <w:hideMark/>
          </w:tcPr>
          <w:p w14:paraId="38F82EEB"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xml:space="preserve">Group B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242CC8DC"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Group C</w:t>
            </w:r>
          </w:p>
        </w:tc>
        <w:tc>
          <w:tcPr>
            <w:tcW w:w="708" w:type="dxa"/>
            <w:tcBorders>
              <w:top w:val="nil"/>
              <w:left w:val="nil"/>
              <w:bottom w:val="single" w:sz="4" w:space="0" w:color="auto"/>
              <w:right w:val="single" w:sz="4" w:space="0" w:color="auto"/>
            </w:tcBorders>
            <w:shd w:val="clear" w:color="auto" w:fill="auto"/>
            <w:noWrap/>
            <w:tcMar>
              <w:left w:w="28" w:type="dxa"/>
              <w:right w:w="28" w:type="dxa"/>
            </w:tcMar>
            <w:hideMark/>
          </w:tcPr>
          <w:p w14:paraId="65227171"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xml:space="preserve">Group D </w:t>
            </w:r>
          </w:p>
        </w:tc>
      </w:tr>
      <w:tr w:rsidR="0069230D" w:rsidRPr="00DC5BFE" w14:paraId="3C143336" w14:textId="77777777" w:rsidTr="0069230D">
        <w:trPr>
          <w:trHeight w:val="220"/>
          <w:jc w:val="center"/>
        </w:trPr>
        <w:tc>
          <w:tcPr>
            <w:tcW w:w="1276" w:type="dxa"/>
            <w:vMerge w:val="restart"/>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hideMark/>
          </w:tcPr>
          <w:p w14:paraId="08C0341F" w14:textId="77777777" w:rsidR="0069230D" w:rsidRPr="00DC5BFE" w:rsidRDefault="0069230D" w:rsidP="0069230D">
            <w:pPr>
              <w:spacing w:after="0" w:line="240" w:lineRule="auto"/>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val="en-US" w:eastAsia="en-US"/>
              </w:rPr>
              <w:t>Constitutional/ supreme courts</w:t>
            </w:r>
          </w:p>
        </w:tc>
        <w:tc>
          <w:tcPr>
            <w:tcW w:w="816" w:type="dxa"/>
            <w:tcBorders>
              <w:top w:val="single" w:sz="4" w:space="0" w:color="auto"/>
              <w:left w:val="nil"/>
              <w:bottom w:val="single" w:sz="4" w:space="0" w:color="auto"/>
              <w:right w:val="single" w:sz="4" w:space="0" w:color="auto"/>
            </w:tcBorders>
            <w:shd w:val="clear" w:color="auto" w:fill="auto"/>
            <w:noWrap/>
            <w:tcMar>
              <w:left w:w="28" w:type="dxa"/>
              <w:right w:w="28" w:type="dxa"/>
            </w:tcMar>
            <w:hideMark/>
          </w:tcPr>
          <w:p w14:paraId="509C2E0D" w14:textId="77777777" w:rsidR="0069230D" w:rsidRPr="00DC5BFE" w:rsidRDefault="0069230D" w:rsidP="0069230D">
            <w:pPr>
              <w:spacing w:after="0" w:line="240" w:lineRule="auto"/>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Judges</w:t>
            </w:r>
          </w:p>
        </w:tc>
        <w:tc>
          <w:tcPr>
            <w:tcW w:w="425" w:type="dxa"/>
            <w:tcBorders>
              <w:top w:val="nil"/>
              <w:left w:val="nil"/>
              <w:bottom w:val="single" w:sz="4" w:space="0" w:color="auto"/>
              <w:right w:val="single" w:sz="4" w:space="0" w:color="auto"/>
            </w:tcBorders>
            <w:shd w:val="clear" w:color="auto" w:fill="auto"/>
            <w:noWrap/>
            <w:tcMar>
              <w:left w:w="28" w:type="dxa"/>
              <w:right w:w="28" w:type="dxa"/>
            </w:tcMar>
            <w:hideMark/>
          </w:tcPr>
          <w:p w14:paraId="129F89AF"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0D71B3B4"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5E07AB8C"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674D0BAC"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11C5C251"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394" w:type="dxa"/>
            <w:tcBorders>
              <w:top w:val="nil"/>
              <w:left w:val="nil"/>
              <w:bottom w:val="single" w:sz="4" w:space="0" w:color="auto"/>
              <w:right w:val="single" w:sz="4" w:space="0" w:color="auto"/>
            </w:tcBorders>
            <w:shd w:val="clear" w:color="auto" w:fill="auto"/>
            <w:noWrap/>
            <w:tcMar>
              <w:left w:w="28" w:type="dxa"/>
              <w:right w:w="28" w:type="dxa"/>
            </w:tcMar>
            <w:hideMark/>
          </w:tcPr>
          <w:p w14:paraId="6ABC686D"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839" w:type="dxa"/>
            <w:tcBorders>
              <w:top w:val="nil"/>
              <w:left w:val="nil"/>
              <w:bottom w:val="single" w:sz="4" w:space="0" w:color="auto"/>
              <w:right w:val="single" w:sz="4" w:space="0" w:color="auto"/>
            </w:tcBorders>
            <w:shd w:val="clear" w:color="auto" w:fill="auto"/>
            <w:noWrap/>
            <w:tcMar>
              <w:left w:w="28" w:type="dxa"/>
              <w:right w:w="28" w:type="dxa"/>
            </w:tcMar>
            <w:hideMark/>
          </w:tcPr>
          <w:p w14:paraId="58FF16FB"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893" w:type="dxa"/>
            <w:tcBorders>
              <w:top w:val="nil"/>
              <w:left w:val="nil"/>
              <w:bottom w:val="single" w:sz="4" w:space="0" w:color="auto"/>
              <w:right w:val="single" w:sz="4" w:space="0" w:color="auto"/>
            </w:tcBorders>
            <w:shd w:val="clear" w:color="auto" w:fill="auto"/>
            <w:noWrap/>
            <w:tcMar>
              <w:left w:w="28" w:type="dxa"/>
              <w:right w:w="28" w:type="dxa"/>
            </w:tcMar>
            <w:hideMark/>
          </w:tcPr>
          <w:p w14:paraId="4D217EEA"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190EA7C9"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850" w:type="dxa"/>
            <w:tcBorders>
              <w:top w:val="nil"/>
              <w:left w:val="nil"/>
              <w:bottom w:val="single" w:sz="4" w:space="0" w:color="auto"/>
              <w:right w:val="single" w:sz="4" w:space="0" w:color="auto"/>
            </w:tcBorders>
            <w:shd w:val="clear" w:color="auto" w:fill="auto"/>
            <w:noWrap/>
            <w:tcMar>
              <w:left w:w="28" w:type="dxa"/>
              <w:right w:w="28" w:type="dxa"/>
            </w:tcMar>
            <w:hideMark/>
          </w:tcPr>
          <w:p w14:paraId="62477627"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6A8C8F7B"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708" w:type="dxa"/>
            <w:tcBorders>
              <w:top w:val="nil"/>
              <w:left w:val="nil"/>
              <w:bottom w:val="single" w:sz="4" w:space="0" w:color="auto"/>
              <w:right w:val="single" w:sz="4" w:space="0" w:color="auto"/>
            </w:tcBorders>
            <w:shd w:val="clear" w:color="auto" w:fill="auto"/>
            <w:noWrap/>
            <w:tcMar>
              <w:left w:w="28" w:type="dxa"/>
              <w:right w:w="28" w:type="dxa"/>
            </w:tcMar>
            <w:hideMark/>
          </w:tcPr>
          <w:p w14:paraId="2D694F4E"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r>
      <w:tr w:rsidR="0069230D" w:rsidRPr="00DC5BFE" w14:paraId="6369438C" w14:textId="77777777" w:rsidTr="0069230D">
        <w:trPr>
          <w:trHeight w:val="220"/>
          <w:jc w:val="center"/>
        </w:trPr>
        <w:tc>
          <w:tcPr>
            <w:tcW w:w="1276"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DFD6A38" w14:textId="77777777" w:rsidR="0069230D" w:rsidRPr="00DC5BFE" w:rsidRDefault="0069230D" w:rsidP="0069230D">
            <w:pPr>
              <w:spacing w:after="0" w:line="240" w:lineRule="auto"/>
              <w:rPr>
                <w:rFonts w:ascii="Calibri" w:eastAsia="Times New Roman" w:hAnsi="Calibri" w:cs="Times New Roman"/>
                <w:color w:val="000000"/>
                <w:sz w:val="16"/>
                <w:szCs w:val="16"/>
                <w:lang w:eastAsia="en-GB"/>
              </w:rPr>
            </w:pPr>
          </w:p>
        </w:tc>
        <w:tc>
          <w:tcPr>
            <w:tcW w:w="816" w:type="dxa"/>
            <w:tcBorders>
              <w:top w:val="nil"/>
              <w:left w:val="nil"/>
              <w:bottom w:val="single" w:sz="4" w:space="0" w:color="auto"/>
              <w:right w:val="single" w:sz="4" w:space="0" w:color="auto"/>
            </w:tcBorders>
            <w:shd w:val="clear" w:color="auto" w:fill="auto"/>
            <w:noWrap/>
            <w:tcMar>
              <w:left w:w="28" w:type="dxa"/>
              <w:right w:w="28" w:type="dxa"/>
            </w:tcMar>
            <w:hideMark/>
          </w:tcPr>
          <w:p w14:paraId="2DE0CAC0" w14:textId="77777777" w:rsidR="0069230D" w:rsidRPr="00DC5BFE" w:rsidRDefault="0069230D" w:rsidP="0069230D">
            <w:pPr>
              <w:spacing w:after="0" w:line="240" w:lineRule="auto"/>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Registrars</w:t>
            </w:r>
          </w:p>
        </w:tc>
        <w:tc>
          <w:tcPr>
            <w:tcW w:w="425" w:type="dxa"/>
            <w:tcBorders>
              <w:top w:val="nil"/>
              <w:left w:val="nil"/>
              <w:bottom w:val="single" w:sz="4" w:space="0" w:color="auto"/>
              <w:right w:val="single" w:sz="4" w:space="0" w:color="auto"/>
            </w:tcBorders>
            <w:shd w:val="clear" w:color="auto" w:fill="auto"/>
            <w:noWrap/>
            <w:tcMar>
              <w:left w:w="28" w:type="dxa"/>
              <w:right w:w="28" w:type="dxa"/>
            </w:tcMar>
            <w:hideMark/>
          </w:tcPr>
          <w:p w14:paraId="23CEEA83"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5407775C"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3D7AE11C"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2E1ABD19"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52D53E53"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394" w:type="dxa"/>
            <w:tcBorders>
              <w:top w:val="nil"/>
              <w:left w:val="nil"/>
              <w:bottom w:val="single" w:sz="4" w:space="0" w:color="auto"/>
              <w:right w:val="single" w:sz="4" w:space="0" w:color="auto"/>
            </w:tcBorders>
            <w:shd w:val="clear" w:color="auto" w:fill="auto"/>
            <w:noWrap/>
            <w:tcMar>
              <w:left w:w="28" w:type="dxa"/>
              <w:right w:w="28" w:type="dxa"/>
            </w:tcMar>
            <w:hideMark/>
          </w:tcPr>
          <w:p w14:paraId="59C4D29D"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839" w:type="dxa"/>
            <w:tcBorders>
              <w:top w:val="nil"/>
              <w:left w:val="nil"/>
              <w:bottom w:val="single" w:sz="4" w:space="0" w:color="auto"/>
              <w:right w:val="single" w:sz="4" w:space="0" w:color="auto"/>
            </w:tcBorders>
            <w:shd w:val="clear" w:color="auto" w:fill="auto"/>
            <w:noWrap/>
            <w:tcMar>
              <w:left w:w="28" w:type="dxa"/>
              <w:right w:w="28" w:type="dxa"/>
            </w:tcMar>
            <w:hideMark/>
          </w:tcPr>
          <w:p w14:paraId="6ED0B06B"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893" w:type="dxa"/>
            <w:tcBorders>
              <w:top w:val="nil"/>
              <w:left w:val="nil"/>
              <w:bottom w:val="single" w:sz="4" w:space="0" w:color="auto"/>
              <w:right w:val="single" w:sz="4" w:space="0" w:color="auto"/>
            </w:tcBorders>
            <w:shd w:val="clear" w:color="auto" w:fill="auto"/>
            <w:noWrap/>
            <w:tcMar>
              <w:left w:w="28" w:type="dxa"/>
              <w:right w:w="28" w:type="dxa"/>
            </w:tcMar>
            <w:hideMark/>
          </w:tcPr>
          <w:p w14:paraId="570CDB7A"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234CB2A9"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850" w:type="dxa"/>
            <w:tcBorders>
              <w:top w:val="nil"/>
              <w:left w:val="nil"/>
              <w:bottom w:val="single" w:sz="4" w:space="0" w:color="auto"/>
              <w:right w:val="single" w:sz="4" w:space="0" w:color="auto"/>
            </w:tcBorders>
            <w:shd w:val="clear" w:color="auto" w:fill="auto"/>
            <w:noWrap/>
            <w:tcMar>
              <w:left w:w="28" w:type="dxa"/>
              <w:right w:w="28" w:type="dxa"/>
            </w:tcMar>
            <w:hideMark/>
          </w:tcPr>
          <w:p w14:paraId="506EC0FB"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43EE30E1"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708" w:type="dxa"/>
            <w:tcBorders>
              <w:top w:val="nil"/>
              <w:left w:val="nil"/>
              <w:bottom w:val="single" w:sz="4" w:space="0" w:color="auto"/>
              <w:right w:val="single" w:sz="4" w:space="0" w:color="auto"/>
            </w:tcBorders>
            <w:shd w:val="clear" w:color="auto" w:fill="auto"/>
            <w:noWrap/>
            <w:tcMar>
              <w:left w:w="28" w:type="dxa"/>
              <w:right w:w="28" w:type="dxa"/>
            </w:tcMar>
            <w:hideMark/>
          </w:tcPr>
          <w:p w14:paraId="23D5FD75"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r>
      <w:tr w:rsidR="0069230D" w:rsidRPr="00DC5BFE" w14:paraId="13E045AA" w14:textId="77777777" w:rsidTr="0069230D">
        <w:trPr>
          <w:trHeight w:val="220"/>
          <w:jc w:val="center"/>
        </w:trPr>
        <w:tc>
          <w:tcPr>
            <w:tcW w:w="1276" w:type="dxa"/>
            <w:vMerge w:val="restart"/>
            <w:tcBorders>
              <w:top w:val="nil"/>
              <w:left w:val="single" w:sz="4" w:space="0" w:color="auto"/>
              <w:bottom w:val="single" w:sz="4" w:space="0" w:color="auto"/>
              <w:right w:val="single" w:sz="4" w:space="0" w:color="auto"/>
            </w:tcBorders>
            <w:shd w:val="clear" w:color="auto" w:fill="auto"/>
            <w:noWrap/>
            <w:tcMar>
              <w:left w:w="28" w:type="dxa"/>
              <w:right w:w="28" w:type="dxa"/>
            </w:tcMar>
            <w:hideMark/>
          </w:tcPr>
          <w:p w14:paraId="58514E17" w14:textId="77777777" w:rsidR="0069230D" w:rsidRPr="00DC5BFE" w:rsidRDefault="0069230D" w:rsidP="0069230D">
            <w:pPr>
              <w:spacing w:after="0" w:line="240" w:lineRule="auto"/>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val="en-US" w:eastAsia="en-US"/>
              </w:rPr>
              <w:t>Higher-level courts</w:t>
            </w:r>
          </w:p>
        </w:tc>
        <w:tc>
          <w:tcPr>
            <w:tcW w:w="816" w:type="dxa"/>
            <w:tcBorders>
              <w:top w:val="nil"/>
              <w:left w:val="nil"/>
              <w:bottom w:val="single" w:sz="4" w:space="0" w:color="auto"/>
              <w:right w:val="single" w:sz="4" w:space="0" w:color="auto"/>
            </w:tcBorders>
            <w:shd w:val="clear" w:color="auto" w:fill="auto"/>
            <w:noWrap/>
            <w:tcMar>
              <w:left w:w="28" w:type="dxa"/>
              <w:right w:w="28" w:type="dxa"/>
            </w:tcMar>
            <w:hideMark/>
          </w:tcPr>
          <w:p w14:paraId="422DA857" w14:textId="77777777" w:rsidR="0069230D" w:rsidRPr="00DC5BFE" w:rsidRDefault="0069230D" w:rsidP="0069230D">
            <w:pPr>
              <w:spacing w:after="0" w:line="240" w:lineRule="auto"/>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Judges</w:t>
            </w:r>
          </w:p>
        </w:tc>
        <w:tc>
          <w:tcPr>
            <w:tcW w:w="425" w:type="dxa"/>
            <w:tcBorders>
              <w:top w:val="nil"/>
              <w:left w:val="nil"/>
              <w:bottom w:val="single" w:sz="4" w:space="0" w:color="auto"/>
              <w:right w:val="single" w:sz="4" w:space="0" w:color="auto"/>
            </w:tcBorders>
            <w:shd w:val="clear" w:color="auto" w:fill="auto"/>
            <w:noWrap/>
            <w:tcMar>
              <w:left w:w="28" w:type="dxa"/>
              <w:right w:w="28" w:type="dxa"/>
            </w:tcMar>
            <w:hideMark/>
          </w:tcPr>
          <w:p w14:paraId="6C9FDF3B"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4C43BB2A"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5D702747"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329FB3A6"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33BBAD83"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394" w:type="dxa"/>
            <w:tcBorders>
              <w:top w:val="nil"/>
              <w:left w:val="nil"/>
              <w:bottom w:val="single" w:sz="4" w:space="0" w:color="auto"/>
              <w:right w:val="single" w:sz="4" w:space="0" w:color="auto"/>
            </w:tcBorders>
            <w:shd w:val="clear" w:color="auto" w:fill="auto"/>
            <w:noWrap/>
            <w:tcMar>
              <w:left w:w="28" w:type="dxa"/>
              <w:right w:w="28" w:type="dxa"/>
            </w:tcMar>
            <w:hideMark/>
          </w:tcPr>
          <w:p w14:paraId="41FC5BFF"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839" w:type="dxa"/>
            <w:tcBorders>
              <w:top w:val="nil"/>
              <w:left w:val="nil"/>
              <w:bottom w:val="single" w:sz="4" w:space="0" w:color="auto"/>
              <w:right w:val="single" w:sz="4" w:space="0" w:color="auto"/>
            </w:tcBorders>
            <w:shd w:val="clear" w:color="auto" w:fill="auto"/>
            <w:noWrap/>
            <w:tcMar>
              <w:left w:w="28" w:type="dxa"/>
              <w:right w:w="28" w:type="dxa"/>
            </w:tcMar>
            <w:hideMark/>
          </w:tcPr>
          <w:p w14:paraId="09622493"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893" w:type="dxa"/>
            <w:tcBorders>
              <w:top w:val="nil"/>
              <w:left w:val="nil"/>
              <w:bottom w:val="single" w:sz="4" w:space="0" w:color="auto"/>
              <w:right w:val="single" w:sz="4" w:space="0" w:color="auto"/>
            </w:tcBorders>
            <w:shd w:val="clear" w:color="auto" w:fill="auto"/>
            <w:noWrap/>
            <w:tcMar>
              <w:left w:w="28" w:type="dxa"/>
              <w:right w:w="28" w:type="dxa"/>
            </w:tcMar>
            <w:hideMark/>
          </w:tcPr>
          <w:p w14:paraId="1521D433"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4DD6763A"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850" w:type="dxa"/>
            <w:tcBorders>
              <w:top w:val="nil"/>
              <w:left w:val="nil"/>
              <w:bottom w:val="single" w:sz="4" w:space="0" w:color="auto"/>
              <w:right w:val="single" w:sz="4" w:space="0" w:color="auto"/>
            </w:tcBorders>
            <w:shd w:val="clear" w:color="auto" w:fill="auto"/>
            <w:noWrap/>
            <w:tcMar>
              <w:left w:w="28" w:type="dxa"/>
              <w:right w:w="28" w:type="dxa"/>
            </w:tcMar>
            <w:hideMark/>
          </w:tcPr>
          <w:p w14:paraId="378276C6"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23134C65"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708" w:type="dxa"/>
            <w:tcBorders>
              <w:top w:val="nil"/>
              <w:left w:val="nil"/>
              <w:bottom w:val="single" w:sz="4" w:space="0" w:color="auto"/>
              <w:right w:val="single" w:sz="4" w:space="0" w:color="auto"/>
            </w:tcBorders>
            <w:shd w:val="clear" w:color="auto" w:fill="auto"/>
            <w:noWrap/>
            <w:tcMar>
              <w:left w:w="28" w:type="dxa"/>
              <w:right w:w="28" w:type="dxa"/>
            </w:tcMar>
            <w:hideMark/>
          </w:tcPr>
          <w:p w14:paraId="36667697"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r>
      <w:tr w:rsidR="0069230D" w:rsidRPr="00DC5BFE" w14:paraId="4848AD86" w14:textId="77777777" w:rsidTr="0069230D">
        <w:trPr>
          <w:trHeight w:val="220"/>
          <w:jc w:val="center"/>
        </w:trPr>
        <w:tc>
          <w:tcPr>
            <w:tcW w:w="1276" w:type="dxa"/>
            <w:vMerge/>
            <w:tcBorders>
              <w:top w:val="nil"/>
              <w:left w:val="single" w:sz="4" w:space="0" w:color="auto"/>
              <w:bottom w:val="single" w:sz="4" w:space="0" w:color="auto"/>
              <w:right w:val="single" w:sz="4" w:space="0" w:color="auto"/>
            </w:tcBorders>
            <w:tcMar>
              <w:left w:w="28" w:type="dxa"/>
              <w:right w:w="28" w:type="dxa"/>
            </w:tcMar>
            <w:vAlign w:val="center"/>
            <w:hideMark/>
          </w:tcPr>
          <w:p w14:paraId="1DDD5730" w14:textId="77777777" w:rsidR="0069230D" w:rsidRPr="00DC5BFE" w:rsidRDefault="0069230D" w:rsidP="0069230D">
            <w:pPr>
              <w:spacing w:after="0" w:line="240" w:lineRule="auto"/>
              <w:rPr>
                <w:rFonts w:ascii="Calibri" w:eastAsia="Times New Roman" w:hAnsi="Calibri" w:cs="Times New Roman"/>
                <w:color w:val="000000"/>
                <w:sz w:val="16"/>
                <w:szCs w:val="16"/>
                <w:lang w:eastAsia="en-GB"/>
              </w:rPr>
            </w:pPr>
          </w:p>
        </w:tc>
        <w:tc>
          <w:tcPr>
            <w:tcW w:w="816" w:type="dxa"/>
            <w:tcBorders>
              <w:top w:val="nil"/>
              <w:left w:val="nil"/>
              <w:bottom w:val="single" w:sz="4" w:space="0" w:color="auto"/>
              <w:right w:val="single" w:sz="4" w:space="0" w:color="auto"/>
            </w:tcBorders>
            <w:shd w:val="clear" w:color="auto" w:fill="auto"/>
            <w:noWrap/>
            <w:tcMar>
              <w:left w:w="28" w:type="dxa"/>
              <w:right w:w="28" w:type="dxa"/>
            </w:tcMar>
            <w:hideMark/>
          </w:tcPr>
          <w:p w14:paraId="4F668A67" w14:textId="77777777" w:rsidR="0069230D" w:rsidRPr="00DC5BFE" w:rsidRDefault="0069230D" w:rsidP="0069230D">
            <w:pPr>
              <w:spacing w:after="0" w:line="240" w:lineRule="auto"/>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Registrars</w:t>
            </w:r>
          </w:p>
        </w:tc>
        <w:tc>
          <w:tcPr>
            <w:tcW w:w="425" w:type="dxa"/>
            <w:tcBorders>
              <w:top w:val="nil"/>
              <w:left w:val="nil"/>
              <w:bottom w:val="single" w:sz="4" w:space="0" w:color="auto"/>
              <w:right w:val="single" w:sz="4" w:space="0" w:color="auto"/>
            </w:tcBorders>
            <w:shd w:val="clear" w:color="auto" w:fill="auto"/>
            <w:noWrap/>
            <w:tcMar>
              <w:left w:w="28" w:type="dxa"/>
              <w:right w:w="28" w:type="dxa"/>
            </w:tcMar>
            <w:hideMark/>
          </w:tcPr>
          <w:p w14:paraId="2BD87393"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29D6A64B"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2AB6678F"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32AFAA66"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1828CF8B"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394" w:type="dxa"/>
            <w:tcBorders>
              <w:top w:val="nil"/>
              <w:left w:val="nil"/>
              <w:bottom w:val="single" w:sz="4" w:space="0" w:color="auto"/>
              <w:right w:val="single" w:sz="4" w:space="0" w:color="auto"/>
            </w:tcBorders>
            <w:shd w:val="clear" w:color="auto" w:fill="auto"/>
            <w:noWrap/>
            <w:tcMar>
              <w:left w:w="28" w:type="dxa"/>
              <w:right w:w="28" w:type="dxa"/>
            </w:tcMar>
            <w:hideMark/>
          </w:tcPr>
          <w:p w14:paraId="70AEBBB8"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839" w:type="dxa"/>
            <w:tcBorders>
              <w:top w:val="nil"/>
              <w:left w:val="nil"/>
              <w:bottom w:val="single" w:sz="4" w:space="0" w:color="auto"/>
              <w:right w:val="single" w:sz="4" w:space="0" w:color="auto"/>
            </w:tcBorders>
            <w:shd w:val="clear" w:color="auto" w:fill="auto"/>
            <w:noWrap/>
            <w:tcMar>
              <w:left w:w="28" w:type="dxa"/>
              <w:right w:w="28" w:type="dxa"/>
            </w:tcMar>
            <w:hideMark/>
          </w:tcPr>
          <w:p w14:paraId="7A6472D5"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893" w:type="dxa"/>
            <w:tcBorders>
              <w:top w:val="nil"/>
              <w:left w:val="nil"/>
              <w:bottom w:val="single" w:sz="4" w:space="0" w:color="auto"/>
              <w:right w:val="single" w:sz="4" w:space="0" w:color="auto"/>
            </w:tcBorders>
            <w:shd w:val="clear" w:color="auto" w:fill="auto"/>
            <w:noWrap/>
            <w:tcMar>
              <w:left w:w="28" w:type="dxa"/>
              <w:right w:w="28" w:type="dxa"/>
            </w:tcMar>
            <w:hideMark/>
          </w:tcPr>
          <w:p w14:paraId="7A965248"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73DF8C90"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850" w:type="dxa"/>
            <w:tcBorders>
              <w:top w:val="nil"/>
              <w:left w:val="nil"/>
              <w:bottom w:val="single" w:sz="4" w:space="0" w:color="auto"/>
              <w:right w:val="single" w:sz="4" w:space="0" w:color="auto"/>
            </w:tcBorders>
            <w:shd w:val="clear" w:color="auto" w:fill="auto"/>
            <w:noWrap/>
            <w:tcMar>
              <w:left w:w="28" w:type="dxa"/>
              <w:right w:w="28" w:type="dxa"/>
            </w:tcMar>
            <w:hideMark/>
          </w:tcPr>
          <w:p w14:paraId="62206C9E"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10F3D06E"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708" w:type="dxa"/>
            <w:tcBorders>
              <w:top w:val="nil"/>
              <w:left w:val="nil"/>
              <w:bottom w:val="single" w:sz="4" w:space="0" w:color="auto"/>
              <w:right w:val="single" w:sz="4" w:space="0" w:color="auto"/>
            </w:tcBorders>
            <w:shd w:val="clear" w:color="auto" w:fill="auto"/>
            <w:noWrap/>
            <w:tcMar>
              <w:left w:w="28" w:type="dxa"/>
              <w:right w:w="28" w:type="dxa"/>
            </w:tcMar>
            <w:hideMark/>
          </w:tcPr>
          <w:p w14:paraId="748FB611"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r>
      <w:tr w:rsidR="0069230D" w:rsidRPr="00DC5BFE" w14:paraId="2CFD2253" w14:textId="77777777" w:rsidTr="0069230D">
        <w:trPr>
          <w:trHeight w:val="220"/>
          <w:jc w:val="center"/>
        </w:trPr>
        <w:tc>
          <w:tcPr>
            <w:tcW w:w="1276" w:type="dxa"/>
            <w:vMerge w:val="restart"/>
            <w:tcBorders>
              <w:top w:val="nil"/>
              <w:left w:val="single" w:sz="4" w:space="0" w:color="auto"/>
              <w:bottom w:val="single" w:sz="4" w:space="0" w:color="auto"/>
              <w:right w:val="single" w:sz="4" w:space="0" w:color="auto"/>
            </w:tcBorders>
            <w:shd w:val="clear" w:color="auto" w:fill="auto"/>
            <w:noWrap/>
            <w:tcMar>
              <w:left w:w="28" w:type="dxa"/>
              <w:right w:w="28" w:type="dxa"/>
            </w:tcMar>
            <w:hideMark/>
          </w:tcPr>
          <w:p w14:paraId="2735D78E" w14:textId="77777777" w:rsidR="0069230D" w:rsidRPr="00DC5BFE" w:rsidRDefault="0069230D" w:rsidP="0069230D">
            <w:pPr>
              <w:spacing w:after="0" w:line="240" w:lineRule="auto"/>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val="en-US" w:eastAsia="en-US"/>
              </w:rPr>
              <w:t>Lower-level courts</w:t>
            </w:r>
          </w:p>
        </w:tc>
        <w:tc>
          <w:tcPr>
            <w:tcW w:w="816" w:type="dxa"/>
            <w:tcBorders>
              <w:top w:val="nil"/>
              <w:left w:val="nil"/>
              <w:bottom w:val="single" w:sz="4" w:space="0" w:color="auto"/>
              <w:right w:val="single" w:sz="4" w:space="0" w:color="auto"/>
            </w:tcBorders>
            <w:shd w:val="clear" w:color="auto" w:fill="auto"/>
            <w:noWrap/>
            <w:tcMar>
              <w:left w:w="28" w:type="dxa"/>
              <w:right w:w="28" w:type="dxa"/>
            </w:tcMar>
            <w:hideMark/>
          </w:tcPr>
          <w:p w14:paraId="579B2F50" w14:textId="77777777" w:rsidR="0069230D" w:rsidRPr="00DC5BFE" w:rsidRDefault="0069230D" w:rsidP="0069230D">
            <w:pPr>
              <w:spacing w:after="0" w:line="240" w:lineRule="auto"/>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Judges</w:t>
            </w:r>
          </w:p>
        </w:tc>
        <w:tc>
          <w:tcPr>
            <w:tcW w:w="425" w:type="dxa"/>
            <w:tcBorders>
              <w:top w:val="nil"/>
              <w:left w:val="nil"/>
              <w:bottom w:val="single" w:sz="4" w:space="0" w:color="auto"/>
              <w:right w:val="single" w:sz="4" w:space="0" w:color="auto"/>
            </w:tcBorders>
            <w:shd w:val="clear" w:color="auto" w:fill="auto"/>
            <w:noWrap/>
            <w:tcMar>
              <w:left w:w="28" w:type="dxa"/>
              <w:right w:w="28" w:type="dxa"/>
            </w:tcMar>
            <w:hideMark/>
          </w:tcPr>
          <w:p w14:paraId="7772E9E6"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0E841498"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7C16BE64"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0F9304DB"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162E0939"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394" w:type="dxa"/>
            <w:tcBorders>
              <w:top w:val="nil"/>
              <w:left w:val="nil"/>
              <w:bottom w:val="single" w:sz="4" w:space="0" w:color="auto"/>
              <w:right w:val="single" w:sz="4" w:space="0" w:color="auto"/>
            </w:tcBorders>
            <w:shd w:val="clear" w:color="auto" w:fill="auto"/>
            <w:noWrap/>
            <w:tcMar>
              <w:left w:w="28" w:type="dxa"/>
              <w:right w:w="28" w:type="dxa"/>
            </w:tcMar>
            <w:hideMark/>
          </w:tcPr>
          <w:p w14:paraId="7F248401"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839" w:type="dxa"/>
            <w:tcBorders>
              <w:top w:val="nil"/>
              <w:left w:val="nil"/>
              <w:bottom w:val="single" w:sz="4" w:space="0" w:color="auto"/>
              <w:right w:val="single" w:sz="4" w:space="0" w:color="auto"/>
            </w:tcBorders>
            <w:shd w:val="clear" w:color="auto" w:fill="auto"/>
            <w:noWrap/>
            <w:tcMar>
              <w:left w:w="28" w:type="dxa"/>
              <w:right w:w="28" w:type="dxa"/>
            </w:tcMar>
            <w:hideMark/>
          </w:tcPr>
          <w:p w14:paraId="36E91253"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893" w:type="dxa"/>
            <w:tcBorders>
              <w:top w:val="nil"/>
              <w:left w:val="nil"/>
              <w:bottom w:val="single" w:sz="4" w:space="0" w:color="auto"/>
              <w:right w:val="single" w:sz="4" w:space="0" w:color="auto"/>
            </w:tcBorders>
            <w:shd w:val="clear" w:color="auto" w:fill="auto"/>
            <w:noWrap/>
            <w:tcMar>
              <w:left w:w="28" w:type="dxa"/>
              <w:right w:w="28" w:type="dxa"/>
            </w:tcMar>
            <w:hideMark/>
          </w:tcPr>
          <w:p w14:paraId="2670CCA6"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5067D59E"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850" w:type="dxa"/>
            <w:tcBorders>
              <w:top w:val="nil"/>
              <w:left w:val="nil"/>
              <w:bottom w:val="single" w:sz="4" w:space="0" w:color="auto"/>
              <w:right w:val="single" w:sz="4" w:space="0" w:color="auto"/>
            </w:tcBorders>
            <w:shd w:val="clear" w:color="auto" w:fill="auto"/>
            <w:noWrap/>
            <w:tcMar>
              <w:left w:w="28" w:type="dxa"/>
              <w:right w:w="28" w:type="dxa"/>
            </w:tcMar>
            <w:hideMark/>
          </w:tcPr>
          <w:p w14:paraId="3A7AFC05"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1B231BB1"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708" w:type="dxa"/>
            <w:tcBorders>
              <w:top w:val="nil"/>
              <w:left w:val="nil"/>
              <w:bottom w:val="single" w:sz="4" w:space="0" w:color="auto"/>
              <w:right w:val="single" w:sz="4" w:space="0" w:color="auto"/>
            </w:tcBorders>
            <w:shd w:val="clear" w:color="auto" w:fill="auto"/>
            <w:noWrap/>
            <w:tcMar>
              <w:left w:w="28" w:type="dxa"/>
              <w:right w:w="28" w:type="dxa"/>
            </w:tcMar>
            <w:hideMark/>
          </w:tcPr>
          <w:p w14:paraId="2CEA20E8"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r>
      <w:tr w:rsidR="0069230D" w:rsidRPr="00DC5BFE" w14:paraId="69ED15C1" w14:textId="77777777" w:rsidTr="0069230D">
        <w:trPr>
          <w:trHeight w:val="220"/>
          <w:jc w:val="center"/>
        </w:trPr>
        <w:tc>
          <w:tcPr>
            <w:tcW w:w="1276" w:type="dxa"/>
            <w:vMerge/>
            <w:tcBorders>
              <w:top w:val="nil"/>
              <w:left w:val="single" w:sz="4" w:space="0" w:color="auto"/>
              <w:bottom w:val="single" w:sz="4" w:space="0" w:color="auto"/>
              <w:right w:val="single" w:sz="4" w:space="0" w:color="auto"/>
            </w:tcBorders>
            <w:tcMar>
              <w:left w:w="28" w:type="dxa"/>
              <w:right w:w="28" w:type="dxa"/>
            </w:tcMar>
            <w:hideMark/>
          </w:tcPr>
          <w:p w14:paraId="061A8CEB" w14:textId="77777777" w:rsidR="0069230D" w:rsidRPr="00DC5BFE" w:rsidRDefault="0069230D" w:rsidP="0069230D">
            <w:pPr>
              <w:spacing w:after="0" w:line="240" w:lineRule="auto"/>
              <w:rPr>
                <w:rFonts w:ascii="Calibri" w:eastAsia="Times New Roman" w:hAnsi="Calibri" w:cs="Times New Roman"/>
                <w:color w:val="000000"/>
                <w:sz w:val="16"/>
                <w:szCs w:val="16"/>
                <w:lang w:eastAsia="en-GB"/>
              </w:rPr>
            </w:pPr>
          </w:p>
        </w:tc>
        <w:tc>
          <w:tcPr>
            <w:tcW w:w="816" w:type="dxa"/>
            <w:tcBorders>
              <w:top w:val="nil"/>
              <w:left w:val="nil"/>
              <w:bottom w:val="single" w:sz="4" w:space="0" w:color="auto"/>
              <w:right w:val="single" w:sz="4" w:space="0" w:color="auto"/>
            </w:tcBorders>
            <w:shd w:val="clear" w:color="auto" w:fill="auto"/>
            <w:noWrap/>
            <w:tcMar>
              <w:left w:w="28" w:type="dxa"/>
              <w:right w:w="28" w:type="dxa"/>
            </w:tcMar>
            <w:hideMark/>
          </w:tcPr>
          <w:p w14:paraId="439CC0C7" w14:textId="77777777" w:rsidR="0069230D" w:rsidRPr="00DC5BFE" w:rsidRDefault="0069230D" w:rsidP="0069230D">
            <w:pPr>
              <w:spacing w:after="0" w:line="240" w:lineRule="auto"/>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Registrars</w:t>
            </w:r>
          </w:p>
        </w:tc>
        <w:tc>
          <w:tcPr>
            <w:tcW w:w="425" w:type="dxa"/>
            <w:tcBorders>
              <w:top w:val="nil"/>
              <w:left w:val="nil"/>
              <w:bottom w:val="single" w:sz="4" w:space="0" w:color="auto"/>
              <w:right w:val="single" w:sz="4" w:space="0" w:color="auto"/>
            </w:tcBorders>
            <w:shd w:val="clear" w:color="auto" w:fill="auto"/>
            <w:noWrap/>
            <w:tcMar>
              <w:left w:w="28" w:type="dxa"/>
              <w:right w:w="28" w:type="dxa"/>
            </w:tcMar>
            <w:hideMark/>
          </w:tcPr>
          <w:p w14:paraId="6F9C6EFA"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5F5A611C"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294C456B"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6E0FCFF8"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6FAA3C7A"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394" w:type="dxa"/>
            <w:tcBorders>
              <w:top w:val="nil"/>
              <w:left w:val="nil"/>
              <w:bottom w:val="single" w:sz="4" w:space="0" w:color="auto"/>
              <w:right w:val="single" w:sz="4" w:space="0" w:color="auto"/>
            </w:tcBorders>
            <w:shd w:val="clear" w:color="auto" w:fill="auto"/>
            <w:noWrap/>
            <w:tcMar>
              <w:left w:w="28" w:type="dxa"/>
              <w:right w:w="28" w:type="dxa"/>
            </w:tcMar>
            <w:hideMark/>
          </w:tcPr>
          <w:p w14:paraId="70DEF700"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839" w:type="dxa"/>
            <w:tcBorders>
              <w:top w:val="nil"/>
              <w:left w:val="nil"/>
              <w:bottom w:val="single" w:sz="4" w:space="0" w:color="auto"/>
              <w:right w:val="single" w:sz="4" w:space="0" w:color="auto"/>
            </w:tcBorders>
            <w:shd w:val="clear" w:color="auto" w:fill="auto"/>
            <w:noWrap/>
            <w:tcMar>
              <w:left w:w="28" w:type="dxa"/>
              <w:right w:w="28" w:type="dxa"/>
            </w:tcMar>
            <w:hideMark/>
          </w:tcPr>
          <w:p w14:paraId="34B69D62"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893" w:type="dxa"/>
            <w:tcBorders>
              <w:top w:val="nil"/>
              <w:left w:val="nil"/>
              <w:bottom w:val="single" w:sz="4" w:space="0" w:color="auto"/>
              <w:right w:val="single" w:sz="4" w:space="0" w:color="auto"/>
            </w:tcBorders>
            <w:shd w:val="clear" w:color="auto" w:fill="auto"/>
            <w:noWrap/>
            <w:tcMar>
              <w:left w:w="28" w:type="dxa"/>
              <w:right w:w="28" w:type="dxa"/>
            </w:tcMar>
            <w:hideMark/>
          </w:tcPr>
          <w:p w14:paraId="5CC07F1C"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5FD92C16"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850" w:type="dxa"/>
            <w:tcBorders>
              <w:top w:val="nil"/>
              <w:left w:val="nil"/>
              <w:bottom w:val="single" w:sz="4" w:space="0" w:color="auto"/>
              <w:right w:val="single" w:sz="4" w:space="0" w:color="auto"/>
            </w:tcBorders>
            <w:shd w:val="clear" w:color="auto" w:fill="auto"/>
            <w:noWrap/>
            <w:tcMar>
              <w:left w:w="28" w:type="dxa"/>
              <w:right w:w="28" w:type="dxa"/>
            </w:tcMar>
            <w:hideMark/>
          </w:tcPr>
          <w:p w14:paraId="297D3CCF"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44928B7E"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708" w:type="dxa"/>
            <w:tcBorders>
              <w:top w:val="nil"/>
              <w:left w:val="nil"/>
              <w:bottom w:val="single" w:sz="4" w:space="0" w:color="auto"/>
              <w:right w:val="single" w:sz="4" w:space="0" w:color="auto"/>
            </w:tcBorders>
            <w:shd w:val="clear" w:color="auto" w:fill="auto"/>
            <w:noWrap/>
            <w:tcMar>
              <w:left w:w="28" w:type="dxa"/>
              <w:right w:w="28" w:type="dxa"/>
            </w:tcMar>
            <w:hideMark/>
          </w:tcPr>
          <w:p w14:paraId="44FE46C0"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r>
    </w:tbl>
    <w:p w14:paraId="0EA0C985" w14:textId="77777777" w:rsidR="0069230D" w:rsidRDefault="0069230D" w:rsidP="0069230D">
      <w:pPr>
        <w:shd w:val="clear" w:color="auto" w:fill="FFFFFF"/>
        <w:spacing w:after="0"/>
        <w:jc w:val="both"/>
        <w:rPr>
          <w:rFonts w:eastAsia="Times New Roman" w:cstheme="minorHAnsi"/>
          <w:bCs/>
          <w:color w:val="404040" w:themeColor="text1" w:themeTint="BF"/>
          <w:sz w:val="21"/>
          <w:szCs w:val="21"/>
          <w:lang w:eastAsia="en-GB"/>
        </w:rPr>
      </w:pPr>
    </w:p>
    <w:p w14:paraId="495F9DA7" w14:textId="77777777" w:rsidR="0069230D" w:rsidRDefault="0069230D" w:rsidP="0069230D">
      <w:pPr>
        <w:shd w:val="clear" w:color="auto" w:fill="FFFFFF"/>
        <w:spacing w:after="0"/>
        <w:jc w:val="both"/>
        <w:rPr>
          <w:rFonts w:eastAsia="Times New Roman" w:cstheme="minorHAnsi"/>
          <w:bCs/>
          <w:color w:val="404040" w:themeColor="text1" w:themeTint="BF"/>
          <w:sz w:val="21"/>
          <w:szCs w:val="21"/>
          <w:lang w:eastAsia="en-GB"/>
        </w:rPr>
      </w:pPr>
      <w:r w:rsidRPr="00FC7A0B">
        <w:rPr>
          <w:rFonts w:eastAsia="Times New Roman" w:cstheme="minorHAnsi"/>
          <w:b/>
          <w:color w:val="404040" w:themeColor="text1" w:themeTint="BF"/>
          <w:sz w:val="21"/>
          <w:szCs w:val="21"/>
          <w:lang w:eastAsia="en-GB"/>
        </w:rPr>
        <w:t>Step 2</w:t>
      </w:r>
      <w:r w:rsidRPr="00FC7A0B">
        <w:rPr>
          <w:rFonts w:eastAsia="Times New Roman" w:cstheme="minorHAnsi"/>
          <w:bCs/>
          <w:color w:val="404040" w:themeColor="text1" w:themeTint="BF"/>
          <w:sz w:val="21"/>
          <w:szCs w:val="21"/>
          <w:lang w:eastAsia="en-GB"/>
        </w:rPr>
        <w:t xml:space="preserve"> then requires computing simple proportions of women, ‘youth’, persons with a disability, and specific population groups across the two position types and at each level of court.</w:t>
      </w:r>
    </w:p>
    <w:p w14:paraId="742FDB31" w14:textId="77777777" w:rsidR="0069230D" w:rsidRPr="00871CD9" w:rsidRDefault="0069230D" w:rsidP="0069230D">
      <w:pPr>
        <w:shd w:val="clear" w:color="auto" w:fill="FFFFFF"/>
        <w:spacing w:after="0"/>
        <w:jc w:val="both"/>
        <w:rPr>
          <w:rFonts w:eastAsia="Times New Roman" w:cstheme="minorHAnsi"/>
          <w:bCs/>
          <w:i/>
          <w:color w:val="404040" w:themeColor="text1" w:themeTint="BF"/>
          <w:sz w:val="21"/>
          <w:szCs w:val="21"/>
          <w:lang w:eastAsia="en-GB"/>
        </w:rPr>
      </w:pPr>
    </w:p>
    <w:tbl>
      <w:tblPr>
        <w:tblStyle w:val="TableGrid"/>
        <w:tblW w:w="10343" w:type="dxa"/>
        <w:jc w:val="center"/>
        <w:tblLayout w:type="fixed"/>
        <w:tblLook w:val="04A0" w:firstRow="1" w:lastRow="0" w:firstColumn="1" w:lastColumn="0" w:noHBand="0" w:noVBand="1"/>
      </w:tblPr>
      <w:tblGrid>
        <w:gridCol w:w="1695"/>
        <w:gridCol w:w="1135"/>
        <w:gridCol w:w="1027"/>
        <w:gridCol w:w="1081"/>
        <w:gridCol w:w="1081"/>
        <w:gridCol w:w="1081"/>
        <w:gridCol w:w="1081"/>
        <w:gridCol w:w="1081"/>
        <w:gridCol w:w="1081"/>
      </w:tblGrid>
      <w:tr w:rsidR="0069230D" w:rsidRPr="004528C3" w14:paraId="10364004" w14:textId="77777777" w:rsidTr="0069230D">
        <w:trPr>
          <w:jc w:val="center"/>
        </w:trPr>
        <w:tc>
          <w:tcPr>
            <w:tcW w:w="1695" w:type="dxa"/>
            <w:vMerge w:val="restart"/>
          </w:tcPr>
          <w:p w14:paraId="6AF8EA99" w14:textId="77777777" w:rsidR="0069230D" w:rsidRPr="00FC7A0B" w:rsidRDefault="0069230D" w:rsidP="0069230D">
            <w:pPr>
              <w:jc w:val="center"/>
              <w:rPr>
                <w:rFonts w:ascii="Calibri" w:hAnsi="Calibri" w:cstheme="minorHAnsi"/>
                <w:b/>
                <w:color w:val="404040" w:themeColor="text1" w:themeTint="BF"/>
                <w:sz w:val="18"/>
                <w:szCs w:val="18"/>
              </w:rPr>
            </w:pPr>
          </w:p>
        </w:tc>
        <w:tc>
          <w:tcPr>
            <w:tcW w:w="2162" w:type="dxa"/>
            <w:gridSpan w:val="2"/>
          </w:tcPr>
          <w:p w14:paraId="6A4CDCE6" w14:textId="77777777" w:rsidR="0069230D" w:rsidRPr="00FC7A0B" w:rsidRDefault="0069230D" w:rsidP="0069230D">
            <w:pPr>
              <w:jc w:val="center"/>
              <w:rPr>
                <w:rFonts w:ascii="Calibri" w:hAnsi="Calibri" w:cstheme="minorHAnsi"/>
                <w:b/>
                <w:color w:val="404040" w:themeColor="text1" w:themeTint="BF"/>
                <w:sz w:val="18"/>
                <w:szCs w:val="18"/>
              </w:rPr>
            </w:pPr>
            <w:r w:rsidRPr="00FC7A0B">
              <w:rPr>
                <w:rFonts w:ascii="Calibri" w:hAnsi="Calibri" w:cstheme="minorHAnsi"/>
                <w:b/>
                <w:color w:val="404040" w:themeColor="text1" w:themeTint="BF"/>
                <w:sz w:val="18"/>
                <w:szCs w:val="18"/>
              </w:rPr>
              <w:t xml:space="preserve">Proportion of </w:t>
            </w:r>
            <w:r w:rsidRPr="00FC7A0B">
              <w:rPr>
                <w:rFonts w:ascii="Calibri" w:hAnsi="Calibri" w:cstheme="minorHAnsi"/>
                <w:b/>
                <w:color w:val="404040" w:themeColor="text1" w:themeTint="BF"/>
                <w:sz w:val="18"/>
                <w:szCs w:val="18"/>
                <w:u w:val="single"/>
              </w:rPr>
              <w:t>female</w:t>
            </w:r>
            <w:r w:rsidRPr="00FC7A0B">
              <w:rPr>
                <w:rFonts w:ascii="Calibri" w:hAnsi="Calibri" w:cstheme="minorHAnsi"/>
                <w:b/>
                <w:color w:val="404040" w:themeColor="text1" w:themeTint="BF"/>
                <w:sz w:val="18"/>
                <w:szCs w:val="18"/>
              </w:rPr>
              <w:t xml:space="preserve"> personnel</w:t>
            </w:r>
          </w:p>
        </w:tc>
        <w:tc>
          <w:tcPr>
            <w:tcW w:w="2162" w:type="dxa"/>
            <w:gridSpan w:val="2"/>
          </w:tcPr>
          <w:p w14:paraId="21C3645C" w14:textId="77777777" w:rsidR="0069230D" w:rsidRPr="00FC7A0B" w:rsidRDefault="0069230D" w:rsidP="0069230D">
            <w:pPr>
              <w:jc w:val="center"/>
              <w:rPr>
                <w:rFonts w:ascii="Calibri" w:hAnsi="Calibri" w:cstheme="minorHAnsi"/>
                <w:b/>
                <w:color w:val="404040" w:themeColor="text1" w:themeTint="BF"/>
                <w:sz w:val="18"/>
                <w:szCs w:val="18"/>
              </w:rPr>
            </w:pPr>
            <w:r w:rsidRPr="00FC7A0B">
              <w:rPr>
                <w:rFonts w:ascii="Calibri" w:hAnsi="Calibri" w:cstheme="minorHAnsi"/>
                <w:b/>
                <w:color w:val="404040" w:themeColor="text1" w:themeTint="BF"/>
                <w:sz w:val="18"/>
                <w:szCs w:val="18"/>
              </w:rPr>
              <w:t xml:space="preserve">Proportion of </w:t>
            </w:r>
            <w:r w:rsidRPr="00FC7A0B">
              <w:rPr>
                <w:rFonts w:ascii="Calibri" w:hAnsi="Calibri" w:cstheme="minorHAnsi"/>
                <w:b/>
                <w:color w:val="404040" w:themeColor="text1" w:themeTint="BF"/>
                <w:sz w:val="18"/>
                <w:szCs w:val="18"/>
                <w:u w:val="single"/>
              </w:rPr>
              <w:t>‘young’</w:t>
            </w:r>
            <w:r w:rsidRPr="00FC7A0B">
              <w:rPr>
                <w:rFonts w:ascii="Calibri" w:hAnsi="Calibri" w:cstheme="minorHAnsi"/>
                <w:b/>
                <w:color w:val="404040" w:themeColor="text1" w:themeTint="BF"/>
                <w:sz w:val="18"/>
                <w:szCs w:val="18"/>
              </w:rPr>
              <w:t xml:space="preserve"> personnel aged 44 and below </w:t>
            </w:r>
          </w:p>
        </w:tc>
        <w:tc>
          <w:tcPr>
            <w:tcW w:w="2162" w:type="dxa"/>
            <w:gridSpan w:val="2"/>
          </w:tcPr>
          <w:p w14:paraId="5FEDDA1D" w14:textId="77777777" w:rsidR="0069230D" w:rsidRPr="00FC7A0B" w:rsidRDefault="0069230D" w:rsidP="0069230D">
            <w:pPr>
              <w:jc w:val="center"/>
              <w:rPr>
                <w:rFonts w:ascii="Calibri" w:hAnsi="Calibri" w:cstheme="minorHAnsi"/>
                <w:b/>
                <w:color w:val="404040" w:themeColor="text1" w:themeTint="BF"/>
                <w:sz w:val="18"/>
                <w:szCs w:val="18"/>
              </w:rPr>
            </w:pPr>
            <w:r w:rsidRPr="00FC7A0B">
              <w:rPr>
                <w:rFonts w:ascii="Calibri" w:hAnsi="Calibri" w:cstheme="minorHAnsi"/>
                <w:b/>
                <w:color w:val="404040" w:themeColor="text1" w:themeTint="BF"/>
                <w:sz w:val="18"/>
                <w:szCs w:val="18"/>
              </w:rPr>
              <w:t xml:space="preserve">Proportion of personnel </w:t>
            </w:r>
            <w:r w:rsidRPr="00FC7A0B">
              <w:rPr>
                <w:rFonts w:ascii="Calibri" w:hAnsi="Calibri" w:cstheme="minorHAnsi"/>
                <w:b/>
                <w:color w:val="404040" w:themeColor="text1" w:themeTint="BF"/>
                <w:sz w:val="18"/>
                <w:szCs w:val="18"/>
                <w:u w:val="single"/>
              </w:rPr>
              <w:t>with a disability</w:t>
            </w:r>
            <w:r w:rsidRPr="00FC7A0B">
              <w:rPr>
                <w:rFonts w:ascii="Calibri" w:hAnsi="Calibri" w:cstheme="minorHAnsi"/>
                <w:b/>
                <w:color w:val="404040" w:themeColor="text1" w:themeTint="BF"/>
                <w:sz w:val="18"/>
                <w:szCs w:val="18"/>
              </w:rPr>
              <w:t xml:space="preserve"> </w:t>
            </w:r>
          </w:p>
        </w:tc>
        <w:tc>
          <w:tcPr>
            <w:tcW w:w="2162" w:type="dxa"/>
            <w:gridSpan w:val="2"/>
          </w:tcPr>
          <w:p w14:paraId="42D56952" w14:textId="77777777" w:rsidR="0069230D" w:rsidRPr="00FC7A0B" w:rsidRDefault="0069230D" w:rsidP="0069230D">
            <w:pPr>
              <w:jc w:val="center"/>
              <w:rPr>
                <w:rFonts w:ascii="Calibri" w:hAnsi="Calibri" w:cstheme="minorHAnsi"/>
                <w:b/>
                <w:color w:val="404040" w:themeColor="text1" w:themeTint="BF"/>
                <w:sz w:val="18"/>
                <w:szCs w:val="18"/>
              </w:rPr>
            </w:pPr>
            <w:r w:rsidRPr="00FC7A0B">
              <w:rPr>
                <w:rFonts w:ascii="Calibri" w:hAnsi="Calibri" w:cstheme="minorHAnsi"/>
                <w:b/>
                <w:color w:val="404040" w:themeColor="text1" w:themeTint="BF"/>
                <w:sz w:val="18"/>
                <w:szCs w:val="18"/>
              </w:rPr>
              <w:t xml:space="preserve">Proportion of personnel in </w:t>
            </w:r>
            <w:r w:rsidRPr="00FC7A0B">
              <w:rPr>
                <w:rFonts w:ascii="Calibri" w:hAnsi="Calibri" w:cstheme="minorHAnsi"/>
                <w:b/>
                <w:color w:val="404040" w:themeColor="text1" w:themeTint="BF"/>
                <w:sz w:val="18"/>
                <w:szCs w:val="18"/>
                <w:u w:val="single"/>
              </w:rPr>
              <w:t>population group(s)</w:t>
            </w:r>
          </w:p>
        </w:tc>
      </w:tr>
      <w:tr w:rsidR="0069230D" w:rsidRPr="004528C3" w14:paraId="67D9EF39" w14:textId="77777777" w:rsidTr="0069230D">
        <w:trPr>
          <w:jc w:val="center"/>
        </w:trPr>
        <w:tc>
          <w:tcPr>
            <w:tcW w:w="1695" w:type="dxa"/>
            <w:vMerge/>
          </w:tcPr>
          <w:p w14:paraId="0C428909" w14:textId="77777777" w:rsidR="0069230D" w:rsidRPr="00FC7A0B" w:rsidRDefault="0069230D" w:rsidP="0069230D">
            <w:pPr>
              <w:rPr>
                <w:rFonts w:ascii="Calibri" w:hAnsi="Calibri" w:cstheme="minorHAnsi"/>
                <w:color w:val="404040" w:themeColor="text1" w:themeTint="BF"/>
                <w:sz w:val="18"/>
                <w:szCs w:val="18"/>
              </w:rPr>
            </w:pPr>
          </w:p>
        </w:tc>
        <w:tc>
          <w:tcPr>
            <w:tcW w:w="1135" w:type="dxa"/>
            <w:tcMar>
              <w:left w:w="28" w:type="dxa"/>
              <w:right w:w="28" w:type="dxa"/>
            </w:tcMar>
          </w:tcPr>
          <w:p w14:paraId="6F8FDEDB" w14:textId="77777777" w:rsidR="0069230D" w:rsidRPr="00FC7A0B" w:rsidRDefault="0069230D" w:rsidP="0069230D">
            <w:pPr>
              <w:jc w:val="center"/>
              <w:rPr>
                <w:rFonts w:ascii="Calibri" w:hAnsi="Calibri" w:cstheme="minorHAnsi"/>
                <w:b/>
                <w:bCs/>
                <w:color w:val="404040" w:themeColor="text1" w:themeTint="BF"/>
                <w:sz w:val="18"/>
                <w:szCs w:val="18"/>
              </w:rPr>
            </w:pPr>
            <w:r w:rsidRPr="00FC7A0B">
              <w:rPr>
                <w:rFonts w:ascii="Calibri" w:hAnsi="Calibri" w:cstheme="minorHAnsi"/>
                <w:b/>
                <w:bCs/>
                <w:color w:val="404040" w:themeColor="text1" w:themeTint="BF"/>
                <w:sz w:val="18"/>
                <w:szCs w:val="18"/>
              </w:rPr>
              <w:t>Judges</w:t>
            </w:r>
          </w:p>
        </w:tc>
        <w:tc>
          <w:tcPr>
            <w:tcW w:w="1027" w:type="dxa"/>
            <w:tcMar>
              <w:left w:w="28" w:type="dxa"/>
              <w:right w:w="28" w:type="dxa"/>
            </w:tcMar>
          </w:tcPr>
          <w:p w14:paraId="7D65676C" w14:textId="77777777" w:rsidR="0069230D" w:rsidRPr="00FC7A0B" w:rsidRDefault="0069230D" w:rsidP="0069230D">
            <w:pPr>
              <w:jc w:val="center"/>
              <w:rPr>
                <w:rFonts w:ascii="Calibri" w:hAnsi="Calibri" w:cstheme="minorHAnsi"/>
                <w:b/>
                <w:bCs/>
                <w:color w:val="404040" w:themeColor="text1" w:themeTint="BF"/>
                <w:sz w:val="18"/>
                <w:szCs w:val="18"/>
              </w:rPr>
            </w:pPr>
            <w:r w:rsidRPr="00FC7A0B">
              <w:rPr>
                <w:rFonts w:ascii="Calibri" w:hAnsi="Calibri" w:cstheme="minorHAnsi"/>
                <w:b/>
                <w:bCs/>
                <w:color w:val="404040" w:themeColor="text1" w:themeTint="BF"/>
                <w:sz w:val="18"/>
                <w:szCs w:val="18"/>
              </w:rPr>
              <w:t>Registrars</w:t>
            </w:r>
          </w:p>
        </w:tc>
        <w:tc>
          <w:tcPr>
            <w:tcW w:w="1081" w:type="dxa"/>
            <w:tcMar>
              <w:left w:w="28" w:type="dxa"/>
              <w:right w:w="28" w:type="dxa"/>
            </w:tcMar>
          </w:tcPr>
          <w:p w14:paraId="363DA1C8" w14:textId="77777777" w:rsidR="0069230D" w:rsidRPr="00FC7A0B" w:rsidRDefault="0069230D" w:rsidP="0069230D">
            <w:pPr>
              <w:jc w:val="center"/>
              <w:rPr>
                <w:rFonts w:ascii="Calibri" w:hAnsi="Calibri" w:cstheme="minorHAnsi"/>
                <w:b/>
                <w:bCs/>
                <w:color w:val="404040" w:themeColor="text1" w:themeTint="BF"/>
                <w:sz w:val="18"/>
                <w:szCs w:val="18"/>
              </w:rPr>
            </w:pPr>
            <w:r w:rsidRPr="00FC7A0B">
              <w:rPr>
                <w:rFonts w:ascii="Calibri" w:hAnsi="Calibri" w:cstheme="minorHAnsi"/>
                <w:b/>
                <w:bCs/>
                <w:color w:val="404040" w:themeColor="text1" w:themeTint="BF"/>
                <w:sz w:val="18"/>
                <w:szCs w:val="18"/>
              </w:rPr>
              <w:t>Judges</w:t>
            </w:r>
          </w:p>
        </w:tc>
        <w:tc>
          <w:tcPr>
            <w:tcW w:w="1081" w:type="dxa"/>
            <w:tcMar>
              <w:left w:w="28" w:type="dxa"/>
              <w:right w:w="28" w:type="dxa"/>
            </w:tcMar>
          </w:tcPr>
          <w:p w14:paraId="75743FC2" w14:textId="77777777" w:rsidR="0069230D" w:rsidRPr="00FC7A0B" w:rsidRDefault="0069230D" w:rsidP="0069230D">
            <w:pPr>
              <w:jc w:val="center"/>
              <w:rPr>
                <w:rFonts w:ascii="Calibri" w:hAnsi="Calibri" w:cstheme="minorHAnsi"/>
                <w:b/>
                <w:bCs/>
                <w:color w:val="404040" w:themeColor="text1" w:themeTint="BF"/>
                <w:sz w:val="18"/>
                <w:szCs w:val="18"/>
              </w:rPr>
            </w:pPr>
            <w:r w:rsidRPr="00FC7A0B">
              <w:rPr>
                <w:rFonts w:ascii="Calibri" w:hAnsi="Calibri" w:cstheme="minorHAnsi"/>
                <w:b/>
                <w:bCs/>
                <w:color w:val="404040" w:themeColor="text1" w:themeTint="BF"/>
                <w:sz w:val="18"/>
                <w:szCs w:val="18"/>
              </w:rPr>
              <w:t>Registrars</w:t>
            </w:r>
          </w:p>
        </w:tc>
        <w:tc>
          <w:tcPr>
            <w:tcW w:w="1081" w:type="dxa"/>
            <w:tcMar>
              <w:left w:w="28" w:type="dxa"/>
              <w:right w:w="28" w:type="dxa"/>
            </w:tcMar>
          </w:tcPr>
          <w:p w14:paraId="07BEE7F9" w14:textId="77777777" w:rsidR="0069230D" w:rsidRPr="00FC7A0B" w:rsidRDefault="0069230D" w:rsidP="0069230D">
            <w:pPr>
              <w:jc w:val="center"/>
              <w:rPr>
                <w:rFonts w:ascii="Calibri" w:hAnsi="Calibri" w:cstheme="minorHAnsi"/>
                <w:b/>
                <w:bCs/>
                <w:color w:val="404040" w:themeColor="text1" w:themeTint="BF"/>
                <w:sz w:val="18"/>
                <w:szCs w:val="18"/>
              </w:rPr>
            </w:pPr>
            <w:r w:rsidRPr="00FC7A0B">
              <w:rPr>
                <w:rFonts w:ascii="Calibri" w:hAnsi="Calibri" w:cstheme="minorHAnsi"/>
                <w:b/>
                <w:bCs/>
                <w:color w:val="404040" w:themeColor="text1" w:themeTint="BF"/>
                <w:sz w:val="18"/>
                <w:szCs w:val="18"/>
              </w:rPr>
              <w:t>Judges</w:t>
            </w:r>
          </w:p>
        </w:tc>
        <w:tc>
          <w:tcPr>
            <w:tcW w:w="1081" w:type="dxa"/>
            <w:tcMar>
              <w:left w:w="28" w:type="dxa"/>
              <w:right w:w="28" w:type="dxa"/>
            </w:tcMar>
          </w:tcPr>
          <w:p w14:paraId="41D5DD8D" w14:textId="77777777" w:rsidR="0069230D" w:rsidRPr="00FC7A0B" w:rsidRDefault="0069230D" w:rsidP="0069230D">
            <w:pPr>
              <w:jc w:val="center"/>
              <w:rPr>
                <w:rFonts w:ascii="Calibri" w:hAnsi="Calibri" w:cstheme="minorHAnsi"/>
                <w:b/>
                <w:bCs/>
                <w:color w:val="404040" w:themeColor="text1" w:themeTint="BF"/>
                <w:sz w:val="18"/>
                <w:szCs w:val="18"/>
              </w:rPr>
            </w:pPr>
            <w:r w:rsidRPr="00FC7A0B">
              <w:rPr>
                <w:rFonts w:ascii="Calibri" w:hAnsi="Calibri" w:cstheme="minorHAnsi"/>
                <w:b/>
                <w:bCs/>
                <w:color w:val="404040" w:themeColor="text1" w:themeTint="BF"/>
                <w:sz w:val="18"/>
                <w:szCs w:val="18"/>
              </w:rPr>
              <w:t>Registrars</w:t>
            </w:r>
          </w:p>
        </w:tc>
        <w:tc>
          <w:tcPr>
            <w:tcW w:w="1081" w:type="dxa"/>
            <w:tcMar>
              <w:left w:w="28" w:type="dxa"/>
              <w:right w:w="28" w:type="dxa"/>
            </w:tcMar>
          </w:tcPr>
          <w:p w14:paraId="44A13680" w14:textId="77777777" w:rsidR="0069230D" w:rsidRPr="00FC7A0B" w:rsidRDefault="0069230D" w:rsidP="0069230D">
            <w:pPr>
              <w:jc w:val="center"/>
              <w:rPr>
                <w:rFonts w:ascii="Calibri" w:hAnsi="Calibri" w:cstheme="minorHAnsi"/>
                <w:b/>
                <w:bCs/>
                <w:color w:val="404040" w:themeColor="text1" w:themeTint="BF"/>
                <w:sz w:val="18"/>
                <w:szCs w:val="18"/>
              </w:rPr>
            </w:pPr>
            <w:r w:rsidRPr="00FC7A0B">
              <w:rPr>
                <w:rFonts w:ascii="Calibri" w:hAnsi="Calibri" w:cstheme="minorHAnsi"/>
                <w:b/>
                <w:bCs/>
                <w:color w:val="404040" w:themeColor="text1" w:themeTint="BF"/>
                <w:sz w:val="18"/>
                <w:szCs w:val="18"/>
              </w:rPr>
              <w:t>Judges</w:t>
            </w:r>
          </w:p>
        </w:tc>
        <w:tc>
          <w:tcPr>
            <w:tcW w:w="1081" w:type="dxa"/>
            <w:tcMar>
              <w:left w:w="28" w:type="dxa"/>
              <w:right w:w="28" w:type="dxa"/>
            </w:tcMar>
          </w:tcPr>
          <w:p w14:paraId="77B4A2E4" w14:textId="77777777" w:rsidR="0069230D" w:rsidRPr="00FC7A0B" w:rsidRDefault="0069230D" w:rsidP="0069230D">
            <w:pPr>
              <w:jc w:val="center"/>
              <w:rPr>
                <w:rFonts w:ascii="Calibri" w:hAnsi="Calibri" w:cstheme="minorHAnsi"/>
                <w:b/>
                <w:bCs/>
                <w:color w:val="404040" w:themeColor="text1" w:themeTint="BF"/>
                <w:sz w:val="18"/>
                <w:szCs w:val="18"/>
              </w:rPr>
            </w:pPr>
            <w:r w:rsidRPr="00FC7A0B">
              <w:rPr>
                <w:rFonts w:ascii="Calibri" w:hAnsi="Calibri" w:cstheme="minorHAnsi"/>
                <w:b/>
                <w:bCs/>
                <w:color w:val="404040" w:themeColor="text1" w:themeTint="BF"/>
                <w:sz w:val="18"/>
                <w:szCs w:val="18"/>
              </w:rPr>
              <w:t>Registrars</w:t>
            </w:r>
          </w:p>
        </w:tc>
      </w:tr>
      <w:tr w:rsidR="0069230D" w:rsidRPr="004528C3" w14:paraId="13D89DB4" w14:textId="77777777" w:rsidTr="0069230D">
        <w:trPr>
          <w:jc w:val="center"/>
        </w:trPr>
        <w:tc>
          <w:tcPr>
            <w:tcW w:w="1695" w:type="dxa"/>
          </w:tcPr>
          <w:p w14:paraId="2EBB5B37" w14:textId="77777777" w:rsidR="0069230D" w:rsidRPr="00FC7A0B" w:rsidRDefault="0069230D" w:rsidP="0069230D">
            <w:pPr>
              <w:rPr>
                <w:rFonts w:ascii="Calibri" w:hAnsi="Calibri" w:cstheme="minorHAnsi"/>
                <w:color w:val="404040" w:themeColor="text1" w:themeTint="BF"/>
                <w:sz w:val="18"/>
                <w:szCs w:val="18"/>
              </w:rPr>
            </w:pPr>
            <w:r w:rsidRPr="00FC7A0B">
              <w:rPr>
                <w:rFonts w:ascii="Calibri" w:hAnsi="Calibri" w:cstheme="minorHAnsi"/>
                <w:color w:val="404040" w:themeColor="text1" w:themeTint="BF"/>
                <w:sz w:val="18"/>
                <w:szCs w:val="18"/>
              </w:rPr>
              <w:t>Constitutional/ supreme courts</w:t>
            </w:r>
          </w:p>
        </w:tc>
        <w:tc>
          <w:tcPr>
            <w:tcW w:w="1135" w:type="dxa"/>
            <w:tcMar>
              <w:left w:w="28" w:type="dxa"/>
              <w:right w:w="28" w:type="dxa"/>
            </w:tcMar>
            <w:vAlign w:val="center"/>
          </w:tcPr>
          <w:p w14:paraId="64A709F8" w14:textId="77777777" w:rsidR="0069230D" w:rsidRPr="00FC7A0B" w:rsidRDefault="0069230D" w:rsidP="0069230D">
            <w:pPr>
              <w:jc w:val="center"/>
              <w:rPr>
                <w:rFonts w:ascii="Calibri" w:hAnsi="Calibri" w:cstheme="minorHAnsi"/>
                <w:color w:val="404040" w:themeColor="text1" w:themeTint="BF"/>
                <w:sz w:val="18"/>
                <w:szCs w:val="18"/>
              </w:rPr>
            </w:pPr>
            <w:r w:rsidRPr="004528C3">
              <w:rPr>
                <w:rFonts w:ascii="Calibri" w:hAnsi="Calibri" w:cstheme="minorHAnsi"/>
                <w:color w:val="000000" w:themeColor="text1"/>
                <w:sz w:val="18"/>
                <w:szCs w:val="18"/>
              </w:rPr>
              <w:t>…</w:t>
            </w:r>
          </w:p>
        </w:tc>
        <w:tc>
          <w:tcPr>
            <w:tcW w:w="1027" w:type="dxa"/>
            <w:tcMar>
              <w:left w:w="28" w:type="dxa"/>
              <w:right w:w="28" w:type="dxa"/>
            </w:tcMar>
            <w:vAlign w:val="center"/>
          </w:tcPr>
          <w:p w14:paraId="773669C0" w14:textId="77777777" w:rsidR="0069230D" w:rsidRPr="00FC7A0B" w:rsidRDefault="0069230D" w:rsidP="0069230D">
            <w:pPr>
              <w:jc w:val="center"/>
              <w:rPr>
                <w:rFonts w:ascii="Calibri" w:hAnsi="Calibri" w:cstheme="minorHAnsi"/>
                <w:color w:val="404040" w:themeColor="text1" w:themeTint="BF"/>
                <w:sz w:val="18"/>
                <w:szCs w:val="18"/>
              </w:rPr>
            </w:pPr>
            <w:r w:rsidRPr="004528C3">
              <w:rPr>
                <w:rFonts w:ascii="Calibri" w:hAnsi="Calibri" w:cstheme="minorHAnsi"/>
                <w:color w:val="000000" w:themeColor="text1"/>
                <w:sz w:val="18"/>
                <w:szCs w:val="18"/>
              </w:rPr>
              <w:t>…</w:t>
            </w:r>
          </w:p>
        </w:tc>
        <w:tc>
          <w:tcPr>
            <w:tcW w:w="1081" w:type="dxa"/>
            <w:tcMar>
              <w:left w:w="28" w:type="dxa"/>
              <w:right w:w="28" w:type="dxa"/>
            </w:tcMar>
            <w:vAlign w:val="center"/>
          </w:tcPr>
          <w:p w14:paraId="7D83D1D9" w14:textId="77777777" w:rsidR="0069230D" w:rsidRPr="00FC7A0B" w:rsidRDefault="0069230D" w:rsidP="0069230D">
            <w:pPr>
              <w:jc w:val="center"/>
              <w:rPr>
                <w:rFonts w:ascii="Calibri" w:hAnsi="Calibri" w:cstheme="minorHAnsi"/>
                <w:color w:val="404040" w:themeColor="text1" w:themeTint="BF"/>
                <w:sz w:val="18"/>
                <w:szCs w:val="18"/>
              </w:rPr>
            </w:pPr>
            <w:r w:rsidRPr="004528C3">
              <w:rPr>
                <w:rFonts w:ascii="Calibri" w:hAnsi="Calibri" w:cstheme="minorHAnsi"/>
                <w:color w:val="000000" w:themeColor="text1"/>
                <w:sz w:val="18"/>
                <w:szCs w:val="18"/>
              </w:rPr>
              <w:t>…</w:t>
            </w:r>
          </w:p>
        </w:tc>
        <w:tc>
          <w:tcPr>
            <w:tcW w:w="1081" w:type="dxa"/>
            <w:tcMar>
              <w:left w:w="28" w:type="dxa"/>
              <w:right w:w="28" w:type="dxa"/>
            </w:tcMar>
            <w:vAlign w:val="center"/>
          </w:tcPr>
          <w:p w14:paraId="45166FA3" w14:textId="77777777" w:rsidR="0069230D" w:rsidRPr="00FC7A0B" w:rsidRDefault="0069230D" w:rsidP="0069230D">
            <w:pPr>
              <w:jc w:val="center"/>
              <w:rPr>
                <w:rFonts w:ascii="Calibri" w:hAnsi="Calibri" w:cstheme="minorHAnsi"/>
                <w:color w:val="404040" w:themeColor="text1" w:themeTint="BF"/>
                <w:sz w:val="18"/>
                <w:szCs w:val="18"/>
              </w:rPr>
            </w:pPr>
            <w:r w:rsidRPr="004528C3">
              <w:rPr>
                <w:rFonts w:ascii="Calibri" w:hAnsi="Calibri" w:cstheme="minorHAnsi"/>
                <w:color w:val="000000" w:themeColor="text1"/>
                <w:sz w:val="18"/>
                <w:szCs w:val="18"/>
              </w:rPr>
              <w:t>…</w:t>
            </w:r>
          </w:p>
        </w:tc>
        <w:tc>
          <w:tcPr>
            <w:tcW w:w="1081" w:type="dxa"/>
            <w:tcMar>
              <w:left w:w="28" w:type="dxa"/>
              <w:right w:w="28" w:type="dxa"/>
            </w:tcMar>
            <w:vAlign w:val="center"/>
          </w:tcPr>
          <w:p w14:paraId="08C59929" w14:textId="77777777" w:rsidR="0069230D" w:rsidRPr="00FC7A0B" w:rsidRDefault="0069230D" w:rsidP="0069230D">
            <w:pPr>
              <w:jc w:val="center"/>
              <w:rPr>
                <w:rFonts w:ascii="Calibri" w:hAnsi="Calibri" w:cstheme="minorHAnsi"/>
                <w:color w:val="404040" w:themeColor="text1" w:themeTint="BF"/>
                <w:sz w:val="18"/>
                <w:szCs w:val="18"/>
              </w:rPr>
            </w:pPr>
            <w:r w:rsidRPr="004528C3">
              <w:rPr>
                <w:rFonts w:ascii="Calibri" w:hAnsi="Calibri" w:cstheme="minorHAnsi"/>
                <w:color w:val="000000" w:themeColor="text1"/>
                <w:sz w:val="18"/>
                <w:szCs w:val="18"/>
              </w:rPr>
              <w:t>…</w:t>
            </w:r>
          </w:p>
        </w:tc>
        <w:tc>
          <w:tcPr>
            <w:tcW w:w="1081" w:type="dxa"/>
            <w:tcMar>
              <w:left w:w="28" w:type="dxa"/>
              <w:right w:w="28" w:type="dxa"/>
            </w:tcMar>
            <w:vAlign w:val="center"/>
          </w:tcPr>
          <w:p w14:paraId="1F915E50" w14:textId="77777777" w:rsidR="0069230D" w:rsidRPr="00FC7A0B" w:rsidRDefault="0069230D" w:rsidP="0069230D">
            <w:pPr>
              <w:jc w:val="center"/>
              <w:rPr>
                <w:rFonts w:ascii="Calibri" w:hAnsi="Calibri" w:cstheme="minorHAnsi"/>
                <w:color w:val="404040" w:themeColor="text1" w:themeTint="BF"/>
                <w:sz w:val="18"/>
                <w:szCs w:val="18"/>
              </w:rPr>
            </w:pPr>
            <w:r w:rsidRPr="004528C3">
              <w:rPr>
                <w:rFonts w:ascii="Calibri" w:hAnsi="Calibri" w:cstheme="minorHAnsi"/>
                <w:color w:val="000000" w:themeColor="text1"/>
                <w:sz w:val="18"/>
                <w:szCs w:val="18"/>
              </w:rPr>
              <w:t>…</w:t>
            </w:r>
          </w:p>
        </w:tc>
        <w:tc>
          <w:tcPr>
            <w:tcW w:w="1081" w:type="dxa"/>
            <w:tcMar>
              <w:left w:w="28" w:type="dxa"/>
              <w:right w:w="28" w:type="dxa"/>
            </w:tcMar>
            <w:vAlign w:val="center"/>
          </w:tcPr>
          <w:p w14:paraId="26DBE12E" w14:textId="77777777" w:rsidR="0069230D" w:rsidRPr="00FC7A0B" w:rsidRDefault="0069230D" w:rsidP="0069230D">
            <w:pPr>
              <w:jc w:val="center"/>
              <w:rPr>
                <w:rFonts w:ascii="Calibri" w:hAnsi="Calibri" w:cstheme="minorHAnsi"/>
                <w:color w:val="404040" w:themeColor="text1" w:themeTint="BF"/>
                <w:sz w:val="18"/>
                <w:szCs w:val="18"/>
              </w:rPr>
            </w:pPr>
            <w:r w:rsidRPr="004528C3">
              <w:rPr>
                <w:rFonts w:ascii="Calibri" w:hAnsi="Calibri" w:cstheme="minorHAnsi"/>
                <w:color w:val="000000" w:themeColor="text1"/>
                <w:sz w:val="18"/>
                <w:szCs w:val="18"/>
              </w:rPr>
              <w:t>…</w:t>
            </w:r>
          </w:p>
        </w:tc>
        <w:tc>
          <w:tcPr>
            <w:tcW w:w="1081" w:type="dxa"/>
            <w:tcMar>
              <w:left w:w="28" w:type="dxa"/>
              <w:right w:w="28" w:type="dxa"/>
            </w:tcMar>
            <w:vAlign w:val="center"/>
          </w:tcPr>
          <w:p w14:paraId="5C5A6B70" w14:textId="77777777" w:rsidR="0069230D" w:rsidRPr="00FC7A0B" w:rsidRDefault="0069230D" w:rsidP="0069230D">
            <w:pPr>
              <w:jc w:val="center"/>
              <w:rPr>
                <w:rFonts w:ascii="Calibri" w:hAnsi="Calibri" w:cstheme="minorHAnsi"/>
                <w:color w:val="404040" w:themeColor="text1" w:themeTint="BF"/>
                <w:sz w:val="18"/>
                <w:szCs w:val="18"/>
              </w:rPr>
            </w:pPr>
            <w:r w:rsidRPr="004528C3">
              <w:rPr>
                <w:rFonts w:ascii="Calibri" w:hAnsi="Calibri" w:cstheme="minorHAnsi"/>
                <w:color w:val="000000" w:themeColor="text1"/>
                <w:sz w:val="18"/>
                <w:szCs w:val="18"/>
              </w:rPr>
              <w:t>…</w:t>
            </w:r>
          </w:p>
        </w:tc>
      </w:tr>
      <w:tr w:rsidR="0069230D" w:rsidRPr="004528C3" w14:paraId="1023F421" w14:textId="77777777" w:rsidTr="0069230D">
        <w:trPr>
          <w:jc w:val="center"/>
        </w:trPr>
        <w:tc>
          <w:tcPr>
            <w:tcW w:w="1695" w:type="dxa"/>
          </w:tcPr>
          <w:p w14:paraId="7826B916" w14:textId="77777777" w:rsidR="0069230D" w:rsidRPr="00FC7A0B" w:rsidRDefault="0069230D" w:rsidP="0069230D">
            <w:pPr>
              <w:rPr>
                <w:rFonts w:ascii="Calibri" w:hAnsi="Calibri" w:cstheme="minorHAnsi"/>
                <w:color w:val="404040" w:themeColor="text1" w:themeTint="BF"/>
                <w:sz w:val="18"/>
                <w:szCs w:val="18"/>
              </w:rPr>
            </w:pPr>
            <w:r w:rsidRPr="00FC7A0B">
              <w:rPr>
                <w:rFonts w:ascii="Calibri" w:hAnsi="Calibri" w:cstheme="minorHAnsi"/>
                <w:color w:val="404040" w:themeColor="text1" w:themeTint="BF"/>
                <w:sz w:val="18"/>
                <w:szCs w:val="18"/>
              </w:rPr>
              <w:t>Higher-level courts</w:t>
            </w:r>
          </w:p>
        </w:tc>
        <w:tc>
          <w:tcPr>
            <w:tcW w:w="1135" w:type="dxa"/>
            <w:tcMar>
              <w:left w:w="28" w:type="dxa"/>
              <w:right w:w="28" w:type="dxa"/>
            </w:tcMar>
            <w:vAlign w:val="center"/>
          </w:tcPr>
          <w:p w14:paraId="009771C3" w14:textId="77777777" w:rsidR="0069230D" w:rsidRPr="00FC7A0B" w:rsidRDefault="0069230D" w:rsidP="0069230D">
            <w:pPr>
              <w:jc w:val="center"/>
              <w:rPr>
                <w:rFonts w:ascii="Calibri" w:hAnsi="Calibri" w:cstheme="minorHAnsi"/>
                <w:color w:val="404040" w:themeColor="text1" w:themeTint="BF"/>
                <w:sz w:val="18"/>
                <w:szCs w:val="18"/>
              </w:rPr>
            </w:pPr>
            <w:r w:rsidRPr="004528C3">
              <w:rPr>
                <w:rFonts w:ascii="Calibri" w:hAnsi="Calibri" w:cstheme="minorHAnsi"/>
                <w:color w:val="000000" w:themeColor="text1"/>
                <w:sz w:val="18"/>
                <w:szCs w:val="18"/>
              </w:rPr>
              <w:t>…</w:t>
            </w:r>
          </w:p>
        </w:tc>
        <w:tc>
          <w:tcPr>
            <w:tcW w:w="1027" w:type="dxa"/>
            <w:tcMar>
              <w:left w:w="28" w:type="dxa"/>
              <w:right w:w="28" w:type="dxa"/>
            </w:tcMar>
            <w:vAlign w:val="center"/>
          </w:tcPr>
          <w:p w14:paraId="4CF4078D" w14:textId="77777777" w:rsidR="0069230D" w:rsidRPr="00FC7A0B" w:rsidRDefault="0069230D" w:rsidP="0069230D">
            <w:pPr>
              <w:jc w:val="center"/>
              <w:rPr>
                <w:rFonts w:ascii="Calibri" w:hAnsi="Calibri" w:cstheme="minorHAnsi"/>
                <w:color w:val="404040" w:themeColor="text1" w:themeTint="BF"/>
                <w:sz w:val="18"/>
                <w:szCs w:val="18"/>
              </w:rPr>
            </w:pPr>
            <w:r w:rsidRPr="004528C3">
              <w:rPr>
                <w:rFonts w:ascii="Calibri" w:hAnsi="Calibri" w:cstheme="minorHAnsi"/>
                <w:color w:val="000000" w:themeColor="text1"/>
                <w:sz w:val="18"/>
                <w:szCs w:val="18"/>
              </w:rPr>
              <w:t>…</w:t>
            </w:r>
          </w:p>
        </w:tc>
        <w:tc>
          <w:tcPr>
            <w:tcW w:w="1081" w:type="dxa"/>
            <w:tcMar>
              <w:left w:w="28" w:type="dxa"/>
              <w:right w:w="28" w:type="dxa"/>
            </w:tcMar>
            <w:vAlign w:val="center"/>
          </w:tcPr>
          <w:p w14:paraId="48D29187" w14:textId="77777777" w:rsidR="0069230D" w:rsidRPr="00FC7A0B" w:rsidRDefault="0069230D" w:rsidP="0069230D">
            <w:pPr>
              <w:jc w:val="center"/>
              <w:rPr>
                <w:rFonts w:ascii="Calibri" w:hAnsi="Calibri" w:cstheme="minorHAnsi"/>
                <w:color w:val="404040" w:themeColor="text1" w:themeTint="BF"/>
                <w:sz w:val="18"/>
                <w:szCs w:val="18"/>
              </w:rPr>
            </w:pPr>
            <w:r w:rsidRPr="004528C3">
              <w:rPr>
                <w:rFonts w:ascii="Calibri" w:hAnsi="Calibri" w:cstheme="minorHAnsi"/>
                <w:color w:val="000000" w:themeColor="text1"/>
                <w:sz w:val="18"/>
                <w:szCs w:val="18"/>
              </w:rPr>
              <w:t>…</w:t>
            </w:r>
          </w:p>
        </w:tc>
        <w:tc>
          <w:tcPr>
            <w:tcW w:w="1081" w:type="dxa"/>
            <w:tcMar>
              <w:left w:w="28" w:type="dxa"/>
              <w:right w:w="28" w:type="dxa"/>
            </w:tcMar>
            <w:vAlign w:val="center"/>
          </w:tcPr>
          <w:p w14:paraId="5125BD29" w14:textId="77777777" w:rsidR="0069230D" w:rsidRPr="00FC7A0B" w:rsidRDefault="0069230D" w:rsidP="0069230D">
            <w:pPr>
              <w:jc w:val="center"/>
              <w:rPr>
                <w:rFonts w:ascii="Calibri" w:hAnsi="Calibri" w:cstheme="minorHAnsi"/>
                <w:color w:val="404040" w:themeColor="text1" w:themeTint="BF"/>
                <w:sz w:val="18"/>
                <w:szCs w:val="18"/>
              </w:rPr>
            </w:pPr>
            <w:r w:rsidRPr="004528C3">
              <w:rPr>
                <w:rFonts w:ascii="Calibri" w:hAnsi="Calibri" w:cstheme="minorHAnsi"/>
                <w:color w:val="000000" w:themeColor="text1"/>
                <w:sz w:val="18"/>
                <w:szCs w:val="18"/>
              </w:rPr>
              <w:t>…</w:t>
            </w:r>
          </w:p>
        </w:tc>
        <w:tc>
          <w:tcPr>
            <w:tcW w:w="1081" w:type="dxa"/>
            <w:tcMar>
              <w:left w:w="28" w:type="dxa"/>
              <w:right w:w="28" w:type="dxa"/>
            </w:tcMar>
            <w:vAlign w:val="center"/>
          </w:tcPr>
          <w:p w14:paraId="2FD6B4EC" w14:textId="77777777" w:rsidR="0069230D" w:rsidRPr="00FC7A0B" w:rsidRDefault="0069230D" w:rsidP="0069230D">
            <w:pPr>
              <w:jc w:val="center"/>
              <w:rPr>
                <w:rFonts w:ascii="Calibri" w:hAnsi="Calibri" w:cstheme="minorHAnsi"/>
                <w:color w:val="404040" w:themeColor="text1" w:themeTint="BF"/>
                <w:sz w:val="18"/>
                <w:szCs w:val="18"/>
              </w:rPr>
            </w:pPr>
            <w:r w:rsidRPr="004528C3">
              <w:rPr>
                <w:rFonts w:ascii="Calibri" w:hAnsi="Calibri" w:cstheme="minorHAnsi"/>
                <w:color w:val="000000" w:themeColor="text1"/>
                <w:sz w:val="18"/>
                <w:szCs w:val="18"/>
              </w:rPr>
              <w:t>…</w:t>
            </w:r>
          </w:p>
        </w:tc>
        <w:tc>
          <w:tcPr>
            <w:tcW w:w="1081" w:type="dxa"/>
            <w:tcMar>
              <w:left w:w="28" w:type="dxa"/>
              <w:right w:w="28" w:type="dxa"/>
            </w:tcMar>
            <w:vAlign w:val="center"/>
          </w:tcPr>
          <w:p w14:paraId="5AE79235" w14:textId="77777777" w:rsidR="0069230D" w:rsidRPr="00FC7A0B" w:rsidRDefault="0069230D" w:rsidP="0069230D">
            <w:pPr>
              <w:jc w:val="center"/>
              <w:rPr>
                <w:rFonts w:ascii="Calibri" w:hAnsi="Calibri" w:cstheme="minorHAnsi"/>
                <w:color w:val="404040" w:themeColor="text1" w:themeTint="BF"/>
                <w:sz w:val="18"/>
                <w:szCs w:val="18"/>
              </w:rPr>
            </w:pPr>
            <w:r w:rsidRPr="004528C3">
              <w:rPr>
                <w:rFonts w:ascii="Calibri" w:hAnsi="Calibri" w:cstheme="minorHAnsi"/>
                <w:color w:val="000000" w:themeColor="text1"/>
                <w:sz w:val="18"/>
                <w:szCs w:val="18"/>
              </w:rPr>
              <w:t>…</w:t>
            </w:r>
          </w:p>
        </w:tc>
        <w:tc>
          <w:tcPr>
            <w:tcW w:w="1081" w:type="dxa"/>
            <w:tcMar>
              <w:left w:w="28" w:type="dxa"/>
              <w:right w:w="28" w:type="dxa"/>
            </w:tcMar>
            <w:vAlign w:val="center"/>
          </w:tcPr>
          <w:p w14:paraId="00E0D83E" w14:textId="77777777" w:rsidR="0069230D" w:rsidRPr="00FC7A0B" w:rsidRDefault="0069230D" w:rsidP="0069230D">
            <w:pPr>
              <w:jc w:val="center"/>
              <w:rPr>
                <w:rFonts w:ascii="Calibri" w:hAnsi="Calibri" w:cstheme="minorHAnsi"/>
                <w:color w:val="404040" w:themeColor="text1" w:themeTint="BF"/>
                <w:sz w:val="18"/>
                <w:szCs w:val="18"/>
              </w:rPr>
            </w:pPr>
            <w:r w:rsidRPr="004528C3">
              <w:rPr>
                <w:rFonts w:ascii="Calibri" w:hAnsi="Calibri" w:cstheme="minorHAnsi"/>
                <w:color w:val="000000" w:themeColor="text1"/>
                <w:sz w:val="18"/>
                <w:szCs w:val="18"/>
              </w:rPr>
              <w:t>…</w:t>
            </w:r>
          </w:p>
        </w:tc>
        <w:tc>
          <w:tcPr>
            <w:tcW w:w="1081" w:type="dxa"/>
            <w:tcMar>
              <w:left w:w="28" w:type="dxa"/>
              <w:right w:w="28" w:type="dxa"/>
            </w:tcMar>
            <w:vAlign w:val="center"/>
          </w:tcPr>
          <w:p w14:paraId="4CD485F5" w14:textId="77777777" w:rsidR="0069230D" w:rsidRPr="00FC7A0B" w:rsidRDefault="0069230D" w:rsidP="0069230D">
            <w:pPr>
              <w:jc w:val="center"/>
              <w:rPr>
                <w:rFonts w:ascii="Calibri" w:hAnsi="Calibri" w:cstheme="minorHAnsi"/>
                <w:color w:val="404040" w:themeColor="text1" w:themeTint="BF"/>
                <w:sz w:val="18"/>
                <w:szCs w:val="18"/>
              </w:rPr>
            </w:pPr>
            <w:r w:rsidRPr="004528C3">
              <w:rPr>
                <w:rFonts w:ascii="Calibri" w:hAnsi="Calibri" w:cstheme="minorHAnsi"/>
                <w:color w:val="000000" w:themeColor="text1"/>
                <w:sz w:val="18"/>
                <w:szCs w:val="18"/>
              </w:rPr>
              <w:t>…</w:t>
            </w:r>
          </w:p>
        </w:tc>
      </w:tr>
      <w:tr w:rsidR="0069230D" w:rsidRPr="004528C3" w14:paraId="4B3E1EF4" w14:textId="77777777" w:rsidTr="0069230D">
        <w:trPr>
          <w:jc w:val="center"/>
        </w:trPr>
        <w:tc>
          <w:tcPr>
            <w:tcW w:w="1695" w:type="dxa"/>
          </w:tcPr>
          <w:p w14:paraId="4E59590C" w14:textId="77777777" w:rsidR="0069230D" w:rsidRPr="00FC7A0B" w:rsidRDefault="0069230D" w:rsidP="0069230D">
            <w:pPr>
              <w:rPr>
                <w:rFonts w:ascii="Calibri" w:hAnsi="Calibri" w:cstheme="minorHAnsi"/>
                <w:color w:val="404040" w:themeColor="text1" w:themeTint="BF"/>
                <w:sz w:val="18"/>
                <w:szCs w:val="18"/>
              </w:rPr>
            </w:pPr>
            <w:r w:rsidRPr="00FC7A0B">
              <w:rPr>
                <w:rFonts w:ascii="Calibri" w:hAnsi="Calibri" w:cstheme="minorHAnsi"/>
                <w:color w:val="404040" w:themeColor="text1" w:themeTint="BF"/>
                <w:sz w:val="18"/>
                <w:szCs w:val="18"/>
              </w:rPr>
              <w:t>Lower-level courts</w:t>
            </w:r>
          </w:p>
        </w:tc>
        <w:tc>
          <w:tcPr>
            <w:tcW w:w="1135" w:type="dxa"/>
            <w:tcMar>
              <w:left w:w="28" w:type="dxa"/>
              <w:right w:w="28" w:type="dxa"/>
            </w:tcMar>
            <w:vAlign w:val="center"/>
          </w:tcPr>
          <w:p w14:paraId="54BA1100" w14:textId="77777777" w:rsidR="0069230D" w:rsidRPr="00FC7A0B" w:rsidRDefault="0069230D" w:rsidP="0069230D">
            <w:pPr>
              <w:jc w:val="center"/>
              <w:rPr>
                <w:rFonts w:ascii="Calibri" w:hAnsi="Calibri" w:cstheme="minorHAnsi"/>
                <w:color w:val="404040" w:themeColor="text1" w:themeTint="BF"/>
                <w:sz w:val="18"/>
                <w:szCs w:val="18"/>
              </w:rPr>
            </w:pPr>
            <w:r w:rsidRPr="004528C3">
              <w:rPr>
                <w:rFonts w:ascii="Calibri" w:hAnsi="Calibri" w:cstheme="minorHAnsi"/>
                <w:color w:val="000000" w:themeColor="text1"/>
                <w:sz w:val="18"/>
                <w:szCs w:val="18"/>
              </w:rPr>
              <w:t>…</w:t>
            </w:r>
          </w:p>
        </w:tc>
        <w:tc>
          <w:tcPr>
            <w:tcW w:w="1027" w:type="dxa"/>
            <w:tcMar>
              <w:left w:w="28" w:type="dxa"/>
              <w:right w:w="28" w:type="dxa"/>
            </w:tcMar>
            <w:vAlign w:val="center"/>
          </w:tcPr>
          <w:p w14:paraId="012B1F92" w14:textId="77777777" w:rsidR="0069230D" w:rsidRPr="00FC7A0B" w:rsidRDefault="0069230D" w:rsidP="0069230D">
            <w:pPr>
              <w:jc w:val="center"/>
              <w:rPr>
                <w:rFonts w:ascii="Calibri" w:hAnsi="Calibri" w:cstheme="minorHAnsi"/>
                <w:color w:val="404040" w:themeColor="text1" w:themeTint="BF"/>
                <w:sz w:val="18"/>
                <w:szCs w:val="18"/>
              </w:rPr>
            </w:pPr>
            <w:r w:rsidRPr="004528C3">
              <w:rPr>
                <w:rFonts w:ascii="Calibri" w:hAnsi="Calibri" w:cstheme="minorHAnsi"/>
                <w:color w:val="000000" w:themeColor="text1"/>
                <w:sz w:val="18"/>
                <w:szCs w:val="18"/>
              </w:rPr>
              <w:t>…</w:t>
            </w:r>
          </w:p>
        </w:tc>
        <w:tc>
          <w:tcPr>
            <w:tcW w:w="1081" w:type="dxa"/>
            <w:tcMar>
              <w:left w:w="28" w:type="dxa"/>
              <w:right w:w="28" w:type="dxa"/>
            </w:tcMar>
            <w:vAlign w:val="center"/>
          </w:tcPr>
          <w:p w14:paraId="6E66CD19" w14:textId="77777777" w:rsidR="0069230D" w:rsidRPr="00FC7A0B" w:rsidRDefault="0069230D" w:rsidP="0069230D">
            <w:pPr>
              <w:jc w:val="center"/>
              <w:rPr>
                <w:rFonts w:ascii="Calibri" w:hAnsi="Calibri" w:cstheme="minorHAnsi"/>
                <w:color w:val="404040" w:themeColor="text1" w:themeTint="BF"/>
                <w:sz w:val="18"/>
                <w:szCs w:val="18"/>
              </w:rPr>
            </w:pPr>
            <w:r w:rsidRPr="004528C3">
              <w:rPr>
                <w:rFonts w:ascii="Calibri" w:hAnsi="Calibri" w:cstheme="minorHAnsi"/>
                <w:color w:val="000000" w:themeColor="text1"/>
                <w:sz w:val="18"/>
                <w:szCs w:val="18"/>
              </w:rPr>
              <w:t>…</w:t>
            </w:r>
          </w:p>
        </w:tc>
        <w:tc>
          <w:tcPr>
            <w:tcW w:w="1081" w:type="dxa"/>
            <w:tcMar>
              <w:left w:w="28" w:type="dxa"/>
              <w:right w:w="28" w:type="dxa"/>
            </w:tcMar>
            <w:vAlign w:val="center"/>
          </w:tcPr>
          <w:p w14:paraId="78D72699" w14:textId="77777777" w:rsidR="0069230D" w:rsidRPr="00FC7A0B" w:rsidRDefault="0069230D" w:rsidP="0069230D">
            <w:pPr>
              <w:jc w:val="center"/>
              <w:rPr>
                <w:rFonts w:ascii="Calibri" w:hAnsi="Calibri" w:cstheme="minorHAnsi"/>
                <w:color w:val="404040" w:themeColor="text1" w:themeTint="BF"/>
                <w:sz w:val="18"/>
                <w:szCs w:val="18"/>
              </w:rPr>
            </w:pPr>
            <w:r w:rsidRPr="004528C3">
              <w:rPr>
                <w:rFonts w:ascii="Calibri" w:hAnsi="Calibri" w:cstheme="minorHAnsi"/>
                <w:color w:val="000000" w:themeColor="text1"/>
                <w:sz w:val="18"/>
                <w:szCs w:val="18"/>
              </w:rPr>
              <w:t>…</w:t>
            </w:r>
          </w:p>
        </w:tc>
        <w:tc>
          <w:tcPr>
            <w:tcW w:w="1081" w:type="dxa"/>
            <w:tcMar>
              <w:left w:w="28" w:type="dxa"/>
              <w:right w:w="28" w:type="dxa"/>
            </w:tcMar>
            <w:vAlign w:val="center"/>
          </w:tcPr>
          <w:p w14:paraId="70F0C453" w14:textId="77777777" w:rsidR="0069230D" w:rsidRPr="00FC7A0B" w:rsidRDefault="0069230D" w:rsidP="0069230D">
            <w:pPr>
              <w:jc w:val="center"/>
              <w:rPr>
                <w:rFonts w:ascii="Calibri" w:hAnsi="Calibri" w:cstheme="minorHAnsi"/>
                <w:color w:val="404040" w:themeColor="text1" w:themeTint="BF"/>
                <w:sz w:val="18"/>
                <w:szCs w:val="18"/>
              </w:rPr>
            </w:pPr>
            <w:r w:rsidRPr="004528C3">
              <w:rPr>
                <w:rFonts w:ascii="Calibri" w:hAnsi="Calibri" w:cstheme="minorHAnsi"/>
                <w:color w:val="000000" w:themeColor="text1"/>
                <w:sz w:val="18"/>
                <w:szCs w:val="18"/>
              </w:rPr>
              <w:t>…</w:t>
            </w:r>
          </w:p>
        </w:tc>
        <w:tc>
          <w:tcPr>
            <w:tcW w:w="1081" w:type="dxa"/>
            <w:tcMar>
              <w:left w:w="28" w:type="dxa"/>
              <w:right w:w="28" w:type="dxa"/>
            </w:tcMar>
            <w:vAlign w:val="center"/>
          </w:tcPr>
          <w:p w14:paraId="5FA89106" w14:textId="77777777" w:rsidR="0069230D" w:rsidRPr="00FC7A0B" w:rsidRDefault="0069230D" w:rsidP="0069230D">
            <w:pPr>
              <w:jc w:val="center"/>
              <w:rPr>
                <w:rFonts w:ascii="Calibri" w:hAnsi="Calibri" w:cstheme="minorHAnsi"/>
                <w:color w:val="404040" w:themeColor="text1" w:themeTint="BF"/>
                <w:sz w:val="18"/>
                <w:szCs w:val="18"/>
              </w:rPr>
            </w:pPr>
            <w:r w:rsidRPr="004528C3">
              <w:rPr>
                <w:rFonts w:ascii="Calibri" w:hAnsi="Calibri" w:cstheme="minorHAnsi"/>
                <w:color w:val="000000" w:themeColor="text1"/>
                <w:sz w:val="18"/>
                <w:szCs w:val="18"/>
              </w:rPr>
              <w:t>…</w:t>
            </w:r>
          </w:p>
        </w:tc>
        <w:tc>
          <w:tcPr>
            <w:tcW w:w="1081" w:type="dxa"/>
            <w:tcMar>
              <w:left w:w="28" w:type="dxa"/>
              <w:right w:w="28" w:type="dxa"/>
            </w:tcMar>
            <w:vAlign w:val="center"/>
          </w:tcPr>
          <w:p w14:paraId="60D06A2B" w14:textId="77777777" w:rsidR="0069230D" w:rsidRPr="00FC7A0B" w:rsidRDefault="0069230D" w:rsidP="0069230D">
            <w:pPr>
              <w:jc w:val="center"/>
              <w:rPr>
                <w:rFonts w:ascii="Calibri" w:hAnsi="Calibri" w:cstheme="minorHAnsi"/>
                <w:color w:val="404040" w:themeColor="text1" w:themeTint="BF"/>
                <w:sz w:val="18"/>
                <w:szCs w:val="18"/>
              </w:rPr>
            </w:pPr>
            <w:r w:rsidRPr="004528C3">
              <w:rPr>
                <w:rFonts w:ascii="Calibri" w:hAnsi="Calibri" w:cstheme="minorHAnsi"/>
                <w:color w:val="000000" w:themeColor="text1"/>
                <w:sz w:val="18"/>
                <w:szCs w:val="18"/>
              </w:rPr>
              <w:t>…</w:t>
            </w:r>
          </w:p>
        </w:tc>
        <w:tc>
          <w:tcPr>
            <w:tcW w:w="1081" w:type="dxa"/>
            <w:tcMar>
              <w:left w:w="28" w:type="dxa"/>
              <w:right w:w="28" w:type="dxa"/>
            </w:tcMar>
            <w:vAlign w:val="center"/>
          </w:tcPr>
          <w:p w14:paraId="3685EF67" w14:textId="77777777" w:rsidR="0069230D" w:rsidRPr="00FC7A0B" w:rsidRDefault="0069230D" w:rsidP="0069230D">
            <w:pPr>
              <w:jc w:val="center"/>
              <w:rPr>
                <w:rFonts w:ascii="Calibri" w:hAnsi="Calibri" w:cstheme="minorHAnsi"/>
                <w:color w:val="404040" w:themeColor="text1" w:themeTint="BF"/>
                <w:sz w:val="18"/>
                <w:szCs w:val="18"/>
              </w:rPr>
            </w:pPr>
            <w:r w:rsidRPr="004528C3">
              <w:rPr>
                <w:rFonts w:ascii="Calibri" w:hAnsi="Calibri" w:cstheme="minorHAnsi"/>
                <w:color w:val="000000" w:themeColor="text1"/>
                <w:sz w:val="18"/>
                <w:szCs w:val="18"/>
              </w:rPr>
              <w:t>…</w:t>
            </w:r>
          </w:p>
        </w:tc>
      </w:tr>
      <w:tr w:rsidR="0069230D" w:rsidRPr="004528C3" w14:paraId="091C885B" w14:textId="77777777" w:rsidTr="0069230D">
        <w:trPr>
          <w:jc w:val="center"/>
        </w:trPr>
        <w:tc>
          <w:tcPr>
            <w:tcW w:w="1695" w:type="dxa"/>
            <w:shd w:val="clear" w:color="auto" w:fill="D9D9D9" w:themeFill="background1" w:themeFillShade="D9"/>
          </w:tcPr>
          <w:p w14:paraId="29365CFF" w14:textId="77777777" w:rsidR="0069230D" w:rsidRPr="00FC7A0B" w:rsidRDefault="0069230D" w:rsidP="0069230D">
            <w:pPr>
              <w:rPr>
                <w:rFonts w:ascii="Calibri" w:hAnsi="Calibri" w:cstheme="minorHAnsi"/>
                <w:color w:val="404040" w:themeColor="text1" w:themeTint="BF"/>
                <w:sz w:val="18"/>
                <w:szCs w:val="18"/>
              </w:rPr>
            </w:pPr>
            <w:r w:rsidRPr="00FC7A0B">
              <w:rPr>
                <w:rFonts w:ascii="Calibri" w:hAnsi="Calibri" w:cstheme="minorHAnsi"/>
                <w:color w:val="404040" w:themeColor="text1" w:themeTint="BF"/>
                <w:sz w:val="18"/>
                <w:szCs w:val="18"/>
              </w:rPr>
              <w:t>Overall (across all levels of courts)</w:t>
            </w:r>
          </w:p>
        </w:tc>
        <w:tc>
          <w:tcPr>
            <w:tcW w:w="1135" w:type="dxa"/>
            <w:shd w:val="clear" w:color="auto" w:fill="D9D9D9" w:themeFill="background1" w:themeFillShade="D9"/>
            <w:tcMar>
              <w:left w:w="28" w:type="dxa"/>
              <w:right w:w="28" w:type="dxa"/>
            </w:tcMar>
          </w:tcPr>
          <w:p w14:paraId="259A5AC3" w14:textId="77777777" w:rsidR="0069230D" w:rsidRPr="00FC7A0B" w:rsidRDefault="0069230D" w:rsidP="0069230D">
            <w:pPr>
              <w:jc w:val="center"/>
              <w:rPr>
                <w:rFonts w:ascii="Calibri" w:hAnsi="Calibri" w:cstheme="minorHAnsi"/>
                <w:i/>
                <w:iCs/>
                <w:color w:val="404040" w:themeColor="text1" w:themeTint="BF"/>
                <w:sz w:val="18"/>
                <w:szCs w:val="18"/>
              </w:rPr>
            </w:pPr>
            <w:r w:rsidRPr="00FC7A0B">
              <w:rPr>
                <w:rFonts w:ascii="Calibri" w:hAnsi="Calibri" w:cstheme="minorHAnsi"/>
                <w:i/>
                <w:iCs/>
                <w:color w:val="404040" w:themeColor="text1" w:themeTint="BF"/>
                <w:sz w:val="18"/>
                <w:szCs w:val="18"/>
              </w:rPr>
              <w:t>Example calculation: Female judges</w:t>
            </w:r>
            <w:r w:rsidRPr="004528C3">
              <w:rPr>
                <w:rFonts w:ascii="Calibri" w:hAnsi="Calibri" w:cstheme="minorHAnsi"/>
                <w:i/>
                <w:iCs/>
                <w:color w:val="404040" w:themeColor="text1" w:themeTint="BF"/>
                <w:sz w:val="18"/>
                <w:szCs w:val="18"/>
              </w:rPr>
              <w:t xml:space="preserve"> at all levels </w:t>
            </w:r>
            <w:r w:rsidRPr="00FC7A0B">
              <w:rPr>
                <w:rFonts w:ascii="Calibri" w:hAnsi="Calibri" w:cstheme="minorHAnsi"/>
                <w:i/>
                <w:iCs/>
                <w:color w:val="404040" w:themeColor="text1" w:themeTint="BF"/>
                <w:sz w:val="18"/>
                <w:szCs w:val="18"/>
              </w:rPr>
              <w:t>/</w:t>
            </w:r>
          </w:p>
          <w:p w14:paraId="2D98A031" w14:textId="77777777" w:rsidR="0069230D" w:rsidRPr="00FC7A0B" w:rsidRDefault="0069230D" w:rsidP="0069230D">
            <w:pPr>
              <w:jc w:val="center"/>
              <w:rPr>
                <w:rFonts w:ascii="Calibri" w:hAnsi="Calibri" w:cstheme="minorHAnsi"/>
                <w:color w:val="404040" w:themeColor="text1" w:themeTint="BF"/>
                <w:sz w:val="18"/>
                <w:szCs w:val="18"/>
              </w:rPr>
            </w:pPr>
            <w:r w:rsidRPr="00FC7A0B">
              <w:rPr>
                <w:rFonts w:ascii="Calibri" w:hAnsi="Calibri" w:cstheme="minorHAnsi"/>
                <w:i/>
                <w:iCs/>
                <w:color w:val="404040" w:themeColor="text1" w:themeTint="BF"/>
                <w:sz w:val="18"/>
                <w:szCs w:val="18"/>
              </w:rPr>
              <w:t>All judges</w:t>
            </w:r>
            <w:r w:rsidRPr="004528C3">
              <w:rPr>
                <w:rFonts w:ascii="Calibri" w:hAnsi="Calibri" w:cstheme="minorHAnsi"/>
                <w:i/>
                <w:iCs/>
                <w:color w:val="404040" w:themeColor="text1" w:themeTint="BF"/>
                <w:sz w:val="18"/>
                <w:szCs w:val="18"/>
              </w:rPr>
              <w:t xml:space="preserve"> at all levels</w:t>
            </w:r>
          </w:p>
        </w:tc>
        <w:tc>
          <w:tcPr>
            <w:tcW w:w="1027" w:type="dxa"/>
            <w:shd w:val="clear" w:color="auto" w:fill="D9D9D9" w:themeFill="background1" w:themeFillShade="D9"/>
            <w:tcMar>
              <w:left w:w="28" w:type="dxa"/>
              <w:right w:w="28" w:type="dxa"/>
            </w:tcMar>
            <w:vAlign w:val="center"/>
          </w:tcPr>
          <w:p w14:paraId="534637DD" w14:textId="77777777" w:rsidR="0069230D" w:rsidRPr="00FC7A0B" w:rsidRDefault="0069230D" w:rsidP="0069230D">
            <w:pPr>
              <w:jc w:val="center"/>
              <w:rPr>
                <w:rFonts w:ascii="Calibri" w:hAnsi="Calibri" w:cstheme="minorHAnsi"/>
                <w:color w:val="404040" w:themeColor="text1" w:themeTint="BF"/>
                <w:sz w:val="18"/>
                <w:szCs w:val="18"/>
              </w:rPr>
            </w:pPr>
            <w:r w:rsidRPr="004528C3">
              <w:rPr>
                <w:rFonts w:ascii="Calibri" w:hAnsi="Calibri" w:cstheme="minorHAnsi"/>
                <w:color w:val="000000" w:themeColor="text1"/>
                <w:sz w:val="18"/>
                <w:szCs w:val="18"/>
              </w:rPr>
              <w:t>…</w:t>
            </w:r>
          </w:p>
        </w:tc>
        <w:tc>
          <w:tcPr>
            <w:tcW w:w="1081" w:type="dxa"/>
            <w:shd w:val="clear" w:color="auto" w:fill="D9D9D9" w:themeFill="background1" w:themeFillShade="D9"/>
            <w:tcMar>
              <w:left w:w="28" w:type="dxa"/>
              <w:right w:w="28" w:type="dxa"/>
            </w:tcMar>
            <w:vAlign w:val="center"/>
          </w:tcPr>
          <w:p w14:paraId="47D9FEBD" w14:textId="77777777" w:rsidR="0069230D" w:rsidRPr="00FC7A0B" w:rsidRDefault="0069230D" w:rsidP="0069230D">
            <w:pPr>
              <w:jc w:val="center"/>
              <w:rPr>
                <w:rFonts w:ascii="Calibri" w:hAnsi="Calibri" w:cstheme="minorHAnsi"/>
                <w:color w:val="404040" w:themeColor="text1" w:themeTint="BF"/>
                <w:sz w:val="18"/>
                <w:szCs w:val="18"/>
              </w:rPr>
            </w:pPr>
            <w:r w:rsidRPr="004528C3">
              <w:rPr>
                <w:rFonts w:ascii="Calibri" w:hAnsi="Calibri" w:cstheme="minorHAnsi"/>
                <w:color w:val="000000" w:themeColor="text1"/>
                <w:sz w:val="18"/>
                <w:szCs w:val="18"/>
              </w:rPr>
              <w:t>…</w:t>
            </w:r>
          </w:p>
        </w:tc>
        <w:tc>
          <w:tcPr>
            <w:tcW w:w="1081" w:type="dxa"/>
            <w:shd w:val="clear" w:color="auto" w:fill="D9D9D9" w:themeFill="background1" w:themeFillShade="D9"/>
            <w:tcMar>
              <w:left w:w="28" w:type="dxa"/>
              <w:right w:w="28" w:type="dxa"/>
            </w:tcMar>
            <w:vAlign w:val="center"/>
          </w:tcPr>
          <w:p w14:paraId="110E7041" w14:textId="77777777" w:rsidR="0069230D" w:rsidRPr="00FC7A0B" w:rsidRDefault="0069230D" w:rsidP="0069230D">
            <w:pPr>
              <w:jc w:val="center"/>
              <w:rPr>
                <w:rFonts w:ascii="Calibri" w:hAnsi="Calibri" w:cstheme="minorHAnsi"/>
                <w:color w:val="404040" w:themeColor="text1" w:themeTint="BF"/>
                <w:sz w:val="18"/>
                <w:szCs w:val="18"/>
              </w:rPr>
            </w:pPr>
            <w:r w:rsidRPr="004528C3">
              <w:rPr>
                <w:rFonts w:ascii="Calibri" w:hAnsi="Calibri" w:cstheme="minorHAnsi"/>
                <w:color w:val="000000" w:themeColor="text1"/>
                <w:sz w:val="18"/>
                <w:szCs w:val="18"/>
              </w:rPr>
              <w:t>…</w:t>
            </w:r>
          </w:p>
        </w:tc>
        <w:tc>
          <w:tcPr>
            <w:tcW w:w="1081" w:type="dxa"/>
            <w:shd w:val="clear" w:color="auto" w:fill="D9D9D9" w:themeFill="background1" w:themeFillShade="D9"/>
            <w:tcMar>
              <w:left w:w="28" w:type="dxa"/>
              <w:right w:w="28" w:type="dxa"/>
            </w:tcMar>
            <w:vAlign w:val="center"/>
          </w:tcPr>
          <w:p w14:paraId="71F52E0D" w14:textId="77777777" w:rsidR="0069230D" w:rsidRPr="00FC7A0B" w:rsidRDefault="0069230D" w:rsidP="0069230D">
            <w:pPr>
              <w:jc w:val="center"/>
              <w:rPr>
                <w:rFonts w:ascii="Calibri" w:hAnsi="Calibri" w:cstheme="minorHAnsi"/>
                <w:color w:val="404040" w:themeColor="text1" w:themeTint="BF"/>
                <w:sz w:val="18"/>
                <w:szCs w:val="18"/>
              </w:rPr>
            </w:pPr>
            <w:r w:rsidRPr="004528C3">
              <w:rPr>
                <w:rFonts w:ascii="Calibri" w:hAnsi="Calibri" w:cstheme="minorHAnsi"/>
                <w:color w:val="000000" w:themeColor="text1"/>
                <w:sz w:val="18"/>
                <w:szCs w:val="18"/>
              </w:rPr>
              <w:t>…</w:t>
            </w:r>
          </w:p>
        </w:tc>
        <w:tc>
          <w:tcPr>
            <w:tcW w:w="1081" w:type="dxa"/>
            <w:shd w:val="clear" w:color="auto" w:fill="D9D9D9" w:themeFill="background1" w:themeFillShade="D9"/>
            <w:tcMar>
              <w:left w:w="28" w:type="dxa"/>
              <w:right w:w="28" w:type="dxa"/>
            </w:tcMar>
            <w:vAlign w:val="center"/>
          </w:tcPr>
          <w:p w14:paraId="65F48AA7" w14:textId="77777777" w:rsidR="0069230D" w:rsidRPr="00FC7A0B" w:rsidRDefault="0069230D" w:rsidP="0069230D">
            <w:pPr>
              <w:jc w:val="center"/>
              <w:rPr>
                <w:rFonts w:ascii="Calibri" w:hAnsi="Calibri" w:cstheme="minorHAnsi"/>
                <w:color w:val="404040" w:themeColor="text1" w:themeTint="BF"/>
                <w:sz w:val="18"/>
                <w:szCs w:val="18"/>
              </w:rPr>
            </w:pPr>
            <w:r w:rsidRPr="004528C3">
              <w:rPr>
                <w:rFonts w:ascii="Calibri" w:hAnsi="Calibri" w:cstheme="minorHAnsi"/>
                <w:color w:val="000000" w:themeColor="text1"/>
                <w:sz w:val="18"/>
                <w:szCs w:val="18"/>
              </w:rPr>
              <w:t>…</w:t>
            </w:r>
          </w:p>
        </w:tc>
        <w:tc>
          <w:tcPr>
            <w:tcW w:w="1081" w:type="dxa"/>
            <w:shd w:val="clear" w:color="auto" w:fill="D9D9D9" w:themeFill="background1" w:themeFillShade="D9"/>
            <w:tcMar>
              <w:left w:w="28" w:type="dxa"/>
              <w:right w:w="28" w:type="dxa"/>
            </w:tcMar>
            <w:vAlign w:val="center"/>
          </w:tcPr>
          <w:p w14:paraId="71781217" w14:textId="77777777" w:rsidR="0069230D" w:rsidRPr="00FC7A0B" w:rsidRDefault="0069230D" w:rsidP="0069230D">
            <w:pPr>
              <w:jc w:val="center"/>
              <w:rPr>
                <w:rFonts w:ascii="Calibri" w:hAnsi="Calibri" w:cstheme="minorHAnsi"/>
                <w:color w:val="404040" w:themeColor="text1" w:themeTint="BF"/>
                <w:sz w:val="18"/>
                <w:szCs w:val="18"/>
              </w:rPr>
            </w:pPr>
            <w:r w:rsidRPr="004528C3">
              <w:rPr>
                <w:rFonts w:ascii="Calibri" w:hAnsi="Calibri" w:cstheme="minorHAnsi"/>
                <w:color w:val="000000" w:themeColor="text1"/>
                <w:sz w:val="18"/>
                <w:szCs w:val="18"/>
              </w:rPr>
              <w:t>…</w:t>
            </w:r>
          </w:p>
        </w:tc>
        <w:tc>
          <w:tcPr>
            <w:tcW w:w="1081" w:type="dxa"/>
            <w:shd w:val="clear" w:color="auto" w:fill="D9D9D9" w:themeFill="background1" w:themeFillShade="D9"/>
            <w:tcMar>
              <w:left w:w="28" w:type="dxa"/>
              <w:right w:w="28" w:type="dxa"/>
            </w:tcMar>
            <w:vAlign w:val="center"/>
          </w:tcPr>
          <w:p w14:paraId="265AEC00" w14:textId="77777777" w:rsidR="0069230D" w:rsidRPr="00FC7A0B" w:rsidRDefault="0069230D" w:rsidP="0069230D">
            <w:pPr>
              <w:jc w:val="center"/>
              <w:rPr>
                <w:rFonts w:ascii="Calibri" w:hAnsi="Calibri" w:cstheme="minorHAnsi"/>
                <w:color w:val="404040" w:themeColor="text1" w:themeTint="BF"/>
                <w:sz w:val="18"/>
                <w:szCs w:val="18"/>
              </w:rPr>
            </w:pPr>
            <w:r w:rsidRPr="004528C3">
              <w:rPr>
                <w:rFonts w:ascii="Calibri" w:hAnsi="Calibri" w:cstheme="minorHAnsi"/>
                <w:color w:val="000000" w:themeColor="text1"/>
                <w:sz w:val="18"/>
                <w:szCs w:val="18"/>
              </w:rPr>
              <w:t>…</w:t>
            </w:r>
          </w:p>
        </w:tc>
      </w:tr>
    </w:tbl>
    <w:p w14:paraId="26A7C20F" w14:textId="77777777" w:rsidR="0069230D" w:rsidRDefault="0069230D" w:rsidP="0069230D">
      <w:pPr>
        <w:shd w:val="clear" w:color="auto" w:fill="FFFFFF"/>
        <w:spacing w:after="0"/>
        <w:rPr>
          <w:rFonts w:eastAsia="Times New Roman" w:cstheme="minorHAnsi"/>
          <w:bCs/>
          <w:color w:val="404040" w:themeColor="text1" w:themeTint="BF"/>
          <w:sz w:val="21"/>
          <w:szCs w:val="21"/>
          <w:lang w:eastAsia="en-GB"/>
        </w:rPr>
      </w:pPr>
    </w:p>
    <w:p w14:paraId="0CCC795E" w14:textId="77777777" w:rsidR="0069230D" w:rsidRPr="00FC7A0B" w:rsidRDefault="0069230D" w:rsidP="0069230D">
      <w:pPr>
        <w:shd w:val="clear" w:color="auto" w:fill="FFFFFF"/>
        <w:spacing w:after="0"/>
        <w:jc w:val="both"/>
        <w:rPr>
          <w:rFonts w:eastAsia="Times New Roman" w:cstheme="minorHAnsi"/>
          <w:bCs/>
          <w:color w:val="404040" w:themeColor="text1" w:themeTint="BF"/>
          <w:sz w:val="21"/>
          <w:szCs w:val="21"/>
          <w:lang w:eastAsia="en-GB"/>
        </w:rPr>
      </w:pPr>
      <w:r w:rsidRPr="00FC7A0B">
        <w:rPr>
          <w:rFonts w:eastAsia="Times New Roman" w:cstheme="minorHAnsi"/>
          <w:b/>
          <w:color w:val="404040" w:themeColor="text1" w:themeTint="BF"/>
          <w:sz w:val="21"/>
          <w:szCs w:val="21"/>
          <w:lang w:eastAsia="en-GB"/>
        </w:rPr>
        <w:lastRenderedPageBreak/>
        <w:t xml:space="preserve">Step 3 </w:t>
      </w:r>
      <w:r w:rsidRPr="00FC7A0B">
        <w:rPr>
          <w:rFonts w:eastAsia="Times New Roman" w:cstheme="minorHAnsi"/>
          <w:bCs/>
          <w:color w:val="404040" w:themeColor="text1" w:themeTint="BF"/>
          <w:sz w:val="21"/>
          <w:szCs w:val="21"/>
          <w:lang w:eastAsia="en-GB"/>
        </w:rPr>
        <w:t xml:space="preserve">then requires generating ratios comparing the proportion of women, ‘youth’, persons with a disability, and specific population groups in the </w:t>
      </w:r>
      <w:r>
        <w:rPr>
          <w:rFonts w:eastAsia="Times New Roman" w:cstheme="minorHAnsi"/>
          <w:bCs/>
          <w:color w:val="404040" w:themeColor="text1" w:themeTint="BF"/>
          <w:sz w:val="21"/>
          <w:szCs w:val="21"/>
          <w:lang w:eastAsia="en-GB"/>
        </w:rPr>
        <w:t xml:space="preserve">judiciary </w:t>
      </w:r>
      <w:r w:rsidRPr="00FC7A0B">
        <w:rPr>
          <w:rFonts w:eastAsia="Times New Roman" w:cstheme="minorHAnsi"/>
          <w:bCs/>
          <w:color w:val="404040" w:themeColor="text1" w:themeTint="BF"/>
          <w:sz w:val="21"/>
          <w:szCs w:val="21"/>
          <w:lang w:eastAsia="en-GB"/>
        </w:rPr>
        <w:t>relative to the proportion of the same groups in the national population</w:t>
      </w:r>
      <w:r>
        <w:rPr>
          <w:rFonts w:eastAsia="Times New Roman" w:cstheme="minorHAnsi"/>
          <w:bCs/>
          <w:color w:val="404040" w:themeColor="text1" w:themeTint="BF"/>
          <w:sz w:val="21"/>
          <w:szCs w:val="21"/>
          <w:lang w:eastAsia="en-GB"/>
        </w:rPr>
        <w:t xml:space="preserve"> of working age</w:t>
      </w:r>
      <w:r w:rsidRPr="00FC7A0B">
        <w:rPr>
          <w:rFonts w:eastAsia="Times New Roman" w:cstheme="minorHAnsi"/>
          <w:bCs/>
          <w:color w:val="404040" w:themeColor="text1" w:themeTint="BF"/>
          <w:sz w:val="21"/>
          <w:szCs w:val="21"/>
          <w:lang w:eastAsia="en-GB"/>
        </w:rPr>
        <w:t>, a</w:t>
      </w:r>
      <w:r w:rsidRPr="00C76720">
        <w:rPr>
          <w:rFonts w:eastAsia="Times New Roman" w:cstheme="minorHAnsi"/>
          <w:bCs/>
          <w:color w:val="404040" w:themeColor="text1" w:themeTint="BF"/>
          <w:sz w:val="21"/>
          <w:szCs w:val="21"/>
          <w:lang w:eastAsia="en-GB"/>
        </w:rPr>
        <w:t xml:space="preserve"> </w:t>
      </w:r>
      <w:r w:rsidRPr="00957738">
        <w:rPr>
          <w:rFonts w:eastAsia="Times New Roman" w:cstheme="minorHAnsi"/>
          <w:bCs/>
          <w:color w:val="404040" w:themeColor="text1" w:themeTint="BF"/>
          <w:sz w:val="21"/>
          <w:szCs w:val="21"/>
          <w:lang w:eastAsia="en-GB"/>
        </w:rPr>
        <w:t>across the two position types and at each level of court</w:t>
      </w:r>
      <w:r>
        <w:rPr>
          <w:rFonts w:eastAsia="Times New Roman" w:cstheme="minorHAnsi"/>
          <w:bCs/>
          <w:color w:val="404040" w:themeColor="text1" w:themeTint="BF"/>
          <w:sz w:val="21"/>
          <w:szCs w:val="21"/>
          <w:lang w:eastAsia="en-GB"/>
        </w:rPr>
        <w:t>.</w:t>
      </w:r>
    </w:p>
    <w:p w14:paraId="1B58BC4E" w14:textId="77777777" w:rsidR="0069230D" w:rsidRPr="00FC7A0B" w:rsidRDefault="0069230D" w:rsidP="0069230D">
      <w:pPr>
        <w:shd w:val="clear" w:color="auto" w:fill="FFFFFF"/>
        <w:spacing w:after="0"/>
        <w:jc w:val="both"/>
        <w:rPr>
          <w:rFonts w:eastAsia="Times New Roman" w:cstheme="minorHAnsi"/>
          <w:bCs/>
          <w:color w:val="404040" w:themeColor="text1" w:themeTint="BF"/>
          <w:sz w:val="21"/>
          <w:szCs w:val="21"/>
          <w:lang w:eastAsia="en-GB"/>
        </w:rPr>
      </w:pPr>
    </w:p>
    <w:p w14:paraId="363CB5CF" w14:textId="77777777" w:rsidR="0069230D" w:rsidRPr="000B666B" w:rsidRDefault="0069230D" w:rsidP="0069230D">
      <w:pPr>
        <w:shd w:val="clear" w:color="auto" w:fill="FFFFFF"/>
        <w:spacing w:after="0"/>
        <w:jc w:val="both"/>
        <w:rPr>
          <w:rFonts w:ascii="Calibri" w:hAnsi="Calibri" w:cs="Calibri"/>
          <w:bCs/>
          <w:iCs/>
          <w:color w:val="404040" w:themeColor="text1" w:themeTint="BF"/>
          <w:sz w:val="21"/>
          <w:szCs w:val="21"/>
          <w:lang w:eastAsia="en-GB"/>
        </w:rPr>
      </w:pPr>
      <w:r w:rsidRPr="000B666B">
        <w:rPr>
          <w:rFonts w:ascii="Calibri" w:hAnsi="Calibri" w:cs="Calibri"/>
          <w:bCs/>
          <w:iCs/>
          <w:color w:val="404040" w:themeColor="text1" w:themeTint="BF"/>
          <w:sz w:val="21"/>
          <w:szCs w:val="21"/>
          <w:lang w:eastAsia="en-GB"/>
        </w:rPr>
        <w:t>The World Population Prospects database, published by the United Nations Population Division, provides official statistics collected from over 230 national statistical offices on national population sizes disaggregated by age (groups) and sex. These statistics are required to calculate the denominators of the sex and age related ratios.</w:t>
      </w:r>
    </w:p>
    <w:p w14:paraId="521785E3" w14:textId="77777777" w:rsidR="0069230D" w:rsidRPr="00FC7A0B" w:rsidRDefault="0069230D" w:rsidP="0069230D">
      <w:pPr>
        <w:shd w:val="clear" w:color="auto" w:fill="FFFFFF"/>
        <w:spacing w:after="0"/>
        <w:jc w:val="both"/>
        <w:rPr>
          <w:rFonts w:eastAsia="Times New Roman" w:cstheme="minorHAnsi"/>
          <w:bCs/>
          <w:color w:val="404040" w:themeColor="text1" w:themeTint="BF"/>
          <w:sz w:val="21"/>
          <w:szCs w:val="21"/>
          <w:lang w:eastAsia="en-GB"/>
        </w:rPr>
      </w:pPr>
    </w:p>
    <w:p w14:paraId="6B783E70" w14:textId="77777777" w:rsidR="0069230D" w:rsidRDefault="0069230D" w:rsidP="0069230D">
      <w:pPr>
        <w:shd w:val="clear" w:color="auto" w:fill="FFFFFF"/>
        <w:spacing w:after="0"/>
        <w:jc w:val="both"/>
        <w:rPr>
          <w:rFonts w:eastAsia="Times New Roman" w:cstheme="minorHAnsi"/>
          <w:bCs/>
          <w:color w:val="404040" w:themeColor="text1" w:themeTint="BF"/>
          <w:sz w:val="21"/>
          <w:szCs w:val="21"/>
          <w:lang w:eastAsia="en-GB"/>
        </w:rPr>
      </w:pPr>
      <w:r w:rsidRPr="00FC7A0B">
        <w:rPr>
          <w:rFonts w:eastAsia="Times New Roman" w:cstheme="minorHAnsi"/>
          <w:bCs/>
          <w:color w:val="404040" w:themeColor="text1" w:themeTint="BF"/>
          <w:sz w:val="21"/>
          <w:szCs w:val="21"/>
          <w:lang w:eastAsia="en-GB"/>
        </w:rPr>
        <w:t xml:space="preserve">It should be noted that when comparing ratios of certain groups in the </w:t>
      </w:r>
      <w:r>
        <w:rPr>
          <w:rFonts w:eastAsia="Times New Roman" w:cstheme="minorHAnsi"/>
          <w:bCs/>
          <w:color w:val="404040" w:themeColor="text1" w:themeTint="BF"/>
          <w:sz w:val="21"/>
          <w:szCs w:val="21"/>
          <w:lang w:eastAsia="en-GB"/>
        </w:rPr>
        <w:t>judiciary</w:t>
      </w:r>
      <w:r w:rsidRPr="00FC7A0B">
        <w:rPr>
          <w:rFonts w:eastAsia="Times New Roman" w:cstheme="minorHAnsi"/>
          <w:bCs/>
          <w:color w:val="404040" w:themeColor="text1" w:themeTint="BF"/>
          <w:sz w:val="21"/>
          <w:szCs w:val="21"/>
          <w:lang w:eastAsia="en-GB"/>
        </w:rPr>
        <w:t xml:space="preserve"> with corresponding shares of the same groups in the national population, it is important to use the working-age population of that group in the national population as a comparator i.e.</w:t>
      </w:r>
      <w:r>
        <w:rPr>
          <w:rFonts w:eastAsia="Times New Roman" w:cstheme="minorHAnsi"/>
          <w:bCs/>
          <w:color w:val="404040" w:themeColor="text1" w:themeTint="BF"/>
          <w:sz w:val="21"/>
          <w:szCs w:val="21"/>
          <w:lang w:eastAsia="en-GB"/>
        </w:rPr>
        <w:t xml:space="preserve"> </w:t>
      </w:r>
      <w:r w:rsidRPr="00730A7E">
        <w:rPr>
          <w:rFonts w:eastAsia="Times New Roman" w:cstheme="minorHAnsi"/>
          <w:bCs/>
          <w:color w:val="404040" w:themeColor="text1" w:themeTint="BF"/>
          <w:sz w:val="21"/>
          <w:szCs w:val="21"/>
          <w:lang w:eastAsia="en-GB"/>
        </w:rPr>
        <w:t>the age range above the age of eligibility for that position and below the mandatory age of retirement for that position.</w:t>
      </w:r>
      <w:r w:rsidRPr="00FC7A0B">
        <w:rPr>
          <w:rFonts w:eastAsia="Times New Roman" w:cstheme="minorHAnsi"/>
          <w:bCs/>
          <w:color w:val="404040" w:themeColor="text1" w:themeTint="BF"/>
          <w:sz w:val="21"/>
          <w:szCs w:val="21"/>
          <w:lang w:eastAsia="en-GB"/>
        </w:rPr>
        <w:t xml:space="preserve"> These lower and upper age boundaries will vary depending on the country, and need to be defined by each country in the below formula. </w:t>
      </w:r>
    </w:p>
    <w:p w14:paraId="7F003AE1" w14:textId="77777777" w:rsidR="0069230D" w:rsidRPr="00FC7A0B" w:rsidRDefault="0069230D" w:rsidP="0069230D">
      <w:pPr>
        <w:shd w:val="clear" w:color="auto" w:fill="FFFFFF"/>
        <w:spacing w:after="0"/>
        <w:jc w:val="both"/>
        <w:rPr>
          <w:rFonts w:eastAsia="Times New Roman" w:cstheme="minorHAnsi"/>
          <w:bCs/>
          <w:color w:val="404040" w:themeColor="text1" w:themeTint="BF"/>
          <w:sz w:val="21"/>
          <w:szCs w:val="21"/>
          <w:lang w:eastAsia="en-GB"/>
        </w:rPr>
      </w:pPr>
    </w:p>
    <w:p w14:paraId="46DFD508" w14:textId="77777777" w:rsidR="0069230D" w:rsidRPr="00FC7A0B" w:rsidRDefault="0069230D" w:rsidP="0069230D">
      <w:pPr>
        <w:shd w:val="clear" w:color="auto" w:fill="FFFFFF"/>
        <w:rPr>
          <w:rFonts w:ascii="Calibri" w:hAnsi="Calibri" w:cs="Calibri"/>
          <w:color w:val="404040" w:themeColor="text1" w:themeTint="BF"/>
          <w:sz w:val="21"/>
          <w:szCs w:val="21"/>
          <w:lang w:eastAsia="en-GB"/>
        </w:rPr>
      </w:pPr>
      <w:r w:rsidRPr="00FC7A0B">
        <w:rPr>
          <w:rFonts w:ascii="Calibri" w:hAnsi="Calibri" w:cs="Calibri"/>
          <w:color w:val="404040" w:themeColor="text1" w:themeTint="BF"/>
          <w:sz w:val="21"/>
          <w:szCs w:val="21"/>
          <w:lang w:eastAsia="en-GB"/>
        </w:rPr>
        <w:t>The resulting ratios can be interpreted as follows:</w:t>
      </w:r>
    </w:p>
    <w:p w14:paraId="13FC6129" w14:textId="77777777" w:rsidR="0069230D" w:rsidRPr="00FC7A0B" w:rsidRDefault="0069230D" w:rsidP="0069230D">
      <w:pPr>
        <w:pStyle w:val="ListParagraph"/>
        <w:numPr>
          <w:ilvl w:val="0"/>
          <w:numId w:val="9"/>
        </w:numPr>
        <w:shd w:val="clear" w:color="auto" w:fill="FFFFFF"/>
        <w:spacing w:after="0"/>
        <w:rPr>
          <w:rFonts w:ascii="Calibri" w:eastAsia="Times New Roman" w:hAnsi="Calibri" w:cs="Calibri"/>
          <w:color w:val="404040" w:themeColor="text1" w:themeTint="BF"/>
          <w:sz w:val="21"/>
          <w:szCs w:val="21"/>
          <w:lang w:val="en-US" w:eastAsia="en-GB"/>
        </w:rPr>
      </w:pPr>
      <w:r w:rsidRPr="00FC7A0B">
        <w:rPr>
          <w:rFonts w:ascii="Calibri" w:eastAsia="Times New Roman" w:hAnsi="Calibri" w:cs="Calibri"/>
          <w:color w:val="404040" w:themeColor="text1" w:themeTint="BF"/>
          <w:sz w:val="21"/>
          <w:szCs w:val="21"/>
          <w:lang w:val="en-US" w:eastAsia="en-GB"/>
        </w:rPr>
        <w:t xml:space="preserve">0, when there is no representation at all </w:t>
      </w:r>
      <w:r w:rsidRPr="00FC7A0B">
        <w:rPr>
          <w:rFonts w:ascii="Calibri" w:hAnsi="Calibri" w:cs="Calibri"/>
          <w:bCs/>
          <w:color w:val="404040" w:themeColor="text1" w:themeTint="BF"/>
          <w:sz w:val="21"/>
          <w:szCs w:val="21"/>
          <w:lang w:eastAsia="en-GB"/>
        </w:rPr>
        <w:t xml:space="preserve">in the respective sub-category of the </w:t>
      </w:r>
      <w:r>
        <w:rPr>
          <w:rFonts w:ascii="Calibri" w:hAnsi="Calibri" w:cs="Calibri"/>
          <w:bCs/>
          <w:color w:val="404040" w:themeColor="text1" w:themeTint="BF"/>
          <w:sz w:val="21"/>
          <w:szCs w:val="21"/>
          <w:lang w:eastAsia="en-GB"/>
        </w:rPr>
        <w:t>judiciary</w:t>
      </w:r>
    </w:p>
    <w:p w14:paraId="54281FC9" w14:textId="77777777" w:rsidR="0069230D" w:rsidRPr="006E7867" w:rsidRDefault="0069230D" w:rsidP="0069230D">
      <w:pPr>
        <w:pStyle w:val="ListParagraph"/>
        <w:numPr>
          <w:ilvl w:val="0"/>
          <w:numId w:val="9"/>
        </w:numPr>
        <w:shd w:val="clear" w:color="auto" w:fill="FFFFFF"/>
        <w:spacing w:after="0"/>
        <w:rPr>
          <w:rFonts w:ascii="Calibri" w:eastAsia="Times New Roman" w:hAnsi="Calibri" w:cs="Calibri"/>
          <w:color w:val="404040" w:themeColor="text1" w:themeTint="BF"/>
          <w:sz w:val="21"/>
          <w:szCs w:val="21"/>
          <w:lang w:val="en-US" w:eastAsia="en-GB"/>
        </w:rPr>
      </w:pPr>
      <w:r w:rsidRPr="00FC7A0B">
        <w:rPr>
          <w:rFonts w:ascii="Calibri" w:eastAsia="Times New Roman" w:hAnsi="Calibri" w:cs="Calibri"/>
          <w:color w:val="404040" w:themeColor="text1" w:themeTint="BF"/>
          <w:sz w:val="21"/>
          <w:szCs w:val="21"/>
          <w:lang w:val="en-US" w:eastAsia="en-GB"/>
        </w:rPr>
        <w:t xml:space="preserve">&lt;1, when the representation in the respective sub-category is lower in the </w:t>
      </w:r>
      <w:r>
        <w:rPr>
          <w:rFonts w:ascii="Calibri" w:hAnsi="Calibri" w:cs="Calibri"/>
          <w:bCs/>
          <w:color w:val="404040" w:themeColor="text1" w:themeTint="BF"/>
          <w:sz w:val="21"/>
          <w:szCs w:val="21"/>
          <w:lang w:eastAsia="en-GB"/>
        </w:rPr>
        <w:t>judiciary</w:t>
      </w:r>
      <w:r w:rsidRPr="004A57C7">
        <w:rPr>
          <w:rFonts w:ascii="Calibri" w:eastAsia="Times New Roman" w:hAnsi="Calibri" w:cs="Calibri"/>
          <w:color w:val="404040" w:themeColor="text1" w:themeTint="BF"/>
          <w:sz w:val="21"/>
          <w:szCs w:val="21"/>
          <w:lang w:val="en-US" w:eastAsia="en-GB"/>
        </w:rPr>
        <w:t xml:space="preserve"> </w:t>
      </w:r>
      <w:r w:rsidRPr="006E7867">
        <w:rPr>
          <w:rFonts w:ascii="Calibri" w:eastAsia="Times New Roman" w:hAnsi="Calibri" w:cs="Calibri"/>
          <w:color w:val="404040" w:themeColor="text1" w:themeTint="BF"/>
          <w:sz w:val="21"/>
          <w:szCs w:val="21"/>
          <w:lang w:val="en-US" w:eastAsia="en-GB"/>
        </w:rPr>
        <w:t xml:space="preserve">than in the working-age population </w:t>
      </w:r>
    </w:p>
    <w:p w14:paraId="22583D36" w14:textId="77777777" w:rsidR="0069230D" w:rsidRPr="006E7867" w:rsidRDefault="0069230D" w:rsidP="0069230D">
      <w:pPr>
        <w:pStyle w:val="ListParagraph"/>
        <w:numPr>
          <w:ilvl w:val="0"/>
          <w:numId w:val="9"/>
        </w:numPr>
        <w:shd w:val="clear" w:color="auto" w:fill="FFFFFF"/>
        <w:spacing w:after="0"/>
        <w:rPr>
          <w:rFonts w:ascii="Calibri" w:eastAsia="Times New Roman" w:hAnsi="Calibri" w:cs="Calibri"/>
          <w:color w:val="404040" w:themeColor="text1" w:themeTint="BF"/>
          <w:sz w:val="21"/>
          <w:szCs w:val="21"/>
          <w:lang w:val="en-US" w:eastAsia="en-GB"/>
        </w:rPr>
      </w:pPr>
      <w:r w:rsidRPr="006E7867">
        <w:rPr>
          <w:rFonts w:ascii="Calibri" w:eastAsia="Times New Roman" w:hAnsi="Calibri" w:cs="Calibri"/>
          <w:color w:val="404040" w:themeColor="text1" w:themeTint="BF"/>
          <w:sz w:val="21"/>
          <w:szCs w:val="21"/>
          <w:lang w:val="en-US" w:eastAsia="en-GB"/>
        </w:rPr>
        <w:t xml:space="preserve">=1, when the representation in the respective sub-category is equal across the </w:t>
      </w:r>
      <w:r>
        <w:rPr>
          <w:rFonts w:ascii="Calibri" w:hAnsi="Calibri" w:cs="Calibri"/>
          <w:bCs/>
          <w:color w:val="404040" w:themeColor="text1" w:themeTint="BF"/>
          <w:sz w:val="21"/>
          <w:szCs w:val="21"/>
          <w:lang w:eastAsia="en-GB"/>
        </w:rPr>
        <w:t>judiciary</w:t>
      </w:r>
      <w:r w:rsidRPr="004A57C7">
        <w:rPr>
          <w:rFonts w:ascii="Calibri" w:eastAsia="Times New Roman" w:hAnsi="Calibri" w:cs="Calibri"/>
          <w:color w:val="404040" w:themeColor="text1" w:themeTint="BF"/>
          <w:sz w:val="21"/>
          <w:szCs w:val="21"/>
          <w:lang w:val="en-US" w:eastAsia="en-GB"/>
        </w:rPr>
        <w:t xml:space="preserve"> </w:t>
      </w:r>
      <w:r w:rsidRPr="006E7867">
        <w:rPr>
          <w:rFonts w:ascii="Calibri" w:eastAsia="Times New Roman" w:hAnsi="Calibri" w:cs="Calibri"/>
          <w:color w:val="404040" w:themeColor="text1" w:themeTint="BF"/>
          <w:sz w:val="21"/>
          <w:szCs w:val="21"/>
          <w:lang w:val="en-US" w:eastAsia="en-GB"/>
        </w:rPr>
        <w:t xml:space="preserve">and the working-age population </w:t>
      </w:r>
    </w:p>
    <w:p w14:paraId="2E30F644" w14:textId="77777777" w:rsidR="0069230D" w:rsidRDefault="0069230D" w:rsidP="0069230D">
      <w:pPr>
        <w:pStyle w:val="ListParagraph"/>
        <w:numPr>
          <w:ilvl w:val="0"/>
          <w:numId w:val="9"/>
        </w:numPr>
        <w:shd w:val="clear" w:color="auto" w:fill="FFFFFF"/>
        <w:spacing w:after="0"/>
        <w:rPr>
          <w:rFonts w:ascii="Calibri" w:eastAsia="Times New Roman" w:hAnsi="Calibri" w:cs="Calibri"/>
          <w:color w:val="404040" w:themeColor="text1" w:themeTint="BF"/>
          <w:sz w:val="21"/>
          <w:szCs w:val="21"/>
          <w:lang w:val="en-US" w:eastAsia="en-GB"/>
        </w:rPr>
      </w:pPr>
      <w:r w:rsidRPr="006E7867">
        <w:rPr>
          <w:rFonts w:ascii="Calibri" w:eastAsia="Times New Roman" w:hAnsi="Calibri" w:cs="Calibri"/>
          <w:color w:val="404040" w:themeColor="text1" w:themeTint="BF"/>
          <w:sz w:val="21"/>
          <w:szCs w:val="21"/>
          <w:lang w:val="en-US" w:eastAsia="en-GB"/>
        </w:rPr>
        <w:t xml:space="preserve">&gt;1, when the representation in the respective sub-category is higher in </w:t>
      </w:r>
      <w:r w:rsidRPr="006E7867">
        <w:rPr>
          <w:rFonts w:ascii="Calibri" w:hAnsi="Calibri" w:cs="Calibri"/>
          <w:bCs/>
          <w:color w:val="404040" w:themeColor="text1" w:themeTint="BF"/>
          <w:sz w:val="21"/>
          <w:szCs w:val="21"/>
          <w:lang w:eastAsia="en-GB"/>
        </w:rPr>
        <w:t xml:space="preserve">the </w:t>
      </w:r>
      <w:r>
        <w:rPr>
          <w:rFonts w:ascii="Calibri" w:hAnsi="Calibri" w:cs="Calibri"/>
          <w:bCs/>
          <w:color w:val="404040" w:themeColor="text1" w:themeTint="BF"/>
          <w:sz w:val="21"/>
          <w:szCs w:val="21"/>
          <w:lang w:eastAsia="en-GB"/>
        </w:rPr>
        <w:t>judiciary</w:t>
      </w:r>
      <w:r w:rsidRPr="004A57C7">
        <w:rPr>
          <w:rFonts w:ascii="Calibri" w:eastAsia="Times New Roman" w:hAnsi="Calibri" w:cs="Calibri"/>
          <w:color w:val="404040" w:themeColor="text1" w:themeTint="BF"/>
          <w:sz w:val="21"/>
          <w:szCs w:val="21"/>
          <w:lang w:val="en-US" w:eastAsia="en-GB"/>
        </w:rPr>
        <w:t xml:space="preserve"> </w:t>
      </w:r>
      <w:r w:rsidRPr="006E7867">
        <w:rPr>
          <w:rFonts w:ascii="Calibri" w:eastAsia="Times New Roman" w:hAnsi="Calibri" w:cs="Calibri"/>
          <w:color w:val="404040" w:themeColor="text1" w:themeTint="BF"/>
          <w:sz w:val="21"/>
          <w:szCs w:val="21"/>
          <w:lang w:val="en-US" w:eastAsia="en-GB"/>
        </w:rPr>
        <w:t>than in the working-age population</w:t>
      </w:r>
    </w:p>
    <w:p w14:paraId="27646AA4" w14:textId="77777777" w:rsidR="0069230D" w:rsidRDefault="0069230D" w:rsidP="0069230D">
      <w:pPr>
        <w:shd w:val="clear" w:color="auto" w:fill="FFFFFF"/>
        <w:spacing w:after="0"/>
        <w:rPr>
          <w:rFonts w:ascii="Calibri" w:eastAsia="Times New Roman" w:hAnsi="Calibri" w:cs="Calibri"/>
          <w:color w:val="404040" w:themeColor="text1" w:themeTint="BF"/>
          <w:sz w:val="21"/>
          <w:szCs w:val="21"/>
          <w:lang w:val="en-US" w:eastAsia="en-GB"/>
        </w:rPr>
      </w:pPr>
    </w:p>
    <w:tbl>
      <w:tblPr>
        <w:tblStyle w:val="TableGrid"/>
        <w:tblW w:w="10202" w:type="dxa"/>
        <w:jc w:val="center"/>
        <w:tblLayout w:type="fixed"/>
        <w:tblLook w:val="04A0" w:firstRow="1" w:lastRow="0" w:firstColumn="1" w:lastColumn="0" w:noHBand="0" w:noVBand="1"/>
      </w:tblPr>
      <w:tblGrid>
        <w:gridCol w:w="1619"/>
        <w:gridCol w:w="784"/>
        <w:gridCol w:w="1039"/>
        <w:gridCol w:w="837"/>
        <w:gridCol w:w="1038"/>
        <w:gridCol w:w="15"/>
        <w:gridCol w:w="2034"/>
        <w:gridCol w:w="993"/>
        <w:gridCol w:w="735"/>
        <w:gridCol w:w="1108"/>
      </w:tblGrid>
      <w:tr w:rsidR="0069230D" w:rsidRPr="004528C3" w14:paraId="0D33D906" w14:textId="77777777" w:rsidTr="0069230D">
        <w:trPr>
          <w:jc w:val="center"/>
        </w:trPr>
        <w:tc>
          <w:tcPr>
            <w:tcW w:w="1619" w:type="dxa"/>
            <w:vMerge w:val="restart"/>
          </w:tcPr>
          <w:p w14:paraId="525BEA8C" w14:textId="77777777" w:rsidR="0069230D" w:rsidRPr="00FC7A0B" w:rsidRDefault="0069230D" w:rsidP="0069230D">
            <w:pPr>
              <w:jc w:val="center"/>
              <w:rPr>
                <w:rFonts w:ascii="Calibri" w:hAnsi="Calibri" w:cstheme="minorHAnsi"/>
                <w:b/>
                <w:color w:val="404040" w:themeColor="text1" w:themeTint="BF"/>
                <w:sz w:val="18"/>
                <w:szCs w:val="18"/>
              </w:rPr>
            </w:pPr>
          </w:p>
        </w:tc>
        <w:tc>
          <w:tcPr>
            <w:tcW w:w="1823" w:type="dxa"/>
            <w:gridSpan w:val="2"/>
          </w:tcPr>
          <w:p w14:paraId="2B41D5F3" w14:textId="77777777" w:rsidR="0069230D" w:rsidRPr="00FC7A0B" w:rsidRDefault="0069230D" w:rsidP="0069230D">
            <w:pPr>
              <w:jc w:val="center"/>
              <w:rPr>
                <w:rFonts w:ascii="Calibri" w:hAnsi="Calibri" w:cstheme="minorHAnsi"/>
                <w:b/>
                <w:color w:val="404040" w:themeColor="text1" w:themeTint="BF"/>
                <w:sz w:val="18"/>
                <w:szCs w:val="18"/>
              </w:rPr>
            </w:pPr>
            <w:r w:rsidRPr="00FC7A0B">
              <w:rPr>
                <w:rFonts w:ascii="Calibri" w:hAnsi="Calibri" w:cstheme="minorHAnsi"/>
                <w:b/>
                <w:color w:val="404040" w:themeColor="text1" w:themeTint="BF"/>
                <w:sz w:val="18"/>
                <w:szCs w:val="18"/>
              </w:rPr>
              <w:t xml:space="preserve">Female representation ratio: </w:t>
            </w:r>
          </w:p>
          <w:p w14:paraId="17B9A3FF" w14:textId="77777777" w:rsidR="0069230D" w:rsidRPr="00FC7A0B" w:rsidRDefault="0069230D" w:rsidP="0069230D">
            <w:pPr>
              <w:jc w:val="center"/>
              <w:rPr>
                <w:rFonts w:ascii="Calibri" w:hAnsi="Calibri" w:cstheme="minorHAnsi"/>
                <w:b/>
                <w:color w:val="404040" w:themeColor="text1" w:themeTint="BF"/>
                <w:sz w:val="18"/>
                <w:szCs w:val="18"/>
              </w:rPr>
            </w:pPr>
            <w:r w:rsidRPr="00FC7A0B">
              <w:rPr>
                <w:rFonts w:ascii="Calibri" w:hAnsi="Calibri" w:cstheme="minorHAnsi"/>
                <w:color w:val="404040" w:themeColor="text1" w:themeTint="BF"/>
                <w:sz w:val="18"/>
                <w:szCs w:val="18"/>
              </w:rPr>
              <w:t>Proportion of female personnel at respective level of courts / Proportion of women in the working-age population</w:t>
            </w:r>
          </w:p>
        </w:tc>
        <w:tc>
          <w:tcPr>
            <w:tcW w:w="1890" w:type="dxa"/>
            <w:gridSpan w:val="3"/>
          </w:tcPr>
          <w:p w14:paraId="47D52383" w14:textId="77777777" w:rsidR="0069230D" w:rsidRPr="00FC7A0B" w:rsidRDefault="0069230D" w:rsidP="0069230D">
            <w:pPr>
              <w:jc w:val="center"/>
              <w:rPr>
                <w:rFonts w:ascii="Calibri" w:hAnsi="Calibri" w:cstheme="minorHAnsi"/>
                <w:b/>
                <w:color w:val="404040" w:themeColor="text1" w:themeTint="BF"/>
                <w:sz w:val="18"/>
                <w:szCs w:val="18"/>
              </w:rPr>
            </w:pPr>
            <w:r w:rsidRPr="00FC7A0B">
              <w:rPr>
                <w:rFonts w:ascii="Calibri" w:hAnsi="Calibri" w:cstheme="minorHAnsi"/>
                <w:b/>
                <w:color w:val="404040" w:themeColor="text1" w:themeTint="BF"/>
                <w:sz w:val="18"/>
                <w:szCs w:val="18"/>
              </w:rPr>
              <w:t xml:space="preserve">‘Youth’ representation ratio: </w:t>
            </w:r>
          </w:p>
          <w:p w14:paraId="56C02311" w14:textId="77777777" w:rsidR="0069230D" w:rsidRPr="00FC7A0B" w:rsidRDefault="0069230D" w:rsidP="0069230D">
            <w:pPr>
              <w:jc w:val="center"/>
              <w:rPr>
                <w:rFonts w:ascii="Calibri" w:hAnsi="Calibri" w:cstheme="minorHAnsi"/>
                <w:color w:val="404040" w:themeColor="text1" w:themeTint="BF"/>
                <w:sz w:val="18"/>
                <w:szCs w:val="18"/>
              </w:rPr>
            </w:pPr>
            <w:r w:rsidRPr="00FC7A0B">
              <w:rPr>
                <w:rFonts w:ascii="Calibri" w:hAnsi="Calibri" w:cstheme="minorHAnsi"/>
                <w:color w:val="404040" w:themeColor="text1" w:themeTint="BF"/>
                <w:sz w:val="18"/>
                <w:szCs w:val="18"/>
              </w:rPr>
              <w:t xml:space="preserve">Proportion of ‘young’ </w:t>
            </w:r>
            <w:r w:rsidRPr="006E7867">
              <w:rPr>
                <w:rFonts w:ascii="Calibri" w:hAnsi="Calibri" w:cstheme="minorHAnsi"/>
                <w:color w:val="404040" w:themeColor="text1" w:themeTint="BF"/>
                <w:sz w:val="18"/>
                <w:szCs w:val="18"/>
              </w:rPr>
              <w:t>personnel</w:t>
            </w:r>
            <w:r w:rsidRPr="00FC7A0B">
              <w:rPr>
                <w:rFonts w:ascii="Calibri" w:hAnsi="Calibri" w:cstheme="minorHAnsi"/>
                <w:color w:val="404040" w:themeColor="text1" w:themeTint="BF"/>
                <w:sz w:val="18"/>
                <w:szCs w:val="18"/>
              </w:rPr>
              <w:t xml:space="preserve"> aged 44 and below at respective level of courts / Proportion of the </w:t>
            </w:r>
            <w:r>
              <w:rPr>
                <w:rFonts w:ascii="Calibri" w:hAnsi="Calibri" w:cstheme="minorHAnsi"/>
                <w:color w:val="404040" w:themeColor="text1" w:themeTint="BF"/>
                <w:sz w:val="18"/>
                <w:szCs w:val="18"/>
              </w:rPr>
              <w:t>working-age</w:t>
            </w:r>
            <w:r w:rsidRPr="00FC7A0B">
              <w:rPr>
                <w:rFonts w:ascii="Calibri" w:hAnsi="Calibri" w:cstheme="minorHAnsi"/>
                <w:color w:val="404040" w:themeColor="text1" w:themeTint="BF"/>
                <w:sz w:val="18"/>
                <w:szCs w:val="18"/>
              </w:rPr>
              <w:t xml:space="preserve"> population aged </w:t>
            </w:r>
            <w:r>
              <w:rPr>
                <w:rFonts w:ascii="Calibri" w:hAnsi="Calibri" w:cstheme="minorHAnsi"/>
                <w:color w:val="404040" w:themeColor="text1" w:themeTint="BF"/>
                <w:sz w:val="18"/>
                <w:szCs w:val="18"/>
              </w:rPr>
              <w:t xml:space="preserve">above the eligibility age and below </w:t>
            </w:r>
            <w:r w:rsidRPr="00FC7A0B">
              <w:rPr>
                <w:rFonts w:ascii="Calibri" w:hAnsi="Calibri" w:cstheme="minorHAnsi"/>
                <w:color w:val="404040" w:themeColor="text1" w:themeTint="BF"/>
                <w:sz w:val="18"/>
                <w:szCs w:val="18"/>
              </w:rPr>
              <w:t>4</w:t>
            </w:r>
            <w:r>
              <w:rPr>
                <w:rFonts w:ascii="Calibri" w:hAnsi="Calibri" w:cstheme="minorHAnsi"/>
                <w:color w:val="404040" w:themeColor="text1" w:themeTint="BF"/>
                <w:sz w:val="18"/>
                <w:szCs w:val="18"/>
              </w:rPr>
              <w:t>5</w:t>
            </w:r>
          </w:p>
        </w:tc>
        <w:tc>
          <w:tcPr>
            <w:tcW w:w="3027" w:type="dxa"/>
            <w:gridSpan w:val="2"/>
          </w:tcPr>
          <w:p w14:paraId="240E3226" w14:textId="77777777" w:rsidR="0069230D" w:rsidRPr="00FC7A0B" w:rsidRDefault="0069230D" w:rsidP="0069230D">
            <w:pPr>
              <w:jc w:val="center"/>
              <w:rPr>
                <w:rFonts w:ascii="Calibri" w:hAnsi="Calibri" w:cstheme="minorHAnsi"/>
                <w:b/>
                <w:color w:val="404040" w:themeColor="text1" w:themeTint="BF"/>
                <w:sz w:val="18"/>
                <w:szCs w:val="18"/>
              </w:rPr>
            </w:pPr>
            <w:r w:rsidRPr="00FC7A0B">
              <w:rPr>
                <w:rFonts w:ascii="Calibri" w:hAnsi="Calibri" w:cstheme="minorHAnsi"/>
                <w:b/>
                <w:color w:val="404040" w:themeColor="text1" w:themeTint="BF"/>
                <w:sz w:val="18"/>
                <w:szCs w:val="18"/>
              </w:rPr>
              <w:t xml:space="preserve">Disability representation ratio: </w:t>
            </w:r>
          </w:p>
          <w:p w14:paraId="4FA68FA8" w14:textId="77777777" w:rsidR="0069230D" w:rsidRPr="006E7867" w:rsidRDefault="0069230D" w:rsidP="0069230D">
            <w:pPr>
              <w:jc w:val="center"/>
              <w:rPr>
                <w:rFonts w:ascii="Calibri" w:hAnsi="Calibri" w:cstheme="minorHAnsi"/>
                <w:b/>
                <w:color w:val="404040" w:themeColor="text1" w:themeTint="BF"/>
                <w:sz w:val="18"/>
                <w:szCs w:val="18"/>
              </w:rPr>
            </w:pPr>
            <w:r w:rsidRPr="00FC7A0B">
              <w:rPr>
                <w:rFonts w:ascii="Calibri" w:hAnsi="Calibri" w:cstheme="minorHAnsi"/>
                <w:color w:val="404040" w:themeColor="text1" w:themeTint="BF"/>
                <w:sz w:val="18"/>
                <w:szCs w:val="18"/>
              </w:rPr>
              <w:t xml:space="preserve">Proportion of </w:t>
            </w:r>
            <w:r w:rsidRPr="006E7867">
              <w:rPr>
                <w:rFonts w:ascii="Calibri" w:hAnsi="Calibri" w:cstheme="minorHAnsi"/>
                <w:color w:val="404040" w:themeColor="text1" w:themeTint="BF"/>
                <w:sz w:val="18"/>
                <w:szCs w:val="18"/>
              </w:rPr>
              <w:t>personnel</w:t>
            </w:r>
            <w:r w:rsidRPr="00FC7A0B">
              <w:rPr>
                <w:rFonts w:ascii="Calibri" w:hAnsi="Calibri" w:cstheme="minorHAnsi"/>
                <w:color w:val="404040" w:themeColor="text1" w:themeTint="BF"/>
                <w:sz w:val="18"/>
                <w:szCs w:val="18"/>
              </w:rPr>
              <w:t xml:space="preserve"> with a disability at respective level of courts</w:t>
            </w:r>
            <w:r w:rsidRPr="00FC7A0B" w:rsidDel="00E41067">
              <w:rPr>
                <w:rFonts w:ascii="Calibri" w:hAnsi="Calibri" w:cstheme="minorHAnsi"/>
                <w:color w:val="404040" w:themeColor="text1" w:themeTint="BF"/>
                <w:sz w:val="18"/>
                <w:szCs w:val="18"/>
              </w:rPr>
              <w:t xml:space="preserve"> </w:t>
            </w:r>
            <w:r w:rsidRPr="006E7867">
              <w:rPr>
                <w:rFonts w:ascii="Calibri" w:hAnsi="Calibri" w:cstheme="minorHAnsi"/>
                <w:color w:val="404040" w:themeColor="text1" w:themeTint="BF"/>
                <w:sz w:val="18"/>
                <w:szCs w:val="18"/>
              </w:rPr>
              <w:t>/ Proportion of persons with a disability in the working-age population</w:t>
            </w:r>
          </w:p>
        </w:tc>
        <w:tc>
          <w:tcPr>
            <w:tcW w:w="1843" w:type="dxa"/>
            <w:gridSpan w:val="2"/>
          </w:tcPr>
          <w:p w14:paraId="43E1EE2E" w14:textId="77777777" w:rsidR="0069230D" w:rsidRPr="006E7867" w:rsidRDefault="0069230D" w:rsidP="0069230D">
            <w:pPr>
              <w:jc w:val="center"/>
              <w:rPr>
                <w:rFonts w:ascii="Calibri" w:hAnsi="Calibri" w:cstheme="minorHAnsi"/>
                <w:b/>
                <w:color w:val="404040" w:themeColor="text1" w:themeTint="BF"/>
                <w:sz w:val="18"/>
                <w:szCs w:val="18"/>
              </w:rPr>
            </w:pPr>
            <w:r w:rsidRPr="006E7867">
              <w:rPr>
                <w:rFonts w:ascii="Calibri" w:hAnsi="Calibri" w:cstheme="minorHAnsi"/>
                <w:b/>
                <w:color w:val="404040" w:themeColor="text1" w:themeTint="BF"/>
                <w:sz w:val="18"/>
                <w:szCs w:val="18"/>
              </w:rPr>
              <w:t xml:space="preserve">Population group(s) representation ratio: </w:t>
            </w:r>
          </w:p>
          <w:p w14:paraId="4D7B45DC" w14:textId="77777777" w:rsidR="0069230D" w:rsidRPr="00FC7A0B" w:rsidRDefault="0069230D" w:rsidP="0069230D">
            <w:pPr>
              <w:jc w:val="center"/>
              <w:rPr>
                <w:rFonts w:ascii="Calibri" w:hAnsi="Calibri" w:cstheme="minorHAnsi"/>
                <w:b/>
                <w:color w:val="404040" w:themeColor="text1" w:themeTint="BF"/>
                <w:sz w:val="18"/>
                <w:szCs w:val="18"/>
              </w:rPr>
            </w:pPr>
            <w:r w:rsidRPr="006E7867">
              <w:rPr>
                <w:rFonts w:ascii="Calibri" w:hAnsi="Calibri" w:cstheme="minorHAnsi"/>
                <w:color w:val="404040" w:themeColor="text1" w:themeTint="BF"/>
                <w:sz w:val="18"/>
                <w:szCs w:val="18"/>
              </w:rPr>
              <w:t xml:space="preserve">Proportion of </w:t>
            </w:r>
            <w:r w:rsidRPr="00FC7A0B">
              <w:rPr>
                <w:rFonts w:ascii="Calibri" w:hAnsi="Calibri" w:cstheme="minorHAnsi"/>
                <w:color w:val="404040" w:themeColor="text1" w:themeTint="BF"/>
                <w:sz w:val="18"/>
                <w:szCs w:val="18"/>
              </w:rPr>
              <w:t>personnel in population group(s) at respective level of courts</w:t>
            </w:r>
            <w:r w:rsidRPr="00FC7A0B" w:rsidDel="00E41067">
              <w:rPr>
                <w:rFonts w:ascii="Calibri" w:hAnsi="Calibri" w:cstheme="minorHAnsi"/>
                <w:color w:val="404040" w:themeColor="text1" w:themeTint="BF"/>
                <w:sz w:val="18"/>
                <w:szCs w:val="18"/>
              </w:rPr>
              <w:t xml:space="preserve"> </w:t>
            </w:r>
            <w:r w:rsidRPr="00FC7A0B">
              <w:rPr>
                <w:rFonts w:ascii="Calibri" w:hAnsi="Calibri" w:cstheme="minorHAnsi"/>
                <w:color w:val="404040" w:themeColor="text1" w:themeTint="BF"/>
                <w:sz w:val="18"/>
                <w:szCs w:val="18"/>
              </w:rPr>
              <w:t>/ Proportion of persons in given population group in the working-age population</w:t>
            </w:r>
          </w:p>
        </w:tc>
      </w:tr>
      <w:tr w:rsidR="0069230D" w:rsidRPr="004528C3" w14:paraId="046A8CE4" w14:textId="77777777" w:rsidTr="0069230D">
        <w:trPr>
          <w:jc w:val="center"/>
        </w:trPr>
        <w:tc>
          <w:tcPr>
            <w:tcW w:w="1619" w:type="dxa"/>
            <w:vMerge/>
          </w:tcPr>
          <w:p w14:paraId="19197554" w14:textId="77777777" w:rsidR="0069230D" w:rsidRPr="0035486F" w:rsidRDefault="0069230D" w:rsidP="0069230D">
            <w:pPr>
              <w:rPr>
                <w:rFonts w:ascii="Calibri" w:hAnsi="Calibri" w:cstheme="minorHAnsi"/>
                <w:color w:val="404040" w:themeColor="text1" w:themeTint="BF"/>
                <w:sz w:val="18"/>
                <w:szCs w:val="18"/>
              </w:rPr>
            </w:pPr>
          </w:p>
        </w:tc>
        <w:tc>
          <w:tcPr>
            <w:tcW w:w="784" w:type="dxa"/>
            <w:vAlign w:val="center"/>
          </w:tcPr>
          <w:p w14:paraId="00B6C933" w14:textId="77777777" w:rsidR="0069230D" w:rsidRPr="006E7867" w:rsidRDefault="0069230D" w:rsidP="0069230D">
            <w:pPr>
              <w:jc w:val="center"/>
              <w:rPr>
                <w:rFonts w:ascii="Calibri" w:hAnsi="Calibri" w:cstheme="minorHAnsi"/>
                <w:color w:val="404040" w:themeColor="text1" w:themeTint="BF"/>
                <w:sz w:val="18"/>
                <w:szCs w:val="18"/>
              </w:rPr>
            </w:pPr>
            <w:r w:rsidRPr="004528C3">
              <w:rPr>
                <w:rFonts w:ascii="Calibri" w:hAnsi="Calibri" w:cstheme="minorHAnsi"/>
                <w:b/>
                <w:bCs/>
                <w:color w:val="404040" w:themeColor="text1" w:themeTint="BF"/>
                <w:sz w:val="18"/>
                <w:szCs w:val="18"/>
              </w:rPr>
              <w:t>Judges</w:t>
            </w:r>
          </w:p>
        </w:tc>
        <w:tc>
          <w:tcPr>
            <w:tcW w:w="1039" w:type="dxa"/>
            <w:vAlign w:val="center"/>
          </w:tcPr>
          <w:p w14:paraId="7F51470C" w14:textId="77777777" w:rsidR="0069230D" w:rsidRPr="00FC7A0B" w:rsidRDefault="0069230D" w:rsidP="0069230D">
            <w:pPr>
              <w:jc w:val="center"/>
              <w:rPr>
                <w:rFonts w:ascii="Calibri" w:hAnsi="Calibri" w:cstheme="minorHAnsi"/>
                <w:color w:val="404040" w:themeColor="text1" w:themeTint="BF"/>
                <w:sz w:val="18"/>
                <w:szCs w:val="18"/>
              </w:rPr>
            </w:pPr>
            <w:r w:rsidRPr="004528C3">
              <w:rPr>
                <w:rFonts w:ascii="Calibri" w:hAnsi="Calibri" w:cstheme="minorHAnsi"/>
                <w:b/>
                <w:bCs/>
                <w:color w:val="404040" w:themeColor="text1" w:themeTint="BF"/>
                <w:sz w:val="18"/>
                <w:szCs w:val="18"/>
              </w:rPr>
              <w:t>Registrars</w:t>
            </w:r>
          </w:p>
        </w:tc>
        <w:tc>
          <w:tcPr>
            <w:tcW w:w="837" w:type="dxa"/>
            <w:vAlign w:val="center"/>
          </w:tcPr>
          <w:p w14:paraId="6C1F86ED" w14:textId="77777777" w:rsidR="0069230D" w:rsidRPr="006E7867" w:rsidRDefault="0069230D" w:rsidP="0069230D">
            <w:pPr>
              <w:jc w:val="center"/>
              <w:rPr>
                <w:rFonts w:ascii="Calibri" w:hAnsi="Calibri" w:cstheme="minorHAnsi"/>
                <w:color w:val="404040" w:themeColor="text1" w:themeTint="BF"/>
                <w:sz w:val="18"/>
                <w:szCs w:val="18"/>
              </w:rPr>
            </w:pPr>
            <w:r w:rsidRPr="004528C3">
              <w:rPr>
                <w:rFonts w:ascii="Calibri" w:hAnsi="Calibri" w:cstheme="minorHAnsi"/>
                <w:b/>
                <w:bCs/>
                <w:color w:val="404040" w:themeColor="text1" w:themeTint="BF"/>
                <w:sz w:val="18"/>
                <w:szCs w:val="18"/>
              </w:rPr>
              <w:t>Judges</w:t>
            </w:r>
          </w:p>
        </w:tc>
        <w:tc>
          <w:tcPr>
            <w:tcW w:w="1038" w:type="dxa"/>
            <w:vAlign w:val="center"/>
          </w:tcPr>
          <w:p w14:paraId="10882950" w14:textId="77777777" w:rsidR="0069230D" w:rsidRPr="006E7867" w:rsidRDefault="0069230D" w:rsidP="0069230D">
            <w:pPr>
              <w:jc w:val="center"/>
              <w:rPr>
                <w:rFonts w:ascii="Calibri" w:hAnsi="Calibri" w:cstheme="minorHAnsi"/>
                <w:color w:val="404040" w:themeColor="text1" w:themeTint="BF"/>
                <w:sz w:val="18"/>
                <w:szCs w:val="18"/>
              </w:rPr>
            </w:pPr>
            <w:r w:rsidRPr="004528C3">
              <w:rPr>
                <w:rFonts w:ascii="Calibri" w:hAnsi="Calibri" w:cstheme="minorHAnsi"/>
                <w:b/>
                <w:bCs/>
                <w:color w:val="404040" w:themeColor="text1" w:themeTint="BF"/>
                <w:sz w:val="18"/>
                <w:szCs w:val="18"/>
              </w:rPr>
              <w:t>Registrars</w:t>
            </w:r>
          </w:p>
        </w:tc>
        <w:tc>
          <w:tcPr>
            <w:tcW w:w="2049" w:type="dxa"/>
            <w:gridSpan w:val="2"/>
            <w:vAlign w:val="center"/>
          </w:tcPr>
          <w:p w14:paraId="52A5953D" w14:textId="77777777" w:rsidR="0069230D" w:rsidRPr="006E7867" w:rsidRDefault="0069230D" w:rsidP="0069230D">
            <w:pPr>
              <w:jc w:val="center"/>
              <w:rPr>
                <w:rFonts w:ascii="Calibri" w:hAnsi="Calibri" w:cstheme="minorHAnsi"/>
                <w:color w:val="404040" w:themeColor="text1" w:themeTint="BF"/>
                <w:sz w:val="18"/>
                <w:szCs w:val="18"/>
              </w:rPr>
            </w:pPr>
            <w:r w:rsidRPr="004528C3">
              <w:rPr>
                <w:rFonts w:ascii="Calibri" w:hAnsi="Calibri" w:cstheme="minorHAnsi"/>
                <w:b/>
                <w:bCs/>
                <w:color w:val="404040" w:themeColor="text1" w:themeTint="BF"/>
                <w:sz w:val="18"/>
                <w:szCs w:val="18"/>
              </w:rPr>
              <w:t>Judges</w:t>
            </w:r>
          </w:p>
        </w:tc>
        <w:tc>
          <w:tcPr>
            <w:tcW w:w="993" w:type="dxa"/>
            <w:vAlign w:val="center"/>
          </w:tcPr>
          <w:p w14:paraId="355B2153" w14:textId="77777777" w:rsidR="0069230D" w:rsidRPr="00FC7A0B" w:rsidRDefault="0069230D" w:rsidP="0069230D">
            <w:pPr>
              <w:jc w:val="center"/>
              <w:rPr>
                <w:rFonts w:ascii="Calibri" w:hAnsi="Calibri" w:cstheme="minorHAnsi"/>
                <w:color w:val="404040" w:themeColor="text1" w:themeTint="BF"/>
                <w:sz w:val="18"/>
                <w:szCs w:val="18"/>
              </w:rPr>
            </w:pPr>
            <w:r w:rsidRPr="004528C3">
              <w:rPr>
                <w:rFonts w:ascii="Calibri" w:hAnsi="Calibri" w:cstheme="minorHAnsi"/>
                <w:b/>
                <w:bCs/>
                <w:color w:val="404040" w:themeColor="text1" w:themeTint="BF"/>
                <w:sz w:val="18"/>
                <w:szCs w:val="18"/>
              </w:rPr>
              <w:t>Registrars</w:t>
            </w:r>
          </w:p>
        </w:tc>
        <w:tc>
          <w:tcPr>
            <w:tcW w:w="735" w:type="dxa"/>
            <w:vAlign w:val="center"/>
          </w:tcPr>
          <w:p w14:paraId="041A30AB" w14:textId="77777777" w:rsidR="0069230D" w:rsidRPr="00FC7A0B" w:rsidRDefault="0069230D" w:rsidP="0069230D">
            <w:pPr>
              <w:jc w:val="center"/>
              <w:rPr>
                <w:rFonts w:ascii="Calibri" w:hAnsi="Calibri" w:cstheme="minorHAnsi"/>
                <w:color w:val="404040" w:themeColor="text1" w:themeTint="BF"/>
                <w:sz w:val="18"/>
                <w:szCs w:val="18"/>
              </w:rPr>
            </w:pPr>
            <w:r w:rsidRPr="004528C3">
              <w:rPr>
                <w:rFonts w:ascii="Calibri" w:hAnsi="Calibri" w:cstheme="minorHAnsi"/>
                <w:b/>
                <w:bCs/>
                <w:color w:val="404040" w:themeColor="text1" w:themeTint="BF"/>
                <w:sz w:val="18"/>
                <w:szCs w:val="18"/>
              </w:rPr>
              <w:t>Judges</w:t>
            </w:r>
          </w:p>
        </w:tc>
        <w:tc>
          <w:tcPr>
            <w:tcW w:w="1108" w:type="dxa"/>
            <w:vAlign w:val="center"/>
          </w:tcPr>
          <w:p w14:paraId="7BC9B67B" w14:textId="77777777" w:rsidR="0069230D" w:rsidRPr="00FC7A0B" w:rsidRDefault="0069230D" w:rsidP="0069230D">
            <w:pPr>
              <w:jc w:val="center"/>
              <w:rPr>
                <w:rFonts w:ascii="Calibri" w:hAnsi="Calibri" w:cstheme="minorHAnsi"/>
                <w:color w:val="404040" w:themeColor="text1" w:themeTint="BF"/>
                <w:sz w:val="18"/>
                <w:szCs w:val="18"/>
              </w:rPr>
            </w:pPr>
            <w:r w:rsidRPr="004528C3">
              <w:rPr>
                <w:rFonts w:ascii="Calibri" w:hAnsi="Calibri" w:cstheme="minorHAnsi"/>
                <w:b/>
                <w:bCs/>
                <w:color w:val="404040" w:themeColor="text1" w:themeTint="BF"/>
                <w:sz w:val="18"/>
                <w:szCs w:val="18"/>
              </w:rPr>
              <w:t>Registrars</w:t>
            </w:r>
          </w:p>
        </w:tc>
      </w:tr>
      <w:tr w:rsidR="0069230D" w:rsidRPr="004528C3" w14:paraId="665730C9" w14:textId="77777777" w:rsidTr="0069230D">
        <w:trPr>
          <w:jc w:val="center"/>
        </w:trPr>
        <w:tc>
          <w:tcPr>
            <w:tcW w:w="1619" w:type="dxa"/>
          </w:tcPr>
          <w:p w14:paraId="06ABB237" w14:textId="77777777" w:rsidR="0069230D" w:rsidRPr="00FC7A0B" w:rsidRDefault="0069230D" w:rsidP="0069230D">
            <w:pPr>
              <w:rPr>
                <w:rFonts w:ascii="Calibri" w:hAnsi="Calibri" w:cstheme="minorHAnsi"/>
                <w:color w:val="404040" w:themeColor="text1" w:themeTint="BF"/>
                <w:sz w:val="18"/>
                <w:szCs w:val="18"/>
              </w:rPr>
            </w:pPr>
            <w:r w:rsidRPr="00FC7A0B">
              <w:rPr>
                <w:rFonts w:ascii="Calibri" w:hAnsi="Calibri" w:cstheme="minorHAnsi"/>
                <w:color w:val="404040" w:themeColor="text1" w:themeTint="BF"/>
                <w:sz w:val="18"/>
                <w:szCs w:val="18"/>
              </w:rPr>
              <w:t>Constitutional/ supreme courts</w:t>
            </w:r>
          </w:p>
        </w:tc>
        <w:tc>
          <w:tcPr>
            <w:tcW w:w="784" w:type="dxa"/>
            <w:vAlign w:val="center"/>
          </w:tcPr>
          <w:p w14:paraId="03E0A1FB" w14:textId="77777777" w:rsidR="0069230D" w:rsidRPr="00FC7A0B" w:rsidRDefault="0069230D" w:rsidP="0069230D">
            <w:pPr>
              <w:jc w:val="center"/>
              <w:rPr>
                <w:rFonts w:ascii="Calibri" w:hAnsi="Calibri" w:cstheme="minorHAnsi"/>
                <w:color w:val="404040" w:themeColor="text1" w:themeTint="BF"/>
                <w:sz w:val="18"/>
                <w:szCs w:val="18"/>
              </w:rPr>
            </w:pPr>
            <w:r w:rsidRPr="00FC7A0B">
              <w:rPr>
                <w:rFonts w:ascii="Calibri" w:hAnsi="Calibri" w:cstheme="minorHAnsi"/>
                <w:color w:val="000000" w:themeColor="text1"/>
                <w:sz w:val="18"/>
                <w:szCs w:val="18"/>
              </w:rPr>
              <w:t>…</w:t>
            </w:r>
          </w:p>
        </w:tc>
        <w:tc>
          <w:tcPr>
            <w:tcW w:w="1039" w:type="dxa"/>
            <w:vAlign w:val="center"/>
          </w:tcPr>
          <w:p w14:paraId="5BB2BDEC" w14:textId="77777777" w:rsidR="0069230D" w:rsidRPr="00FC7A0B" w:rsidRDefault="0069230D" w:rsidP="0069230D">
            <w:pPr>
              <w:jc w:val="center"/>
              <w:rPr>
                <w:rFonts w:ascii="Calibri" w:hAnsi="Calibri" w:cstheme="minorHAnsi"/>
                <w:color w:val="404040" w:themeColor="text1" w:themeTint="BF"/>
                <w:sz w:val="18"/>
                <w:szCs w:val="18"/>
              </w:rPr>
            </w:pPr>
            <w:r w:rsidRPr="00FC7A0B">
              <w:rPr>
                <w:rFonts w:ascii="Calibri" w:hAnsi="Calibri" w:cstheme="minorHAnsi"/>
                <w:color w:val="000000" w:themeColor="text1"/>
                <w:sz w:val="18"/>
                <w:szCs w:val="18"/>
              </w:rPr>
              <w:t>…</w:t>
            </w:r>
          </w:p>
        </w:tc>
        <w:tc>
          <w:tcPr>
            <w:tcW w:w="837" w:type="dxa"/>
            <w:vAlign w:val="center"/>
          </w:tcPr>
          <w:p w14:paraId="732CF939" w14:textId="77777777" w:rsidR="0069230D" w:rsidRPr="00FC7A0B" w:rsidRDefault="0069230D" w:rsidP="0069230D">
            <w:pPr>
              <w:jc w:val="center"/>
              <w:rPr>
                <w:rFonts w:ascii="Calibri" w:hAnsi="Calibri" w:cstheme="minorHAnsi"/>
                <w:color w:val="404040" w:themeColor="text1" w:themeTint="BF"/>
                <w:sz w:val="18"/>
                <w:szCs w:val="18"/>
              </w:rPr>
            </w:pPr>
            <w:r w:rsidRPr="00FC7A0B">
              <w:rPr>
                <w:rFonts w:ascii="Calibri" w:hAnsi="Calibri" w:cstheme="minorHAnsi"/>
                <w:color w:val="000000" w:themeColor="text1"/>
                <w:sz w:val="18"/>
                <w:szCs w:val="18"/>
              </w:rPr>
              <w:t>…</w:t>
            </w:r>
          </w:p>
        </w:tc>
        <w:tc>
          <w:tcPr>
            <w:tcW w:w="1038" w:type="dxa"/>
            <w:vAlign w:val="center"/>
          </w:tcPr>
          <w:p w14:paraId="1F61EE87" w14:textId="77777777" w:rsidR="0069230D" w:rsidRPr="00FC7A0B" w:rsidRDefault="0069230D" w:rsidP="0069230D">
            <w:pPr>
              <w:jc w:val="center"/>
              <w:rPr>
                <w:rFonts w:ascii="Calibri" w:hAnsi="Calibri" w:cstheme="minorHAnsi"/>
                <w:color w:val="404040" w:themeColor="text1" w:themeTint="BF"/>
                <w:sz w:val="18"/>
                <w:szCs w:val="18"/>
              </w:rPr>
            </w:pPr>
            <w:r w:rsidRPr="00FC7A0B">
              <w:rPr>
                <w:rFonts w:ascii="Calibri" w:hAnsi="Calibri" w:cstheme="minorHAnsi"/>
                <w:color w:val="000000" w:themeColor="text1"/>
                <w:sz w:val="18"/>
                <w:szCs w:val="18"/>
              </w:rPr>
              <w:t>…</w:t>
            </w:r>
          </w:p>
        </w:tc>
        <w:tc>
          <w:tcPr>
            <w:tcW w:w="2049" w:type="dxa"/>
            <w:gridSpan w:val="2"/>
            <w:vAlign w:val="center"/>
          </w:tcPr>
          <w:p w14:paraId="0B087D66" w14:textId="77777777" w:rsidR="0069230D" w:rsidRPr="00FC7A0B" w:rsidRDefault="0069230D" w:rsidP="0069230D">
            <w:pPr>
              <w:jc w:val="center"/>
              <w:rPr>
                <w:rFonts w:ascii="Calibri" w:hAnsi="Calibri" w:cstheme="minorHAnsi"/>
                <w:color w:val="404040" w:themeColor="text1" w:themeTint="BF"/>
                <w:sz w:val="18"/>
                <w:szCs w:val="18"/>
              </w:rPr>
            </w:pPr>
            <w:r w:rsidRPr="00FC7A0B">
              <w:rPr>
                <w:rFonts w:ascii="Calibri" w:hAnsi="Calibri" w:cstheme="minorHAnsi"/>
                <w:color w:val="000000" w:themeColor="text1"/>
                <w:sz w:val="18"/>
                <w:szCs w:val="18"/>
              </w:rPr>
              <w:t>…</w:t>
            </w:r>
          </w:p>
        </w:tc>
        <w:tc>
          <w:tcPr>
            <w:tcW w:w="993" w:type="dxa"/>
            <w:vAlign w:val="center"/>
          </w:tcPr>
          <w:p w14:paraId="5FBF690D" w14:textId="77777777" w:rsidR="0069230D" w:rsidRPr="00FC7A0B" w:rsidRDefault="0069230D" w:rsidP="0069230D">
            <w:pPr>
              <w:jc w:val="center"/>
              <w:rPr>
                <w:rFonts w:ascii="Calibri" w:hAnsi="Calibri" w:cstheme="minorHAnsi"/>
                <w:color w:val="404040" w:themeColor="text1" w:themeTint="BF"/>
                <w:sz w:val="18"/>
                <w:szCs w:val="18"/>
              </w:rPr>
            </w:pPr>
            <w:r w:rsidRPr="00FC7A0B">
              <w:rPr>
                <w:rFonts w:ascii="Calibri" w:hAnsi="Calibri" w:cstheme="minorHAnsi"/>
                <w:color w:val="000000" w:themeColor="text1"/>
                <w:sz w:val="18"/>
                <w:szCs w:val="18"/>
              </w:rPr>
              <w:t>…</w:t>
            </w:r>
          </w:p>
        </w:tc>
        <w:tc>
          <w:tcPr>
            <w:tcW w:w="735" w:type="dxa"/>
            <w:vAlign w:val="center"/>
          </w:tcPr>
          <w:p w14:paraId="4D2DFE00" w14:textId="77777777" w:rsidR="0069230D" w:rsidRPr="00FC7A0B" w:rsidRDefault="0069230D" w:rsidP="0069230D">
            <w:pPr>
              <w:jc w:val="center"/>
              <w:rPr>
                <w:rFonts w:ascii="Calibri" w:hAnsi="Calibri" w:cstheme="minorHAnsi"/>
                <w:color w:val="404040" w:themeColor="text1" w:themeTint="BF"/>
                <w:sz w:val="18"/>
                <w:szCs w:val="18"/>
              </w:rPr>
            </w:pPr>
            <w:r w:rsidRPr="00FC7A0B">
              <w:rPr>
                <w:rFonts w:ascii="Calibri" w:hAnsi="Calibri" w:cstheme="minorHAnsi"/>
                <w:color w:val="000000" w:themeColor="text1"/>
                <w:sz w:val="18"/>
                <w:szCs w:val="18"/>
              </w:rPr>
              <w:t>…</w:t>
            </w:r>
          </w:p>
        </w:tc>
        <w:tc>
          <w:tcPr>
            <w:tcW w:w="1108" w:type="dxa"/>
            <w:vAlign w:val="center"/>
          </w:tcPr>
          <w:p w14:paraId="78761D83" w14:textId="77777777" w:rsidR="0069230D" w:rsidRPr="00FC7A0B" w:rsidRDefault="0069230D" w:rsidP="0069230D">
            <w:pPr>
              <w:jc w:val="center"/>
              <w:rPr>
                <w:rFonts w:ascii="Calibri" w:hAnsi="Calibri" w:cstheme="minorHAnsi"/>
                <w:color w:val="404040" w:themeColor="text1" w:themeTint="BF"/>
                <w:sz w:val="18"/>
                <w:szCs w:val="18"/>
              </w:rPr>
            </w:pPr>
            <w:r w:rsidRPr="00FC7A0B">
              <w:rPr>
                <w:rFonts w:ascii="Calibri" w:hAnsi="Calibri" w:cstheme="minorHAnsi"/>
                <w:color w:val="000000" w:themeColor="text1"/>
                <w:sz w:val="18"/>
                <w:szCs w:val="18"/>
              </w:rPr>
              <w:t>…</w:t>
            </w:r>
          </w:p>
        </w:tc>
      </w:tr>
      <w:tr w:rsidR="0069230D" w:rsidRPr="004528C3" w14:paraId="5560A741" w14:textId="77777777" w:rsidTr="0069230D">
        <w:trPr>
          <w:jc w:val="center"/>
        </w:trPr>
        <w:tc>
          <w:tcPr>
            <w:tcW w:w="1619" w:type="dxa"/>
          </w:tcPr>
          <w:p w14:paraId="39F77526" w14:textId="77777777" w:rsidR="0069230D" w:rsidRPr="00FC7A0B" w:rsidRDefault="0069230D" w:rsidP="0069230D">
            <w:pPr>
              <w:rPr>
                <w:rFonts w:ascii="Calibri" w:hAnsi="Calibri" w:cstheme="minorHAnsi"/>
                <w:color w:val="404040" w:themeColor="text1" w:themeTint="BF"/>
                <w:sz w:val="18"/>
                <w:szCs w:val="18"/>
              </w:rPr>
            </w:pPr>
            <w:r w:rsidRPr="00FC7A0B">
              <w:rPr>
                <w:rFonts w:ascii="Calibri" w:hAnsi="Calibri" w:cstheme="minorHAnsi"/>
                <w:color w:val="404040" w:themeColor="text1" w:themeTint="BF"/>
                <w:sz w:val="18"/>
                <w:szCs w:val="18"/>
              </w:rPr>
              <w:t>Higher-level courts</w:t>
            </w:r>
          </w:p>
        </w:tc>
        <w:tc>
          <w:tcPr>
            <w:tcW w:w="784" w:type="dxa"/>
            <w:vAlign w:val="center"/>
          </w:tcPr>
          <w:p w14:paraId="6555FC62" w14:textId="77777777" w:rsidR="0069230D" w:rsidRPr="00FC7A0B" w:rsidRDefault="0069230D" w:rsidP="0069230D">
            <w:pPr>
              <w:jc w:val="center"/>
              <w:rPr>
                <w:rFonts w:ascii="Calibri" w:hAnsi="Calibri" w:cstheme="minorHAnsi"/>
                <w:color w:val="404040" w:themeColor="text1" w:themeTint="BF"/>
                <w:sz w:val="18"/>
                <w:szCs w:val="18"/>
              </w:rPr>
            </w:pPr>
            <w:r w:rsidRPr="00FC7A0B">
              <w:rPr>
                <w:rFonts w:ascii="Calibri" w:hAnsi="Calibri" w:cstheme="minorHAnsi"/>
                <w:color w:val="000000" w:themeColor="text1"/>
                <w:sz w:val="18"/>
                <w:szCs w:val="18"/>
              </w:rPr>
              <w:t>…</w:t>
            </w:r>
          </w:p>
        </w:tc>
        <w:tc>
          <w:tcPr>
            <w:tcW w:w="1039" w:type="dxa"/>
            <w:vAlign w:val="center"/>
          </w:tcPr>
          <w:p w14:paraId="2EC023AE" w14:textId="77777777" w:rsidR="0069230D" w:rsidRPr="00FC7A0B" w:rsidRDefault="0069230D" w:rsidP="0069230D">
            <w:pPr>
              <w:jc w:val="center"/>
              <w:rPr>
                <w:rFonts w:ascii="Calibri" w:hAnsi="Calibri" w:cstheme="minorHAnsi"/>
                <w:color w:val="404040" w:themeColor="text1" w:themeTint="BF"/>
                <w:sz w:val="18"/>
                <w:szCs w:val="18"/>
              </w:rPr>
            </w:pPr>
            <w:r w:rsidRPr="00FC7A0B">
              <w:rPr>
                <w:rFonts w:ascii="Calibri" w:hAnsi="Calibri" w:cstheme="minorHAnsi"/>
                <w:color w:val="000000" w:themeColor="text1"/>
                <w:sz w:val="18"/>
                <w:szCs w:val="18"/>
              </w:rPr>
              <w:t>…</w:t>
            </w:r>
          </w:p>
        </w:tc>
        <w:tc>
          <w:tcPr>
            <w:tcW w:w="837" w:type="dxa"/>
            <w:vAlign w:val="center"/>
          </w:tcPr>
          <w:p w14:paraId="1C258927" w14:textId="77777777" w:rsidR="0069230D" w:rsidRPr="00FC7A0B" w:rsidRDefault="0069230D" w:rsidP="0069230D">
            <w:pPr>
              <w:jc w:val="center"/>
              <w:rPr>
                <w:rFonts w:ascii="Calibri" w:hAnsi="Calibri" w:cstheme="minorHAnsi"/>
                <w:color w:val="404040" w:themeColor="text1" w:themeTint="BF"/>
                <w:sz w:val="18"/>
                <w:szCs w:val="18"/>
              </w:rPr>
            </w:pPr>
            <w:r w:rsidRPr="00FC7A0B">
              <w:rPr>
                <w:rFonts w:ascii="Calibri" w:hAnsi="Calibri" w:cstheme="minorHAnsi"/>
                <w:color w:val="000000" w:themeColor="text1"/>
                <w:sz w:val="18"/>
                <w:szCs w:val="18"/>
              </w:rPr>
              <w:t>…</w:t>
            </w:r>
          </w:p>
        </w:tc>
        <w:tc>
          <w:tcPr>
            <w:tcW w:w="1038" w:type="dxa"/>
            <w:tcMar>
              <w:left w:w="28" w:type="dxa"/>
              <w:right w:w="28" w:type="dxa"/>
            </w:tcMar>
            <w:vAlign w:val="center"/>
          </w:tcPr>
          <w:p w14:paraId="670B66D2" w14:textId="77777777" w:rsidR="0069230D" w:rsidRPr="00FC7A0B" w:rsidRDefault="0069230D" w:rsidP="0069230D">
            <w:pPr>
              <w:jc w:val="center"/>
              <w:rPr>
                <w:rFonts w:ascii="Calibri" w:hAnsi="Calibri" w:cstheme="minorHAnsi"/>
                <w:color w:val="404040" w:themeColor="text1" w:themeTint="BF"/>
                <w:sz w:val="18"/>
                <w:szCs w:val="18"/>
              </w:rPr>
            </w:pPr>
            <w:r w:rsidRPr="00FC7A0B">
              <w:rPr>
                <w:rFonts w:ascii="Calibri" w:hAnsi="Calibri" w:cstheme="minorHAnsi"/>
                <w:color w:val="000000" w:themeColor="text1"/>
                <w:sz w:val="18"/>
                <w:szCs w:val="18"/>
              </w:rPr>
              <w:t>…</w:t>
            </w:r>
          </w:p>
        </w:tc>
        <w:tc>
          <w:tcPr>
            <w:tcW w:w="2049" w:type="dxa"/>
            <w:gridSpan w:val="2"/>
            <w:tcMar>
              <w:left w:w="28" w:type="dxa"/>
              <w:right w:w="28" w:type="dxa"/>
            </w:tcMar>
            <w:vAlign w:val="center"/>
          </w:tcPr>
          <w:p w14:paraId="3B747555" w14:textId="77777777" w:rsidR="0069230D" w:rsidRPr="004528C3" w:rsidRDefault="0069230D" w:rsidP="0069230D">
            <w:pPr>
              <w:jc w:val="center"/>
              <w:rPr>
                <w:rFonts w:ascii="Calibri" w:hAnsi="Calibri" w:cstheme="minorHAnsi"/>
                <w:color w:val="404040" w:themeColor="text1" w:themeTint="BF"/>
                <w:sz w:val="18"/>
                <w:szCs w:val="18"/>
              </w:rPr>
            </w:pPr>
            <w:r w:rsidRPr="00FC7A0B">
              <w:rPr>
                <w:rFonts w:ascii="Calibri" w:hAnsi="Calibri" w:cstheme="minorHAnsi"/>
                <w:color w:val="404040" w:themeColor="text1" w:themeTint="BF"/>
                <w:sz w:val="18"/>
                <w:szCs w:val="18"/>
              </w:rPr>
              <w:t xml:space="preserve">Example </w:t>
            </w:r>
            <w:r w:rsidRPr="004528C3">
              <w:rPr>
                <w:rFonts w:ascii="Calibri" w:hAnsi="Calibri" w:cstheme="minorHAnsi"/>
                <w:color w:val="404040" w:themeColor="text1" w:themeTint="BF"/>
                <w:sz w:val="18"/>
                <w:szCs w:val="18"/>
              </w:rPr>
              <w:t>calculation:</w:t>
            </w:r>
          </w:p>
          <w:p w14:paraId="7DC61F0F" w14:textId="77777777" w:rsidR="0069230D" w:rsidRPr="004528C3" w:rsidRDefault="0069230D" w:rsidP="0069230D">
            <w:pPr>
              <w:jc w:val="center"/>
              <w:rPr>
                <w:rFonts w:ascii="Calibri" w:hAnsi="Calibri" w:cstheme="minorHAnsi"/>
                <w:i/>
                <w:iCs/>
                <w:color w:val="404040" w:themeColor="text1" w:themeTint="BF"/>
                <w:sz w:val="18"/>
                <w:szCs w:val="18"/>
              </w:rPr>
            </w:pPr>
            <w:r w:rsidRPr="004528C3">
              <w:rPr>
                <w:rFonts w:ascii="Calibri" w:hAnsi="Calibri" w:cstheme="minorHAnsi"/>
                <w:i/>
                <w:iCs/>
                <w:color w:val="404040" w:themeColor="text1" w:themeTint="BF"/>
                <w:sz w:val="18"/>
                <w:szCs w:val="18"/>
              </w:rPr>
              <w:t>3% disabled judges at higher-level courts / 9% disabled in the working-age population = 0.33</w:t>
            </w:r>
          </w:p>
          <w:p w14:paraId="34A272D8" w14:textId="77777777" w:rsidR="0069230D" w:rsidRPr="00FC7A0B" w:rsidRDefault="0069230D" w:rsidP="0069230D">
            <w:pPr>
              <w:jc w:val="center"/>
              <w:rPr>
                <w:rFonts w:ascii="Calibri" w:hAnsi="Calibri" w:cstheme="minorHAnsi"/>
                <w:i/>
                <w:iCs/>
                <w:color w:val="404040" w:themeColor="text1" w:themeTint="BF"/>
                <w:sz w:val="18"/>
                <w:szCs w:val="18"/>
              </w:rPr>
            </w:pPr>
            <w:r w:rsidRPr="004528C3">
              <w:rPr>
                <w:rFonts w:ascii="Calibri" w:hAnsi="Calibri" w:cstheme="minorHAnsi"/>
                <w:i/>
                <w:iCs/>
                <w:color w:val="404040" w:themeColor="text1" w:themeTint="BF"/>
                <w:sz w:val="18"/>
                <w:szCs w:val="18"/>
              </w:rPr>
              <w:sym w:font="Wingdings" w:char="F0E0"/>
            </w:r>
            <w:r w:rsidRPr="004528C3">
              <w:rPr>
                <w:rFonts w:ascii="Calibri" w:hAnsi="Calibri" w:cstheme="minorHAnsi"/>
                <w:i/>
                <w:iCs/>
                <w:color w:val="404040" w:themeColor="text1" w:themeTint="BF"/>
                <w:sz w:val="18"/>
                <w:szCs w:val="18"/>
              </w:rPr>
              <w:t xml:space="preserve"> Under-representation (&lt;1)</w:t>
            </w:r>
          </w:p>
        </w:tc>
        <w:tc>
          <w:tcPr>
            <w:tcW w:w="993" w:type="dxa"/>
            <w:tcMar>
              <w:left w:w="28" w:type="dxa"/>
              <w:right w:w="28" w:type="dxa"/>
            </w:tcMar>
            <w:vAlign w:val="center"/>
          </w:tcPr>
          <w:p w14:paraId="571C8DA0" w14:textId="77777777" w:rsidR="0069230D" w:rsidRPr="00FC7A0B" w:rsidRDefault="0069230D" w:rsidP="0069230D">
            <w:pPr>
              <w:jc w:val="center"/>
              <w:rPr>
                <w:rFonts w:ascii="Calibri" w:hAnsi="Calibri" w:cstheme="minorHAnsi"/>
                <w:color w:val="404040" w:themeColor="text1" w:themeTint="BF"/>
                <w:sz w:val="18"/>
                <w:szCs w:val="18"/>
              </w:rPr>
            </w:pPr>
            <w:r w:rsidRPr="00FC7A0B">
              <w:rPr>
                <w:rFonts w:ascii="Calibri" w:hAnsi="Calibri" w:cstheme="minorHAnsi"/>
                <w:color w:val="000000" w:themeColor="text1"/>
                <w:sz w:val="18"/>
                <w:szCs w:val="18"/>
              </w:rPr>
              <w:t>…</w:t>
            </w:r>
          </w:p>
        </w:tc>
        <w:tc>
          <w:tcPr>
            <w:tcW w:w="735" w:type="dxa"/>
            <w:vAlign w:val="center"/>
          </w:tcPr>
          <w:p w14:paraId="7D722610" w14:textId="77777777" w:rsidR="0069230D" w:rsidRPr="00FC7A0B" w:rsidRDefault="0069230D" w:rsidP="0069230D">
            <w:pPr>
              <w:jc w:val="center"/>
              <w:rPr>
                <w:rFonts w:ascii="Calibri" w:hAnsi="Calibri" w:cstheme="minorHAnsi"/>
                <w:color w:val="404040" w:themeColor="text1" w:themeTint="BF"/>
                <w:sz w:val="18"/>
                <w:szCs w:val="18"/>
              </w:rPr>
            </w:pPr>
            <w:r w:rsidRPr="00FC7A0B">
              <w:rPr>
                <w:rFonts w:ascii="Calibri" w:hAnsi="Calibri" w:cstheme="minorHAnsi"/>
                <w:color w:val="000000" w:themeColor="text1"/>
                <w:sz w:val="18"/>
                <w:szCs w:val="18"/>
              </w:rPr>
              <w:t>…</w:t>
            </w:r>
          </w:p>
        </w:tc>
        <w:tc>
          <w:tcPr>
            <w:tcW w:w="1108" w:type="dxa"/>
            <w:vAlign w:val="center"/>
          </w:tcPr>
          <w:p w14:paraId="1F2B2615" w14:textId="77777777" w:rsidR="0069230D" w:rsidRPr="00FC7A0B" w:rsidRDefault="0069230D" w:rsidP="0069230D">
            <w:pPr>
              <w:jc w:val="center"/>
              <w:rPr>
                <w:rFonts w:ascii="Calibri" w:hAnsi="Calibri" w:cstheme="minorHAnsi"/>
                <w:color w:val="404040" w:themeColor="text1" w:themeTint="BF"/>
                <w:sz w:val="18"/>
                <w:szCs w:val="18"/>
              </w:rPr>
            </w:pPr>
            <w:r w:rsidRPr="00FC7A0B">
              <w:rPr>
                <w:rFonts w:ascii="Calibri" w:hAnsi="Calibri" w:cstheme="minorHAnsi"/>
                <w:color w:val="000000" w:themeColor="text1"/>
                <w:sz w:val="18"/>
                <w:szCs w:val="18"/>
              </w:rPr>
              <w:t>…</w:t>
            </w:r>
          </w:p>
        </w:tc>
      </w:tr>
      <w:tr w:rsidR="0069230D" w:rsidRPr="004528C3" w14:paraId="3E64D4D9" w14:textId="77777777" w:rsidTr="0069230D">
        <w:trPr>
          <w:jc w:val="center"/>
        </w:trPr>
        <w:tc>
          <w:tcPr>
            <w:tcW w:w="1619" w:type="dxa"/>
          </w:tcPr>
          <w:p w14:paraId="77FD4838" w14:textId="77777777" w:rsidR="0069230D" w:rsidRPr="00FC7A0B" w:rsidRDefault="0069230D" w:rsidP="0069230D">
            <w:pPr>
              <w:rPr>
                <w:rFonts w:ascii="Calibri" w:hAnsi="Calibri" w:cstheme="minorHAnsi"/>
                <w:color w:val="404040" w:themeColor="text1" w:themeTint="BF"/>
                <w:sz w:val="18"/>
                <w:szCs w:val="18"/>
              </w:rPr>
            </w:pPr>
            <w:r w:rsidRPr="00FC7A0B">
              <w:rPr>
                <w:rFonts w:ascii="Calibri" w:hAnsi="Calibri" w:cstheme="minorHAnsi"/>
                <w:color w:val="404040" w:themeColor="text1" w:themeTint="BF"/>
                <w:sz w:val="18"/>
                <w:szCs w:val="18"/>
              </w:rPr>
              <w:t>Lower-level courts</w:t>
            </w:r>
          </w:p>
        </w:tc>
        <w:tc>
          <w:tcPr>
            <w:tcW w:w="784" w:type="dxa"/>
            <w:vAlign w:val="center"/>
          </w:tcPr>
          <w:p w14:paraId="4AC883DB" w14:textId="77777777" w:rsidR="0069230D" w:rsidRPr="00FC7A0B" w:rsidRDefault="0069230D" w:rsidP="0069230D">
            <w:pPr>
              <w:jc w:val="center"/>
              <w:rPr>
                <w:rFonts w:ascii="Calibri" w:hAnsi="Calibri" w:cstheme="minorHAnsi"/>
                <w:color w:val="404040" w:themeColor="text1" w:themeTint="BF"/>
                <w:sz w:val="18"/>
                <w:szCs w:val="18"/>
              </w:rPr>
            </w:pPr>
            <w:r w:rsidRPr="00FC7A0B">
              <w:rPr>
                <w:rFonts w:ascii="Calibri" w:hAnsi="Calibri" w:cstheme="minorHAnsi"/>
                <w:color w:val="000000" w:themeColor="text1"/>
                <w:sz w:val="18"/>
                <w:szCs w:val="18"/>
              </w:rPr>
              <w:t>…</w:t>
            </w:r>
          </w:p>
        </w:tc>
        <w:tc>
          <w:tcPr>
            <w:tcW w:w="1039" w:type="dxa"/>
            <w:vAlign w:val="center"/>
          </w:tcPr>
          <w:p w14:paraId="0977379D" w14:textId="77777777" w:rsidR="0069230D" w:rsidRPr="00FC7A0B" w:rsidRDefault="0069230D" w:rsidP="0069230D">
            <w:pPr>
              <w:jc w:val="center"/>
              <w:rPr>
                <w:rFonts w:ascii="Calibri" w:hAnsi="Calibri" w:cstheme="minorHAnsi"/>
                <w:color w:val="404040" w:themeColor="text1" w:themeTint="BF"/>
                <w:sz w:val="18"/>
                <w:szCs w:val="18"/>
              </w:rPr>
            </w:pPr>
            <w:r w:rsidRPr="00FC7A0B">
              <w:rPr>
                <w:rFonts w:ascii="Calibri" w:hAnsi="Calibri" w:cstheme="minorHAnsi"/>
                <w:color w:val="000000" w:themeColor="text1"/>
                <w:sz w:val="18"/>
                <w:szCs w:val="18"/>
              </w:rPr>
              <w:t>…</w:t>
            </w:r>
          </w:p>
        </w:tc>
        <w:tc>
          <w:tcPr>
            <w:tcW w:w="837" w:type="dxa"/>
            <w:vAlign w:val="center"/>
          </w:tcPr>
          <w:p w14:paraId="3D9D275A" w14:textId="77777777" w:rsidR="0069230D" w:rsidRPr="00FC7A0B" w:rsidRDefault="0069230D" w:rsidP="0069230D">
            <w:pPr>
              <w:jc w:val="center"/>
              <w:rPr>
                <w:rFonts w:ascii="Calibri" w:hAnsi="Calibri" w:cstheme="minorHAnsi"/>
                <w:color w:val="404040" w:themeColor="text1" w:themeTint="BF"/>
                <w:sz w:val="18"/>
                <w:szCs w:val="18"/>
              </w:rPr>
            </w:pPr>
            <w:r w:rsidRPr="00FC7A0B">
              <w:rPr>
                <w:rFonts w:ascii="Calibri" w:hAnsi="Calibri" w:cstheme="minorHAnsi"/>
                <w:color w:val="000000" w:themeColor="text1"/>
                <w:sz w:val="18"/>
                <w:szCs w:val="18"/>
              </w:rPr>
              <w:t>…</w:t>
            </w:r>
          </w:p>
        </w:tc>
        <w:tc>
          <w:tcPr>
            <w:tcW w:w="1038" w:type="dxa"/>
            <w:vAlign w:val="center"/>
          </w:tcPr>
          <w:p w14:paraId="50FB6CB4" w14:textId="77777777" w:rsidR="0069230D" w:rsidRPr="00FC7A0B" w:rsidRDefault="0069230D" w:rsidP="0069230D">
            <w:pPr>
              <w:jc w:val="center"/>
              <w:rPr>
                <w:rFonts w:ascii="Calibri" w:hAnsi="Calibri" w:cstheme="minorHAnsi"/>
                <w:color w:val="404040" w:themeColor="text1" w:themeTint="BF"/>
                <w:sz w:val="18"/>
                <w:szCs w:val="18"/>
              </w:rPr>
            </w:pPr>
            <w:r w:rsidRPr="00FC7A0B">
              <w:rPr>
                <w:rFonts w:ascii="Calibri" w:hAnsi="Calibri" w:cstheme="minorHAnsi"/>
                <w:color w:val="000000" w:themeColor="text1"/>
                <w:sz w:val="18"/>
                <w:szCs w:val="18"/>
              </w:rPr>
              <w:t>…</w:t>
            </w:r>
          </w:p>
        </w:tc>
        <w:tc>
          <w:tcPr>
            <w:tcW w:w="2049" w:type="dxa"/>
            <w:gridSpan w:val="2"/>
            <w:vAlign w:val="center"/>
          </w:tcPr>
          <w:p w14:paraId="58861A65" w14:textId="77777777" w:rsidR="0069230D" w:rsidRPr="00FC7A0B" w:rsidRDefault="0069230D" w:rsidP="0069230D">
            <w:pPr>
              <w:jc w:val="center"/>
              <w:rPr>
                <w:rFonts w:ascii="Calibri" w:hAnsi="Calibri" w:cstheme="minorHAnsi"/>
                <w:color w:val="404040" w:themeColor="text1" w:themeTint="BF"/>
                <w:sz w:val="18"/>
                <w:szCs w:val="18"/>
              </w:rPr>
            </w:pPr>
            <w:r w:rsidRPr="00FC7A0B">
              <w:rPr>
                <w:rFonts w:ascii="Calibri" w:hAnsi="Calibri" w:cstheme="minorHAnsi"/>
                <w:color w:val="000000" w:themeColor="text1"/>
                <w:sz w:val="18"/>
                <w:szCs w:val="18"/>
              </w:rPr>
              <w:t>…</w:t>
            </w:r>
          </w:p>
        </w:tc>
        <w:tc>
          <w:tcPr>
            <w:tcW w:w="993" w:type="dxa"/>
            <w:vAlign w:val="center"/>
          </w:tcPr>
          <w:p w14:paraId="2BAF68D6" w14:textId="77777777" w:rsidR="0069230D" w:rsidRPr="00FC7A0B" w:rsidRDefault="0069230D" w:rsidP="0069230D">
            <w:pPr>
              <w:jc w:val="center"/>
              <w:rPr>
                <w:rFonts w:ascii="Calibri" w:hAnsi="Calibri" w:cstheme="minorHAnsi"/>
                <w:color w:val="404040" w:themeColor="text1" w:themeTint="BF"/>
                <w:sz w:val="18"/>
                <w:szCs w:val="18"/>
              </w:rPr>
            </w:pPr>
            <w:r w:rsidRPr="00FC7A0B">
              <w:rPr>
                <w:rFonts w:ascii="Calibri" w:hAnsi="Calibri" w:cstheme="minorHAnsi"/>
                <w:color w:val="000000" w:themeColor="text1"/>
                <w:sz w:val="18"/>
                <w:szCs w:val="18"/>
              </w:rPr>
              <w:t>…</w:t>
            </w:r>
          </w:p>
        </w:tc>
        <w:tc>
          <w:tcPr>
            <w:tcW w:w="735" w:type="dxa"/>
            <w:vAlign w:val="center"/>
          </w:tcPr>
          <w:p w14:paraId="0355B2E9" w14:textId="77777777" w:rsidR="0069230D" w:rsidRPr="00FC7A0B" w:rsidRDefault="0069230D" w:rsidP="0069230D">
            <w:pPr>
              <w:jc w:val="center"/>
              <w:rPr>
                <w:rFonts w:ascii="Calibri" w:hAnsi="Calibri" w:cstheme="minorHAnsi"/>
                <w:color w:val="404040" w:themeColor="text1" w:themeTint="BF"/>
                <w:sz w:val="18"/>
                <w:szCs w:val="18"/>
              </w:rPr>
            </w:pPr>
            <w:r w:rsidRPr="00FC7A0B">
              <w:rPr>
                <w:rFonts w:ascii="Calibri" w:hAnsi="Calibri" w:cstheme="minorHAnsi"/>
                <w:color w:val="000000" w:themeColor="text1"/>
                <w:sz w:val="18"/>
                <w:szCs w:val="18"/>
              </w:rPr>
              <w:t>…</w:t>
            </w:r>
          </w:p>
        </w:tc>
        <w:tc>
          <w:tcPr>
            <w:tcW w:w="1108" w:type="dxa"/>
            <w:vAlign w:val="center"/>
          </w:tcPr>
          <w:p w14:paraId="09BD4DF8" w14:textId="77777777" w:rsidR="0069230D" w:rsidRPr="00FC7A0B" w:rsidRDefault="0069230D" w:rsidP="0069230D">
            <w:pPr>
              <w:jc w:val="center"/>
              <w:rPr>
                <w:rFonts w:ascii="Calibri" w:hAnsi="Calibri" w:cstheme="minorHAnsi"/>
                <w:color w:val="404040" w:themeColor="text1" w:themeTint="BF"/>
                <w:sz w:val="18"/>
                <w:szCs w:val="18"/>
              </w:rPr>
            </w:pPr>
            <w:r w:rsidRPr="00FC7A0B">
              <w:rPr>
                <w:rFonts w:ascii="Calibri" w:hAnsi="Calibri" w:cstheme="minorHAnsi"/>
                <w:color w:val="000000" w:themeColor="text1"/>
                <w:sz w:val="18"/>
                <w:szCs w:val="18"/>
              </w:rPr>
              <w:t>…</w:t>
            </w:r>
          </w:p>
        </w:tc>
      </w:tr>
      <w:tr w:rsidR="0069230D" w:rsidRPr="004528C3" w14:paraId="59056478" w14:textId="77777777" w:rsidTr="0069230D">
        <w:trPr>
          <w:jc w:val="center"/>
        </w:trPr>
        <w:tc>
          <w:tcPr>
            <w:tcW w:w="1619" w:type="dxa"/>
            <w:shd w:val="clear" w:color="auto" w:fill="D9D9D9" w:themeFill="background1" w:themeFillShade="D9"/>
          </w:tcPr>
          <w:p w14:paraId="3D4653B0" w14:textId="77777777" w:rsidR="0069230D" w:rsidRPr="006E7867" w:rsidRDefault="0069230D" w:rsidP="0069230D">
            <w:pPr>
              <w:rPr>
                <w:rFonts w:ascii="Calibri" w:hAnsi="Calibri" w:cstheme="minorHAnsi"/>
                <w:color w:val="404040" w:themeColor="text1" w:themeTint="BF"/>
                <w:sz w:val="18"/>
                <w:szCs w:val="18"/>
              </w:rPr>
            </w:pPr>
            <w:r w:rsidRPr="006E7867">
              <w:rPr>
                <w:rFonts w:ascii="Calibri" w:hAnsi="Calibri" w:cstheme="minorHAnsi"/>
                <w:color w:val="404040" w:themeColor="text1" w:themeTint="BF"/>
                <w:sz w:val="18"/>
                <w:szCs w:val="18"/>
              </w:rPr>
              <w:t>Overall (across all levels of courts)</w:t>
            </w:r>
          </w:p>
        </w:tc>
        <w:tc>
          <w:tcPr>
            <w:tcW w:w="784" w:type="dxa"/>
            <w:shd w:val="clear" w:color="auto" w:fill="D9D9D9" w:themeFill="background1" w:themeFillShade="D9"/>
            <w:vAlign w:val="center"/>
          </w:tcPr>
          <w:p w14:paraId="4E054C05" w14:textId="77777777" w:rsidR="0069230D" w:rsidRPr="006E7867" w:rsidRDefault="0069230D" w:rsidP="0069230D">
            <w:pPr>
              <w:jc w:val="center"/>
              <w:rPr>
                <w:rFonts w:ascii="Calibri" w:hAnsi="Calibri" w:cstheme="minorHAnsi"/>
                <w:color w:val="404040" w:themeColor="text1" w:themeTint="BF"/>
                <w:sz w:val="18"/>
                <w:szCs w:val="18"/>
              </w:rPr>
            </w:pPr>
            <w:r w:rsidRPr="006E7867">
              <w:rPr>
                <w:rFonts w:ascii="Calibri" w:hAnsi="Calibri" w:cstheme="minorHAnsi"/>
                <w:color w:val="000000" w:themeColor="text1"/>
                <w:sz w:val="18"/>
                <w:szCs w:val="18"/>
              </w:rPr>
              <w:t>…</w:t>
            </w:r>
          </w:p>
        </w:tc>
        <w:tc>
          <w:tcPr>
            <w:tcW w:w="1039" w:type="dxa"/>
            <w:shd w:val="clear" w:color="auto" w:fill="D9D9D9" w:themeFill="background1" w:themeFillShade="D9"/>
            <w:vAlign w:val="center"/>
          </w:tcPr>
          <w:p w14:paraId="3C4247CA" w14:textId="77777777" w:rsidR="0069230D" w:rsidRPr="006E7867" w:rsidRDefault="0069230D" w:rsidP="0069230D">
            <w:pPr>
              <w:jc w:val="center"/>
              <w:rPr>
                <w:rFonts w:ascii="Calibri" w:hAnsi="Calibri" w:cstheme="minorHAnsi"/>
                <w:color w:val="404040" w:themeColor="text1" w:themeTint="BF"/>
                <w:sz w:val="18"/>
                <w:szCs w:val="18"/>
              </w:rPr>
            </w:pPr>
            <w:r w:rsidRPr="006E7867">
              <w:rPr>
                <w:rFonts w:ascii="Calibri" w:hAnsi="Calibri" w:cstheme="minorHAnsi"/>
                <w:color w:val="000000" w:themeColor="text1"/>
                <w:sz w:val="18"/>
                <w:szCs w:val="18"/>
              </w:rPr>
              <w:t>…</w:t>
            </w:r>
          </w:p>
        </w:tc>
        <w:tc>
          <w:tcPr>
            <w:tcW w:w="837" w:type="dxa"/>
            <w:shd w:val="clear" w:color="auto" w:fill="D9D9D9" w:themeFill="background1" w:themeFillShade="D9"/>
            <w:vAlign w:val="center"/>
          </w:tcPr>
          <w:p w14:paraId="55C8E068" w14:textId="77777777" w:rsidR="0069230D" w:rsidRPr="006E7867" w:rsidRDefault="0069230D" w:rsidP="0069230D">
            <w:pPr>
              <w:jc w:val="center"/>
              <w:rPr>
                <w:rFonts w:ascii="Calibri" w:hAnsi="Calibri" w:cstheme="minorHAnsi"/>
                <w:color w:val="404040" w:themeColor="text1" w:themeTint="BF"/>
                <w:sz w:val="18"/>
                <w:szCs w:val="18"/>
              </w:rPr>
            </w:pPr>
            <w:r w:rsidRPr="006E7867">
              <w:rPr>
                <w:rFonts w:ascii="Calibri" w:hAnsi="Calibri" w:cstheme="minorHAnsi"/>
                <w:color w:val="000000" w:themeColor="text1"/>
                <w:sz w:val="18"/>
                <w:szCs w:val="18"/>
              </w:rPr>
              <w:t>…</w:t>
            </w:r>
          </w:p>
        </w:tc>
        <w:tc>
          <w:tcPr>
            <w:tcW w:w="1038" w:type="dxa"/>
            <w:shd w:val="clear" w:color="auto" w:fill="D9D9D9" w:themeFill="background1" w:themeFillShade="D9"/>
            <w:vAlign w:val="center"/>
          </w:tcPr>
          <w:p w14:paraId="1655CF53" w14:textId="77777777" w:rsidR="0069230D" w:rsidRPr="006E7867" w:rsidRDefault="0069230D" w:rsidP="0069230D">
            <w:pPr>
              <w:jc w:val="center"/>
              <w:rPr>
                <w:rFonts w:ascii="Calibri" w:hAnsi="Calibri" w:cstheme="minorHAnsi"/>
                <w:color w:val="404040" w:themeColor="text1" w:themeTint="BF"/>
                <w:sz w:val="18"/>
                <w:szCs w:val="18"/>
              </w:rPr>
            </w:pPr>
            <w:r w:rsidRPr="006E7867">
              <w:rPr>
                <w:rFonts w:ascii="Calibri" w:hAnsi="Calibri" w:cstheme="minorHAnsi"/>
                <w:color w:val="000000" w:themeColor="text1"/>
                <w:sz w:val="18"/>
                <w:szCs w:val="18"/>
              </w:rPr>
              <w:t>…</w:t>
            </w:r>
          </w:p>
        </w:tc>
        <w:tc>
          <w:tcPr>
            <w:tcW w:w="2049" w:type="dxa"/>
            <w:gridSpan w:val="2"/>
            <w:shd w:val="clear" w:color="auto" w:fill="D9D9D9" w:themeFill="background1" w:themeFillShade="D9"/>
            <w:vAlign w:val="center"/>
          </w:tcPr>
          <w:p w14:paraId="74FF58F3" w14:textId="77777777" w:rsidR="0069230D" w:rsidRPr="006E7867" w:rsidRDefault="0069230D" w:rsidP="0069230D">
            <w:pPr>
              <w:jc w:val="center"/>
              <w:rPr>
                <w:rFonts w:ascii="Calibri" w:hAnsi="Calibri" w:cstheme="minorHAnsi"/>
                <w:color w:val="404040" w:themeColor="text1" w:themeTint="BF"/>
                <w:sz w:val="18"/>
                <w:szCs w:val="18"/>
              </w:rPr>
            </w:pPr>
            <w:r w:rsidRPr="006E7867">
              <w:rPr>
                <w:rFonts w:ascii="Calibri" w:hAnsi="Calibri" w:cstheme="minorHAnsi"/>
                <w:color w:val="000000" w:themeColor="text1"/>
                <w:sz w:val="18"/>
                <w:szCs w:val="18"/>
              </w:rPr>
              <w:t>…</w:t>
            </w:r>
          </w:p>
        </w:tc>
        <w:tc>
          <w:tcPr>
            <w:tcW w:w="993" w:type="dxa"/>
            <w:shd w:val="clear" w:color="auto" w:fill="D9D9D9" w:themeFill="background1" w:themeFillShade="D9"/>
            <w:vAlign w:val="center"/>
          </w:tcPr>
          <w:p w14:paraId="03044C28" w14:textId="77777777" w:rsidR="0069230D" w:rsidRPr="006E7867" w:rsidRDefault="0069230D" w:rsidP="0069230D">
            <w:pPr>
              <w:jc w:val="center"/>
              <w:rPr>
                <w:rFonts w:ascii="Calibri" w:hAnsi="Calibri" w:cstheme="minorHAnsi"/>
                <w:color w:val="404040" w:themeColor="text1" w:themeTint="BF"/>
                <w:sz w:val="18"/>
                <w:szCs w:val="18"/>
              </w:rPr>
            </w:pPr>
            <w:r w:rsidRPr="006E7867">
              <w:rPr>
                <w:rFonts w:ascii="Calibri" w:hAnsi="Calibri" w:cstheme="minorHAnsi"/>
                <w:color w:val="000000" w:themeColor="text1"/>
                <w:sz w:val="18"/>
                <w:szCs w:val="18"/>
              </w:rPr>
              <w:t>…</w:t>
            </w:r>
          </w:p>
        </w:tc>
        <w:tc>
          <w:tcPr>
            <w:tcW w:w="735" w:type="dxa"/>
            <w:shd w:val="clear" w:color="auto" w:fill="D9D9D9" w:themeFill="background1" w:themeFillShade="D9"/>
            <w:vAlign w:val="center"/>
          </w:tcPr>
          <w:p w14:paraId="56EA40F8" w14:textId="77777777" w:rsidR="0069230D" w:rsidRPr="006E7867" w:rsidRDefault="0069230D" w:rsidP="0069230D">
            <w:pPr>
              <w:jc w:val="center"/>
              <w:rPr>
                <w:rFonts w:ascii="Calibri" w:hAnsi="Calibri" w:cstheme="minorHAnsi"/>
                <w:color w:val="404040" w:themeColor="text1" w:themeTint="BF"/>
                <w:sz w:val="18"/>
                <w:szCs w:val="18"/>
              </w:rPr>
            </w:pPr>
            <w:r w:rsidRPr="006E7867">
              <w:rPr>
                <w:rFonts w:ascii="Calibri" w:hAnsi="Calibri" w:cstheme="minorHAnsi"/>
                <w:color w:val="000000" w:themeColor="text1"/>
                <w:sz w:val="18"/>
                <w:szCs w:val="18"/>
              </w:rPr>
              <w:t>…</w:t>
            </w:r>
          </w:p>
        </w:tc>
        <w:tc>
          <w:tcPr>
            <w:tcW w:w="1108" w:type="dxa"/>
            <w:shd w:val="clear" w:color="auto" w:fill="D9D9D9" w:themeFill="background1" w:themeFillShade="D9"/>
            <w:vAlign w:val="center"/>
          </w:tcPr>
          <w:p w14:paraId="73CB4AE7" w14:textId="77777777" w:rsidR="0069230D" w:rsidRPr="006E7867" w:rsidRDefault="0069230D" w:rsidP="0069230D">
            <w:pPr>
              <w:jc w:val="center"/>
              <w:rPr>
                <w:rFonts w:ascii="Calibri" w:hAnsi="Calibri" w:cstheme="minorHAnsi"/>
                <w:color w:val="404040" w:themeColor="text1" w:themeTint="BF"/>
                <w:sz w:val="18"/>
                <w:szCs w:val="18"/>
              </w:rPr>
            </w:pPr>
            <w:r w:rsidRPr="006E7867">
              <w:rPr>
                <w:rFonts w:ascii="Calibri" w:hAnsi="Calibri" w:cstheme="minorHAnsi"/>
                <w:color w:val="000000" w:themeColor="text1"/>
                <w:sz w:val="18"/>
                <w:szCs w:val="18"/>
              </w:rPr>
              <w:t>…</w:t>
            </w:r>
          </w:p>
        </w:tc>
      </w:tr>
    </w:tbl>
    <w:p w14:paraId="3EEC46CE" w14:textId="77777777" w:rsidR="0069230D" w:rsidRDefault="0069230D" w:rsidP="0069230D">
      <w:pPr>
        <w:shd w:val="clear" w:color="auto" w:fill="FFFFFF"/>
        <w:spacing w:after="0"/>
        <w:contextualSpacing/>
        <w:jc w:val="both"/>
        <w:rPr>
          <w:rFonts w:cstheme="minorHAnsi"/>
          <w:bCs/>
          <w:color w:val="404040" w:themeColor="text1" w:themeTint="BF"/>
          <w:sz w:val="21"/>
          <w:szCs w:val="21"/>
          <w:lang w:eastAsia="en-GB"/>
        </w:rPr>
      </w:pPr>
    </w:p>
    <w:p w14:paraId="0965264E" w14:textId="77777777" w:rsidR="0069230D" w:rsidRPr="00FC7A0B" w:rsidRDefault="0069230D" w:rsidP="0069230D">
      <w:pPr>
        <w:shd w:val="clear" w:color="auto" w:fill="FFFFFF"/>
        <w:rPr>
          <w:rFonts w:ascii="Calibri" w:hAnsi="Calibri" w:cs="Calibri"/>
          <w:color w:val="404040" w:themeColor="text1" w:themeTint="BF"/>
          <w:sz w:val="24"/>
          <w:szCs w:val="24"/>
          <w:lang w:eastAsia="en-GB"/>
        </w:rPr>
      </w:pPr>
      <w:r w:rsidRPr="00FC7A0B">
        <w:rPr>
          <w:rFonts w:ascii="Calibri" w:hAnsi="Calibri" w:cs="Calibri"/>
          <w:b/>
          <w:bCs/>
          <w:color w:val="404040" w:themeColor="text1" w:themeTint="BF"/>
          <w:sz w:val="24"/>
          <w:szCs w:val="24"/>
          <w:lang w:eastAsia="en-GB"/>
        </w:rPr>
        <w:t>Prioritization:</w:t>
      </w:r>
    </w:p>
    <w:p w14:paraId="087B2D2B" w14:textId="77777777" w:rsidR="0069230D" w:rsidRPr="00FC7A0B" w:rsidRDefault="0069230D" w:rsidP="00FA4517">
      <w:pPr>
        <w:shd w:val="clear" w:color="auto" w:fill="FFFFFF"/>
        <w:spacing w:after="0"/>
        <w:jc w:val="both"/>
        <w:rPr>
          <w:rFonts w:ascii="Calibri" w:hAnsi="Calibri" w:cs="Calibri"/>
          <w:bCs/>
          <w:color w:val="404040" w:themeColor="text1" w:themeTint="BF"/>
          <w:sz w:val="21"/>
          <w:szCs w:val="21"/>
          <w:lang w:eastAsia="en-GB"/>
        </w:rPr>
      </w:pPr>
      <w:r w:rsidRPr="00FC7A0B">
        <w:rPr>
          <w:rFonts w:ascii="Calibri" w:hAnsi="Calibri" w:cs="Calibri"/>
          <w:bCs/>
          <w:color w:val="404040" w:themeColor="text1" w:themeTint="BF"/>
          <w:sz w:val="21"/>
          <w:szCs w:val="21"/>
          <w:lang w:eastAsia="en-GB"/>
        </w:rPr>
        <w:lastRenderedPageBreak/>
        <w:t xml:space="preserve">Countries are expected to fill out the above table to the best of their ability, and to report as many representation ratios as possible, for </w:t>
      </w:r>
      <w:r w:rsidRPr="00FC7A0B">
        <w:rPr>
          <w:rFonts w:cstheme="minorHAnsi"/>
          <w:color w:val="404040" w:themeColor="text1" w:themeTint="BF"/>
          <w:sz w:val="21"/>
          <w:szCs w:val="21"/>
        </w:rPr>
        <w:t>women, ‘youth’, persons with a disability, and specific population groups</w:t>
      </w:r>
      <w:r w:rsidRPr="00FC7A0B">
        <w:rPr>
          <w:rFonts w:ascii="Calibri" w:hAnsi="Calibri" w:cs="Calibri"/>
          <w:bCs/>
          <w:color w:val="404040" w:themeColor="text1" w:themeTint="BF"/>
          <w:sz w:val="21"/>
          <w:szCs w:val="21"/>
          <w:lang w:eastAsia="en-GB"/>
        </w:rPr>
        <w:t xml:space="preserve">, across all </w:t>
      </w:r>
      <w:r>
        <w:rPr>
          <w:rFonts w:ascii="Calibri" w:hAnsi="Calibri" w:cs="Calibri"/>
          <w:bCs/>
          <w:color w:val="404040" w:themeColor="text1" w:themeTint="BF"/>
          <w:sz w:val="21"/>
          <w:szCs w:val="21"/>
          <w:lang w:eastAsia="en-GB"/>
        </w:rPr>
        <w:t>position types and court levels</w:t>
      </w:r>
      <w:r w:rsidRPr="00FC7A0B">
        <w:rPr>
          <w:rFonts w:ascii="Calibri" w:hAnsi="Calibri" w:cs="Calibri"/>
          <w:bCs/>
          <w:color w:val="404040" w:themeColor="text1" w:themeTint="BF"/>
          <w:sz w:val="21"/>
          <w:szCs w:val="21"/>
          <w:lang w:eastAsia="en-GB"/>
        </w:rPr>
        <w:t>. Meanwhile, global reporting on indicator 16.7.1(c) will focus on the ratios calculated across all levels of courts (i.e. the bottom row in the above table).</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0025F830" w14:textId="66756CB0" w:rsidR="00F719A8" w:rsidRPr="00A96255" w:rsidRDefault="002155FE" w:rsidP="00576CFA">
      <w:pPr>
        <w:pStyle w:val="MText"/>
      </w:pPr>
      <w:bookmarkStart w:id="5" w:name="_Hlk68176313"/>
      <w:r w:rsidRPr="00FA4517">
        <w:t xml:space="preserve">The countries are requested to input the indicator in a reporting platform that provides separate fields for the metadata and statistics. </w:t>
      </w:r>
      <w:r w:rsidRPr="00FA4517">
        <w:rPr>
          <w:lang w:val="en-US"/>
        </w:rPr>
        <w:t>By providing the metadata and statistics the custodian can identify possible inconsistencies and have further consultation with the national partner to validate the statistics provided. The fields used to comprehend/verify and validate refer to: the primary source of information; the levels of courts and positions; information and sources of disaggregation on sex, age and disability. Additionally, the reporting platform requests any additional methodological deviation that might exist between the collected statistics and the recommendations provided in the metadata. In addition to the metadata the countries are requested to input the aggregated and disaggregated data across sex, age group, disability status and nationally relevant populations groups.</w:t>
      </w:r>
      <w:bookmarkEnd w:id="5"/>
    </w:p>
    <w:p w14:paraId="2CF2A343" w14:textId="0A7F0CBE" w:rsidR="00E1050F" w:rsidRPr="00A96255" w:rsidRDefault="00E1050F" w:rsidP="00F719A8">
      <w:pPr>
        <w:pStyle w:val="MHeader2"/>
      </w:pPr>
      <w:r w:rsidRPr="00A96255">
        <w:t>4.e. Adjustments</w:t>
      </w:r>
    </w:p>
    <w:p w14:paraId="5032CC5E" w14:textId="4F400872" w:rsidR="00576CFA" w:rsidRPr="00A96255" w:rsidRDefault="002155FE" w:rsidP="00576CFA">
      <w:pPr>
        <w:pStyle w:val="MText"/>
      </w:pPr>
      <w:r>
        <w:t>Not applicable.</w:t>
      </w:r>
    </w:p>
    <w:p w14:paraId="7FBAEBBA" w14:textId="77777777" w:rsidR="00EC2915" w:rsidRPr="00A96255" w:rsidRDefault="00EC2915" w:rsidP="00576CFA">
      <w:pPr>
        <w:pStyle w:val="MText"/>
      </w:pPr>
    </w:p>
    <w:p w14:paraId="67043C18" w14:textId="252B0ACD" w:rsidR="00D51E7C" w:rsidRDefault="00576CFA" w:rsidP="00A62497">
      <w:pPr>
        <w:pStyle w:val="MHeader2"/>
      </w:pPr>
      <w:r w:rsidRPr="00A96255">
        <w:t>4.f. Treatment of missing values (i) at country le</w:t>
      </w:r>
      <w:r w:rsidR="00E1050F" w:rsidRPr="00A96255">
        <w:t>vel and (ii) at regional level</w:t>
      </w:r>
    </w:p>
    <w:p w14:paraId="58DCB865" w14:textId="7B9E1D99" w:rsidR="00D51E7C" w:rsidRPr="00A62497" w:rsidRDefault="00D51E7C" w:rsidP="00D51E7C">
      <w:pPr>
        <w:pStyle w:val="MText"/>
      </w:pPr>
      <w:r w:rsidRPr="00A62497">
        <w:t>•</w:t>
      </w:r>
      <w:r w:rsidRPr="00A62497">
        <w:tab/>
        <w:t>At country level</w:t>
      </w:r>
    </w:p>
    <w:p w14:paraId="7BE27129" w14:textId="66725E05" w:rsidR="0069230D" w:rsidRPr="00C019E5" w:rsidRDefault="0069230D" w:rsidP="00D51E7C">
      <w:pPr>
        <w:pStyle w:val="MText"/>
        <w:rPr>
          <w:highlight w:val="cyan"/>
        </w:rPr>
      </w:pPr>
      <w:r w:rsidRPr="0069230D">
        <w:t>-</w:t>
      </w:r>
      <w:r w:rsidRPr="0069230D">
        <w:tab/>
        <w:t>There is no treatment of missing values.</w:t>
      </w:r>
    </w:p>
    <w:p w14:paraId="1B6182A5" w14:textId="54983DC5" w:rsidR="00D51E7C" w:rsidRPr="00C019E5" w:rsidRDefault="00D51E7C" w:rsidP="00D51E7C">
      <w:pPr>
        <w:pStyle w:val="MText"/>
        <w:rPr>
          <w:highlight w:val="cyan"/>
        </w:rPr>
      </w:pPr>
    </w:p>
    <w:p w14:paraId="06DDC253" w14:textId="77777777" w:rsidR="00D51E7C" w:rsidRDefault="00D51E7C" w:rsidP="00D51E7C">
      <w:pPr>
        <w:pStyle w:val="MText"/>
      </w:pPr>
      <w:r w:rsidRPr="00A62497">
        <w:t>•</w:t>
      </w:r>
      <w:r w:rsidRPr="00A62497">
        <w:tab/>
        <w:t>At regional and global levels</w:t>
      </w:r>
    </w:p>
    <w:p w14:paraId="04748E1F" w14:textId="56260975" w:rsidR="00D51E7C" w:rsidRDefault="0069230D" w:rsidP="00D51E7C">
      <w:pPr>
        <w:pStyle w:val="MText"/>
      </w:pPr>
      <w:r w:rsidRPr="0069230D">
        <w:t>-</w:t>
      </w:r>
      <w:r w:rsidRPr="0069230D">
        <w:tab/>
        <w:t>At regional and global levels: There is no imputation of missing values.</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38ACD310" w14:textId="77777777" w:rsidR="0069230D" w:rsidRPr="00B56BE4" w:rsidRDefault="0069230D" w:rsidP="0069230D">
      <w:pPr>
        <w:shd w:val="clear" w:color="auto" w:fill="FFFFFF"/>
        <w:spacing w:after="0"/>
        <w:jc w:val="both"/>
        <w:rPr>
          <w:rFonts w:ascii="Calibri" w:hAnsi="Calibri" w:cs="Calibri"/>
          <w:i/>
          <w:color w:val="404040" w:themeColor="text1" w:themeTint="BF"/>
          <w:sz w:val="21"/>
          <w:szCs w:val="21"/>
          <w:lang w:eastAsia="en-GB"/>
        </w:rPr>
      </w:pPr>
      <w:r w:rsidRPr="00B56BE4">
        <w:rPr>
          <w:rFonts w:ascii="Calibri" w:hAnsi="Calibri" w:cs="Calibri"/>
          <w:color w:val="404040" w:themeColor="text1" w:themeTint="BF"/>
          <w:sz w:val="21"/>
          <w:szCs w:val="21"/>
          <w:lang w:eastAsia="en-GB"/>
        </w:rPr>
        <w:t xml:space="preserve">The simple average of each one of the </w:t>
      </w:r>
      <w:r>
        <w:rPr>
          <w:rFonts w:ascii="Calibri" w:hAnsi="Calibri" w:cs="Calibri"/>
          <w:color w:val="404040" w:themeColor="text1" w:themeTint="BF"/>
          <w:sz w:val="21"/>
          <w:szCs w:val="21"/>
          <w:lang w:eastAsia="en-GB"/>
        </w:rPr>
        <w:t>priority</w:t>
      </w:r>
      <w:r w:rsidRPr="00B56BE4">
        <w:rPr>
          <w:rFonts w:ascii="Calibri" w:hAnsi="Calibri" w:cs="Calibri"/>
          <w:color w:val="404040" w:themeColor="text1" w:themeTint="BF"/>
          <w:sz w:val="21"/>
          <w:szCs w:val="21"/>
          <w:lang w:eastAsia="en-GB"/>
        </w:rPr>
        <w:t xml:space="preserve"> ratios will be provided for each region, and globally.</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7F4083FB" w14:textId="77777777" w:rsidR="0033038F" w:rsidRPr="00FA4517" w:rsidRDefault="0033038F" w:rsidP="0033038F">
      <w:pPr>
        <w:pStyle w:val="MText"/>
        <w:rPr>
          <w:b/>
          <w:bCs/>
        </w:rPr>
      </w:pPr>
      <w:bookmarkStart w:id="6" w:name="_Hlk68516580"/>
      <w:r w:rsidRPr="00FA4517">
        <w:rPr>
          <w:b/>
          <w:bCs/>
        </w:rPr>
        <w:t>Methods and guidance available to countries for the compilation of data at national level:</w:t>
      </w:r>
      <w:r w:rsidRPr="00FA4517">
        <w:tab/>
      </w:r>
    </w:p>
    <w:p w14:paraId="69141DD5" w14:textId="26D82C8F" w:rsidR="0033038F" w:rsidRPr="00FA4517" w:rsidRDefault="0033038F" w:rsidP="0033038F">
      <w:pPr>
        <w:pStyle w:val="MText"/>
      </w:pPr>
      <w:r w:rsidRPr="00FA4517">
        <w:t xml:space="preserve">To disaggregate survey results by disability status, it is recommended that countries use the </w:t>
      </w:r>
      <w:hyperlink r:id="rId12" w:history="1">
        <w:r w:rsidRPr="00FA4517">
          <w:rPr>
            <w:rStyle w:val="Hyperlink"/>
          </w:rPr>
          <w:t>Short Set of Questions on</w:t>
        </w:r>
        <w:r w:rsidRPr="00FA4517">
          <w:rPr>
            <w:rStyle w:val="Hyperlink"/>
            <w:b/>
          </w:rPr>
          <w:t xml:space="preserve"> </w:t>
        </w:r>
        <w:r w:rsidRPr="00FA4517">
          <w:rPr>
            <w:rStyle w:val="Hyperlink"/>
          </w:rPr>
          <w:t>Disability</w:t>
        </w:r>
        <w:r w:rsidRPr="00FA4517">
          <w:rPr>
            <w:rStyle w:val="Hyperlink"/>
            <w:b/>
          </w:rPr>
          <w:t xml:space="preserve"> </w:t>
        </w:r>
        <w:r w:rsidRPr="00FA4517">
          <w:rPr>
            <w:rStyle w:val="Hyperlink"/>
          </w:rPr>
          <w:t>elaborated by the Washington Group</w:t>
        </w:r>
      </w:hyperlink>
      <w:r w:rsidRPr="00FA4517">
        <w:rPr>
          <w:u w:val="single"/>
        </w:rPr>
        <w:t>.</w:t>
      </w:r>
      <w:r w:rsidRPr="00FA4517">
        <w:t xml:space="preserve"> </w:t>
      </w:r>
    </w:p>
    <w:p w14:paraId="4E322D3C" w14:textId="33C6B28C" w:rsidR="0033038F" w:rsidRPr="00FA4517" w:rsidRDefault="0033038F" w:rsidP="0033038F">
      <w:pPr>
        <w:pStyle w:val="MText"/>
      </w:pPr>
    </w:p>
    <w:p w14:paraId="68BC642C" w14:textId="4BD5EB69" w:rsidR="0033038F" w:rsidRDefault="0033038F" w:rsidP="0033038F">
      <w:pPr>
        <w:pStyle w:val="MText"/>
      </w:pPr>
      <w:r w:rsidRPr="00FA4517">
        <w:t xml:space="preserve">To create administrative data collection protocols, it is recommended to use </w:t>
      </w:r>
      <w:hyperlink r:id="rId13" w:history="1">
        <w:r w:rsidRPr="00266013">
          <w:rPr>
            <w:rStyle w:val="Hyperlink"/>
          </w:rPr>
          <w:t>Manual for the Development of A System of Criminal Justice Statistics</w:t>
        </w:r>
      </w:hyperlink>
    </w:p>
    <w:p w14:paraId="68B4EC4A" w14:textId="2742FD80" w:rsidR="0033038F" w:rsidRDefault="0033038F" w:rsidP="0033038F">
      <w:pPr>
        <w:pStyle w:val="MText"/>
      </w:pPr>
    </w:p>
    <w:p w14:paraId="5003EB0B" w14:textId="2721755F" w:rsidR="0033038F" w:rsidRPr="0033038F" w:rsidRDefault="0033038F" w:rsidP="0033038F">
      <w:pPr>
        <w:pStyle w:val="MText"/>
        <w:rPr>
          <w:highlight w:val="yellow"/>
          <w:lang w:val="en-CA"/>
        </w:rPr>
      </w:pPr>
      <w:r>
        <w:t xml:space="preserve">To integrate gender statistics, it is recommended to use </w:t>
      </w:r>
      <w:hyperlink r:id="rId14" w:history="1">
        <w:r w:rsidRPr="0033038F">
          <w:rPr>
            <w:rStyle w:val="Hyperlink"/>
          </w:rPr>
          <w:t>Integrating a Gender Perspective into Statistics</w:t>
        </w:r>
      </w:hyperlink>
    </w:p>
    <w:bookmarkEnd w:id="6"/>
    <w:p w14:paraId="36A566AF" w14:textId="77777777" w:rsidR="0033038F" w:rsidRPr="00A96255" w:rsidRDefault="0033038F" w:rsidP="0033038F">
      <w:pPr>
        <w:pStyle w:val="MText"/>
      </w:pPr>
      <w:r>
        <w:t xml:space="preserve">Further guidance can be found in the reporting platform that provides additional information in the requested fields. </w:t>
      </w:r>
    </w:p>
    <w:p w14:paraId="0E6AEA26" w14:textId="77777777" w:rsidR="0033038F" w:rsidRPr="00A96255" w:rsidRDefault="0033038F" w:rsidP="00576CFA">
      <w:pPr>
        <w:pStyle w:val="MText"/>
      </w:pP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lastRenderedPageBreak/>
        <w:t xml:space="preserve">4.i. </w:t>
      </w:r>
      <w:r w:rsidR="00E1050F" w:rsidRPr="00A96255">
        <w:t>Quality management</w:t>
      </w:r>
    </w:p>
    <w:p w14:paraId="5484B16D" w14:textId="2F352835" w:rsidR="00EC2915" w:rsidRDefault="002155FE" w:rsidP="00576CFA">
      <w:pPr>
        <w:pStyle w:val="MText"/>
      </w:pPr>
      <w:r w:rsidRPr="00FA4517">
        <w:t>Statistics for this indicator is inputted in the reporting platform (</w:t>
      </w:r>
      <w:hyperlink r:id="rId15" w:history="1">
        <w:r w:rsidRPr="00FA4517">
          <w:rPr>
            <w:rStyle w:val="Hyperlink"/>
          </w:rPr>
          <w:t>https://sdg16reporting.undp.org/login</w:t>
        </w:r>
      </w:hyperlink>
      <w:r w:rsidRPr="00FA4517">
        <w:t>). UNDP has dedicated staff to verify the collected data and liaise with the data officers in the agency in the countries.</w:t>
      </w:r>
    </w:p>
    <w:p w14:paraId="25545365" w14:textId="77777777" w:rsidR="00973340" w:rsidRPr="00A96255" w:rsidRDefault="00973340" w:rsidP="00576CFA">
      <w:pPr>
        <w:pStyle w:val="MText"/>
      </w:pPr>
    </w:p>
    <w:p w14:paraId="17B979CA" w14:textId="449C0153" w:rsidR="00E1050F" w:rsidRPr="00A96255" w:rsidRDefault="00E1050F" w:rsidP="00F719A8">
      <w:pPr>
        <w:pStyle w:val="MHeader2"/>
      </w:pPr>
      <w:r w:rsidRPr="00A96255">
        <w:t>4.j Quality assurance</w:t>
      </w:r>
    </w:p>
    <w:p w14:paraId="5EEF90D9" w14:textId="77777777" w:rsidR="0069230D" w:rsidRPr="00FB19B5" w:rsidRDefault="0069230D" w:rsidP="0069230D">
      <w:pPr>
        <w:shd w:val="clear" w:color="auto" w:fill="FFFFFF"/>
        <w:spacing w:after="0"/>
        <w:jc w:val="both"/>
        <w:rPr>
          <w:rFonts w:cstheme="minorHAnsi"/>
          <w:color w:val="404040" w:themeColor="text1" w:themeTint="BF"/>
          <w:sz w:val="21"/>
          <w:szCs w:val="21"/>
        </w:rPr>
      </w:pPr>
      <w:r w:rsidRPr="00FB19B5">
        <w:rPr>
          <w:rFonts w:cstheme="minorHAnsi"/>
          <w:color w:val="404040" w:themeColor="text1" w:themeTint="BF"/>
          <w:sz w:val="21"/>
          <w:szCs w:val="21"/>
        </w:rPr>
        <w:t>It is recommended that NSOs serve as the main contact for reporting the necessary data on 16.7.1</w:t>
      </w:r>
      <w:r>
        <w:rPr>
          <w:rFonts w:cstheme="minorHAnsi"/>
          <w:color w:val="404040" w:themeColor="text1" w:themeTint="BF"/>
          <w:sz w:val="21"/>
          <w:szCs w:val="21"/>
        </w:rPr>
        <w:t>(</w:t>
      </w:r>
      <w:r w:rsidRPr="00FB19B5">
        <w:rPr>
          <w:rFonts w:cstheme="minorHAnsi"/>
          <w:color w:val="404040" w:themeColor="text1" w:themeTint="BF"/>
          <w:sz w:val="21"/>
          <w:szCs w:val="21"/>
        </w:rPr>
        <w:t>c</w:t>
      </w:r>
      <w:r>
        <w:rPr>
          <w:rFonts w:cstheme="minorHAnsi"/>
          <w:color w:val="404040" w:themeColor="text1" w:themeTint="BF"/>
          <w:sz w:val="21"/>
          <w:szCs w:val="21"/>
        </w:rPr>
        <w:t>)</w:t>
      </w:r>
      <w:r w:rsidRPr="00FB19B5">
        <w:rPr>
          <w:rFonts w:cstheme="minorHAnsi"/>
          <w:color w:val="404040" w:themeColor="text1" w:themeTint="BF"/>
          <w:sz w:val="21"/>
          <w:szCs w:val="21"/>
        </w:rPr>
        <w:t>, in close coordination with relevant judicial bodies in the country</w:t>
      </w:r>
      <w:r>
        <w:rPr>
          <w:rFonts w:cstheme="minorHAnsi"/>
          <w:color w:val="404040" w:themeColor="text1" w:themeTint="BF"/>
          <w:sz w:val="21"/>
          <w:szCs w:val="21"/>
        </w:rPr>
        <w:t xml:space="preserve"> such as the judicial services commission or the Ministry of Justice</w:t>
      </w:r>
      <w:r w:rsidRPr="00FB19B5">
        <w:rPr>
          <w:rFonts w:cstheme="minorHAnsi"/>
          <w:color w:val="404040" w:themeColor="text1" w:themeTint="BF"/>
          <w:sz w:val="21"/>
          <w:szCs w:val="21"/>
        </w:rPr>
        <w:t>. This is to leverage and further consolidate the important quality assurance role played by NSOs in reviewing and ‘vetting’ data produced by other parts of the national statistical system. It has been shown that official data sourced from NSOs tend to have more influence over policy analysis and decision-making at the national level compared to other sources that have not gone through the appropriate vetting and quality assurance processes managed by NSOs.</w:t>
      </w:r>
      <w:r w:rsidRPr="00FB19B5">
        <w:rPr>
          <w:rStyle w:val="FootnoteReference"/>
          <w:rFonts w:cstheme="minorHAnsi"/>
          <w:color w:val="404040" w:themeColor="text1" w:themeTint="BF"/>
          <w:sz w:val="21"/>
          <w:szCs w:val="21"/>
        </w:rPr>
        <w:footnoteReference w:id="16"/>
      </w:r>
      <w:r w:rsidRPr="00FB19B5">
        <w:rPr>
          <w:rFonts w:cstheme="minorHAnsi"/>
          <w:color w:val="404040" w:themeColor="text1" w:themeTint="BF"/>
          <w:sz w:val="21"/>
          <w:szCs w:val="21"/>
        </w:rPr>
        <w:t xml:space="preserve"> </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19A17B50" w14:textId="0D5B8DDA" w:rsidR="00BC1A3C" w:rsidRPr="00A96255" w:rsidRDefault="002155FE" w:rsidP="00576CFA">
      <w:pPr>
        <w:pStyle w:val="MText"/>
      </w:pPr>
      <w:bookmarkStart w:id="7" w:name="_Hlk68517382"/>
      <w:r w:rsidRPr="00FA4517">
        <w:t>The quality assessment is conducted based on the information provided in the reporting platform in an assessment of the metadata and statistics provided. When necessary and requested by the country the agency can support in designing a protocol for assessing the alignment of data produced with users needs, the compliance with guidelines in terms of computations, the timeliness of data production, the accessibility of statistics produced, the consistent use of methodology both in terms of geographic representation and through time, the coherence in terms of data production, and the architecture of data production</w:t>
      </w:r>
      <w:r w:rsidR="0033038F" w:rsidRPr="00FA4517">
        <w:t>.</w:t>
      </w:r>
      <w:bookmarkStart w:id="8" w:name="_GoBack"/>
      <w:bookmarkEnd w:id="7"/>
      <w:bookmarkEnd w:id="8"/>
    </w:p>
    <w:p w14:paraId="5B7C52CE" w14:textId="77777777" w:rsidR="00576CFA" w:rsidRPr="00A96255" w:rsidRDefault="00576CFA" w:rsidP="00576CFA">
      <w:pPr>
        <w:pStyle w:val="MText"/>
      </w:pPr>
    </w:p>
    <w:p w14:paraId="4CD8F3EF" w14:textId="7F4A1DFB" w:rsidR="00F719A8" w:rsidRPr="00A62497" w:rsidRDefault="00576CFA" w:rsidP="00A62497">
      <w:pPr>
        <w:pStyle w:val="MHeader"/>
        <w:spacing w:after="100"/>
      </w:pPr>
      <w:r w:rsidRPr="00A96255">
        <w:t>5. Data availability and disaggregation</w:t>
      </w:r>
    </w:p>
    <w:p w14:paraId="464A8CCF" w14:textId="2275A784" w:rsidR="00576CFA" w:rsidRPr="00A62497" w:rsidRDefault="00D51E7C" w:rsidP="00576CFA">
      <w:pPr>
        <w:pStyle w:val="MText"/>
      </w:pPr>
      <w:r w:rsidRPr="00A62497">
        <w:t>Data availability:</w:t>
      </w:r>
    </w:p>
    <w:p w14:paraId="4BA63DD5" w14:textId="77777777" w:rsidR="0069230D" w:rsidRPr="006103EE" w:rsidRDefault="0069230D" w:rsidP="0069230D">
      <w:pPr>
        <w:shd w:val="clear" w:color="auto" w:fill="FFFFFF"/>
        <w:spacing w:after="0"/>
        <w:jc w:val="both"/>
        <w:rPr>
          <w:rFonts w:eastAsia="Times New Roman" w:cs="Times New Roman"/>
          <w:color w:val="404040" w:themeColor="text1" w:themeTint="BF"/>
          <w:sz w:val="21"/>
          <w:szCs w:val="21"/>
          <w:lang w:eastAsia="en-GB"/>
        </w:rPr>
      </w:pPr>
      <w:r w:rsidRPr="006103EE">
        <w:rPr>
          <w:rFonts w:eastAsia="Times New Roman" w:cs="Times New Roman"/>
          <w:color w:val="404040" w:themeColor="text1" w:themeTint="BF"/>
          <w:sz w:val="21"/>
          <w:szCs w:val="21"/>
          <w:lang w:eastAsia="en-GB"/>
        </w:rPr>
        <w:t>No global source of data that comprehensively covers this indicator is available at this point.</w:t>
      </w:r>
    </w:p>
    <w:p w14:paraId="439EE71A" w14:textId="77777777" w:rsidR="0069230D" w:rsidRPr="006103EE" w:rsidRDefault="0069230D" w:rsidP="0069230D">
      <w:pPr>
        <w:shd w:val="clear" w:color="auto" w:fill="FFFFFF"/>
        <w:spacing w:after="0"/>
        <w:jc w:val="both"/>
        <w:rPr>
          <w:rFonts w:eastAsia="Times New Roman" w:cs="Times New Roman"/>
          <w:color w:val="404040" w:themeColor="text1" w:themeTint="BF"/>
          <w:sz w:val="21"/>
          <w:szCs w:val="21"/>
          <w:lang w:eastAsia="en-GB"/>
        </w:rPr>
      </w:pPr>
    </w:p>
    <w:p w14:paraId="4214984D" w14:textId="77777777" w:rsidR="0069230D" w:rsidRPr="006103EE" w:rsidRDefault="0069230D" w:rsidP="0069230D">
      <w:pPr>
        <w:shd w:val="clear" w:color="auto" w:fill="FFFFFF"/>
        <w:spacing w:after="0"/>
        <w:jc w:val="both"/>
        <w:rPr>
          <w:rFonts w:eastAsia="Times New Roman" w:cs="Times New Roman"/>
          <w:color w:val="404040" w:themeColor="text1" w:themeTint="BF"/>
          <w:sz w:val="21"/>
          <w:szCs w:val="21"/>
          <w:lang w:eastAsia="en-GB"/>
        </w:rPr>
      </w:pPr>
      <w:r>
        <w:rPr>
          <w:rFonts w:eastAsia="Times New Roman" w:cs="Times New Roman"/>
          <w:color w:val="404040" w:themeColor="text1" w:themeTint="BF"/>
          <w:sz w:val="21"/>
          <w:szCs w:val="21"/>
          <w:lang w:eastAsia="en-GB"/>
        </w:rPr>
        <w:t>However, t</w:t>
      </w:r>
      <w:r w:rsidRPr="006103EE">
        <w:rPr>
          <w:rFonts w:eastAsia="Times New Roman" w:cs="Times New Roman"/>
          <w:color w:val="404040" w:themeColor="text1" w:themeTint="BF"/>
          <w:sz w:val="21"/>
          <w:szCs w:val="21"/>
          <w:lang w:eastAsia="en-GB"/>
        </w:rPr>
        <w:t>here are three existing data collection efforts, but they only partially cover the scope of the indicator.</w:t>
      </w:r>
    </w:p>
    <w:p w14:paraId="2B23A33B" w14:textId="77777777" w:rsidR="0069230D" w:rsidRPr="006103EE" w:rsidRDefault="0069230D" w:rsidP="0069230D">
      <w:pPr>
        <w:shd w:val="clear" w:color="auto" w:fill="FFFFFF"/>
        <w:spacing w:after="0"/>
        <w:jc w:val="both"/>
        <w:rPr>
          <w:rFonts w:eastAsia="Times New Roman" w:cs="Times New Roman"/>
          <w:color w:val="404040" w:themeColor="text1" w:themeTint="BF"/>
          <w:sz w:val="21"/>
          <w:szCs w:val="21"/>
          <w:lang w:eastAsia="en-GB"/>
        </w:rPr>
      </w:pPr>
    </w:p>
    <w:p w14:paraId="1139DF6F" w14:textId="77777777" w:rsidR="0069230D" w:rsidRPr="00AD5891" w:rsidRDefault="0069230D" w:rsidP="0069230D">
      <w:pPr>
        <w:pStyle w:val="ListParagraph"/>
        <w:numPr>
          <w:ilvl w:val="0"/>
          <w:numId w:val="3"/>
        </w:numPr>
        <w:shd w:val="clear" w:color="auto" w:fill="FFFFFF"/>
        <w:spacing w:after="0"/>
        <w:jc w:val="both"/>
        <w:rPr>
          <w:rFonts w:eastAsia="Times New Roman" w:cs="Times New Roman"/>
          <w:color w:val="404040" w:themeColor="text1" w:themeTint="BF"/>
          <w:sz w:val="21"/>
          <w:szCs w:val="21"/>
          <w:lang w:eastAsia="en-GB"/>
        </w:rPr>
      </w:pPr>
      <w:bookmarkStart w:id="9" w:name="_Hlk535494858"/>
      <w:r w:rsidRPr="00AD5891">
        <w:rPr>
          <w:rFonts w:eastAsia="Times New Roman" w:cs="Times New Roman"/>
          <w:b/>
          <w:bCs/>
          <w:i/>
          <w:iCs/>
          <w:color w:val="404040" w:themeColor="text1" w:themeTint="BF"/>
          <w:sz w:val="21"/>
          <w:szCs w:val="21"/>
          <w:lang w:eastAsia="en-GB"/>
        </w:rPr>
        <w:t>UNODC Survey on Crime Trends and the Operations of Criminal Justice Systems (CTS):</w:t>
      </w:r>
      <w:r>
        <w:rPr>
          <w:rStyle w:val="FootnoteReference"/>
          <w:rFonts w:eastAsia="Times New Roman" w:cs="Times New Roman"/>
          <w:b/>
          <w:bCs/>
          <w:i/>
          <w:iCs/>
          <w:color w:val="404040" w:themeColor="text1" w:themeTint="BF"/>
          <w:sz w:val="21"/>
          <w:szCs w:val="21"/>
          <w:lang w:eastAsia="en-GB"/>
        </w:rPr>
        <w:footnoteReference w:id="17"/>
      </w:r>
      <w:r>
        <w:rPr>
          <w:rFonts w:eastAsia="Times New Roman" w:cs="Times New Roman"/>
          <w:b/>
          <w:bCs/>
          <w:i/>
          <w:iCs/>
          <w:color w:val="404040" w:themeColor="text1" w:themeTint="BF"/>
          <w:sz w:val="21"/>
          <w:szCs w:val="21"/>
          <w:lang w:eastAsia="en-GB"/>
        </w:rPr>
        <w:t xml:space="preserve"> </w:t>
      </w:r>
      <w:r w:rsidRPr="00AD5891">
        <w:rPr>
          <w:rFonts w:eastAsia="Times New Roman" w:cs="Times New Roman"/>
          <w:color w:val="404040" w:themeColor="text1" w:themeTint="BF"/>
          <w:sz w:val="21"/>
          <w:szCs w:val="21"/>
          <w:lang w:eastAsia="en-GB"/>
        </w:rPr>
        <w:t xml:space="preserve">The CTS, through focal points/ coordinating officers, gathers data from UN Member States on the number of ‘professional judges or magistrates’, including authorized associate judges and magistrates, defined as full-time and part-time officials authorized to hear specifically criminal cases, including in appeal courts, and to make dispositions in a court of law. Data is disaggregated by sex only. The CTS is confined to criminal courts, which include any legal body authorized to pronounce a conviction under national criminal law. Data on all levels of criminal courts is collected, but the survey does not disaggregate data to distinguish between judges in higher-level courts from those </w:t>
      </w:r>
      <w:r w:rsidRPr="00AD5891">
        <w:rPr>
          <w:rFonts w:eastAsia="Times New Roman" w:cs="Times New Roman"/>
          <w:color w:val="404040" w:themeColor="text1" w:themeTint="BF"/>
          <w:sz w:val="21"/>
          <w:szCs w:val="21"/>
          <w:lang w:eastAsia="en-GB"/>
        </w:rPr>
        <w:lastRenderedPageBreak/>
        <w:t>in lower-level courts. Data collection through the CTS is conducted on an annual basis. The most recent available data is for 2017.</w:t>
      </w:r>
    </w:p>
    <w:bookmarkEnd w:id="9"/>
    <w:p w14:paraId="743D665C" w14:textId="77777777" w:rsidR="0069230D" w:rsidRPr="006103EE" w:rsidRDefault="0069230D" w:rsidP="0069230D">
      <w:pPr>
        <w:pStyle w:val="ListParagraph"/>
        <w:shd w:val="clear" w:color="auto" w:fill="FFFFFF"/>
        <w:spacing w:after="0"/>
        <w:jc w:val="both"/>
        <w:rPr>
          <w:rFonts w:eastAsia="Times New Roman" w:cs="Times New Roman"/>
          <w:color w:val="404040" w:themeColor="text1" w:themeTint="BF"/>
          <w:sz w:val="21"/>
          <w:szCs w:val="21"/>
          <w:lang w:eastAsia="en-GB"/>
        </w:rPr>
      </w:pPr>
    </w:p>
    <w:p w14:paraId="728CCABC" w14:textId="77777777" w:rsidR="0069230D" w:rsidRPr="00AD5891" w:rsidRDefault="0069230D" w:rsidP="0069230D">
      <w:pPr>
        <w:pStyle w:val="ListParagraph"/>
        <w:numPr>
          <w:ilvl w:val="0"/>
          <w:numId w:val="3"/>
        </w:numPr>
        <w:shd w:val="clear" w:color="auto" w:fill="FFFFFF"/>
        <w:spacing w:after="0"/>
        <w:jc w:val="both"/>
        <w:rPr>
          <w:rFonts w:eastAsia="Times New Roman" w:cs="Times New Roman"/>
          <w:color w:val="404040" w:themeColor="text1" w:themeTint="BF"/>
          <w:sz w:val="21"/>
          <w:szCs w:val="21"/>
          <w:lang w:eastAsia="en-GB"/>
        </w:rPr>
      </w:pPr>
      <w:r w:rsidRPr="00AD5891">
        <w:rPr>
          <w:rFonts w:eastAsia="Times New Roman" w:cs="Times New Roman"/>
          <w:b/>
          <w:bCs/>
          <w:i/>
          <w:iCs/>
          <w:color w:val="404040" w:themeColor="text1" w:themeTint="BF"/>
          <w:sz w:val="21"/>
          <w:szCs w:val="21"/>
          <w:lang w:eastAsia="en-GB"/>
        </w:rPr>
        <w:t>World Bank, Women, Business and the Law Report:</w:t>
      </w:r>
      <w:r w:rsidRPr="00AD5891">
        <w:rPr>
          <w:rStyle w:val="FootnoteReference"/>
          <w:rFonts w:eastAsia="Times New Roman" w:cs="Times New Roman"/>
          <w:b/>
          <w:bCs/>
          <w:i/>
          <w:iCs/>
          <w:color w:val="404040" w:themeColor="text1" w:themeTint="BF"/>
          <w:sz w:val="21"/>
          <w:szCs w:val="21"/>
          <w:lang w:eastAsia="en-GB"/>
        </w:rPr>
        <w:footnoteReference w:id="18"/>
      </w:r>
      <w:r w:rsidRPr="00AD5891">
        <w:rPr>
          <w:rFonts w:eastAsia="Times New Roman" w:cs="Times New Roman"/>
          <w:b/>
          <w:bCs/>
          <w:i/>
          <w:iCs/>
          <w:color w:val="404040" w:themeColor="text1" w:themeTint="BF"/>
          <w:sz w:val="21"/>
          <w:szCs w:val="21"/>
          <w:lang w:eastAsia="en-GB"/>
        </w:rPr>
        <w:t xml:space="preserve"> </w:t>
      </w:r>
      <w:r w:rsidRPr="00AD5891">
        <w:rPr>
          <w:rFonts w:eastAsia="Times New Roman" w:cs="Times New Roman"/>
          <w:color w:val="404040" w:themeColor="text1" w:themeTint="BF"/>
          <w:sz w:val="21"/>
          <w:szCs w:val="21"/>
          <w:lang w:eastAsia="en-GB"/>
        </w:rPr>
        <w:t>The Women, Business and the Law Report includes data on the percentage of female judges and chief justices in constitutional courts for the 153 economies where constitutional courts exist. The most recent report was published in 2018, and it is the fifth edition in a series of biennial reports.</w:t>
      </w:r>
    </w:p>
    <w:p w14:paraId="1E4A7D1E" w14:textId="77777777" w:rsidR="0069230D" w:rsidRPr="006103EE" w:rsidRDefault="0069230D" w:rsidP="0069230D">
      <w:pPr>
        <w:pStyle w:val="ListParagraph"/>
        <w:shd w:val="clear" w:color="auto" w:fill="FFFFFF"/>
        <w:spacing w:after="0"/>
        <w:jc w:val="both"/>
        <w:rPr>
          <w:color w:val="404040" w:themeColor="text1" w:themeTint="BF"/>
          <w:sz w:val="20"/>
          <w:szCs w:val="20"/>
        </w:rPr>
      </w:pPr>
    </w:p>
    <w:p w14:paraId="16A82528" w14:textId="0BFB7609" w:rsidR="0069230D" w:rsidRPr="00A62497" w:rsidRDefault="0069230D" w:rsidP="00576CFA">
      <w:pPr>
        <w:pStyle w:val="ListParagraph"/>
        <w:numPr>
          <w:ilvl w:val="0"/>
          <w:numId w:val="3"/>
        </w:numPr>
        <w:shd w:val="clear" w:color="auto" w:fill="FFFFFF"/>
        <w:spacing w:after="0"/>
        <w:jc w:val="both"/>
        <w:rPr>
          <w:rFonts w:eastAsia="Times New Roman" w:cs="Times New Roman"/>
          <w:color w:val="404040" w:themeColor="text1" w:themeTint="BF"/>
          <w:sz w:val="21"/>
          <w:szCs w:val="21"/>
          <w:lang w:eastAsia="en-GB"/>
        </w:rPr>
      </w:pPr>
      <w:r w:rsidRPr="00AD5891">
        <w:rPr>
          <w:rFonts w:eastAsia="Times New Roman" w:cs="Times New Roman"/>
          <w:b/>
          <w:bCs/>
          <w:i/>
          <w:iCs/>
          <w:color w:val="404040" w:themeColor="text1" w:themeTint="BF"/>
          <w:sz w:val="21"/>
          <w:szCs w:val="21"/>
          <w:lang w:eastAsia="en-GB"/>
        </w:rPr>
        <w:t>CEPEJ, European Judicial Systems – Efficiency and Quality of Justice Report:</w:t>
      </w:r>
      <w:r w:rsidRPr="00AD5891">
        <w:rPr>
          <w:rStyle w:val="FootnoteReference"/>
          <w:rFonts w:eastAsia="Times New Roman" w:cs="Times New Roman"/>
          <w:b/>
          <w:bCs/>
          <w:i/>
          <w:iCs/>
          <w:color w:val="404040" w:themeColor="text1" w:themeTint="BF"/>
          <w:sz w:val="21"/>
          <w:szCs w:val="21"/>
          <w:lang w:eastAsia="en-GB"/>
        </w:rPr>
        <w:footnoteReference w:id="19"/>
      </w:r>
      <w:r w:rsidRPr="00AD5891">
        <w:rPr>
          <w:rFonts w:eastAsia="Times New Roman" w:cs="Times New Roman"/>
          <w:b/>
          <w:bCs/>
          <w:i/>
          <w:iCs/>
          <w:color w:val="404040" w:themeColor="text1" w:themeTint="BF"/>
          <w:sz w:val="21"/>
          <w:szCs w:val="21"/>
          <w:lang w:eastAsia="en-GB"/>
        </w:rPr>
        <w:t xml:space="preserve"> </w:t>
      </w:r>
      <w:r w:rsidRPr="00AD5891">
        <w:rPr>
          <w:rFonts w:eastAsia="Times New Roman" w:cs="Times New Roman"/>
          <w:color w:val="404040" w:themeColor="text1" w:themeTint="BF"/>
          <w:sz w:val="21"/>
          <w:szCs w:val="21"/>
          <w:lang w:eastAsia="en-GB"/>
        </w:rPr>
        <w:t xml:space="preserve">The Efficiency and Quality of Justice Report includes data on the percentage of women working at all levels of courts, including first instance, second instance, and supreme courts, and it includes data on the proportion of female ‘court presidents’ and ‘professional judges’ for 47 countries within Europe. ‘Professional judges’ are part-time and full-time judges who have been trained, who are paid as such, and whose main function is to work as a judge and not as a prosecutor. The report also collects data on the percentage of female ‘non-judge staff’ disaggregated by the </w:t>
      </w:r>
      <w:r w:rsidRPr="00AD5891">
        <w:rPr>
          <w:rFonts w:eastAsia="Times New Roman" w:cs="Times New Roman"/>
          <w:i/>
          <w:color w:val="404040" w:themeColor="text1" w:themeTint="BF"/>
          <w:sz w:val="21"/>
          <w:szCs w:val="21"/>
          <w:lang w:eastAsia="en-GB"/>
        </w:rPr>
        <w:t>Rechtspfleger</w:t>
      </w:r>
      <w:r w:rsidRPr="00AD5891">
        <w:rPr>
          <w:rFonts w:eastAsia="Times New Roman" w:cs="Times New Roman"/>
          <w:color w:val="404040" w:themeColor="text1" w:themeTint="BF"/>
          <w:sz w:val="21"/>
          <w:szCs w:val="21"/>
          <w:lang w:eastAsia="en-GB"/>
        </w:rPr>
        <w:t xml:space="preserve"> function (or similar bodies) for 47 countries within Europe. The most recent report for the 2016-2018 evaluation cycle was published in 2018, and it is based on data from 2016. The reports are published every two years.</w:t>
      </w:r>
    </w:p>
    <w:p w14:paraId="2D0542F7" w14:textId="3DE6BFAB" w:rsidR="00D51E7C" w:rsidRPr="00C019E5" w:rsidRDefault="00D51E7C" w:rsidP="00576CFA">
      <w:pPr>
        <w:pStyle w:val="MText"/>
        <w:rPr>
          <w:highlight w:val="cyan"/>
        </w:rPr>
      </w:pPr>
    </w:p>
    <w:p w14:paraId="5853D6F7" w14:textId="62CB7CEF" w:rsidR="00D51E7C" w:rsidRPr="00A62497" w:rsidRDefault="00D51E7C" w:rsidP="00576CFA">
      <w:pPr>
        <w:pStyle w:val="MText"/>
      </w:pPr>
      <w:r w:rsidRPr="00A62497">
        <w:t>Time series:</w:t>
      </w:r>
    </w:p>
    <w:p w14:paraId="0A73AEFA" w14:textId="77777777" w:rsidR="00A62497" w:rsidRDefault="00A62497" w:rsidP="00A62497">
      <w:pPr>
        <w:shd w:val="clear" w:color="auto" w:fill="FFFFFF"/>
        <w:spacing w:after="0"/>
        <w:rPr>
          <w:rFonts w:eastAsia="Times New Roman" w:cs="Times New Roman"/>
          <w:color w:val="404040" w:themeColor="text1" w:themeTint="BF"/>
          <w:sz w:val="21"/>
          <w:szCs w:val="21"/>
          <w:lang w:eastAsia="en-GB"/>
        </w:rPr>
      </w:pPr>
      <w:r w:rsidRPr="00147CF8">
        <w:rPr>
          <w:rFonts w:eastAsia="Times New Roman" w:cs="Times New Roman"/>
          <w:color w:val="404040" w:themeColor="text1" w:themeTint="BF"/>
          <w:sz w:val="21"/>
          <w:szCs w:val="21"/>
          <w:lang w:eastAsia="en-GB"/>
        </w:rPr>
        <w:t>No global source of data that comprehensively covers this indicator is available at this point.</w:t>
      </w:r>
    </w:p>
    <w:p w14:paraId="760C013A" w14:textId="4597FCBD" w:rsidR="00D51E7C" w:rsidRPr="00C019E5" w:rsidRDefault="00D51E7C" w:rsidP="00576CFA">
      <w:pPr>
        <w:pStyle w:val="MText"/>
        <w:rPr>
          <w:highlight w:val="cyan"/>
        </w:rPr>
      </w:pPr>
    </w:p>
    <w:p w14:paraId="72C7C370" w14:textId="53E9EB8A" w:rsidR="00D51E7C" w:rsidRDefault="00D51E7C" w:rsidP="00576CFA">
      <w:pPr>
        <w:pStyle w:val="MText"/>
      </w:pPr>
      <w:r w:rsidRPr="00A62497">
        <w:t>Disaggregation:</w:t>
      </w:r>
    </w:p>
    <w:p w14:paraId="59174133" w14:textId="77777777" w:rsidR="0069230D" w:rsidRPr="006A6890" w:rsidRDefault="0069230D" w:rsidP="0069230D">
      <w:pPr>
        <w:shd w:val="clear" w:color="auto" w:fill="FFFFFF"/>
        <w:jc w:val="both"/>
        <w:rPr>
          <w:rFonts w:ascii="Calibri" w:hAnsi="Calibri" w:cs="Calibri"/>
          <w:color w:val="404040" w:themeColor="text1" w:themeTint="BF"/>
          <w:sz w:val="21"/>
          <w:szCs w:val="21"/>
          <w:lang w:eastAsia="en-GB"/>
        </w:rPr>
      </w:pPr>
      <w:r w:rsidRPr="006A6890">
        <w:rPr>
          <w:rFonts w:ascii="Calibri" w:hAnsi="Calibri" w:cs="Calibri"/>
          <w:color w:val="404040" w:themeColor="text1" w:themeTint="BF"/>
          <w:sz w:val="21"/>
          <w:szCs w:val="21"/>
          <w:lang w:eastAsia="en-GB"/>
        </w:rPr>
        <w:t>As mentioned throughout the above discussions, a three-way disaggregation of the data is recommended, along the following cumulative levels:</w:t>
      </w:r>
    </w:p>
    <w:p w14:paraId="6C2D21CF" w14:textId="77777777" w:rsidR="0069230D" w:rsidRPr="006A6890" w:rsidRDefault="0069230D" w:rsidP="0069230D">
      <w:pPr>
        <w:pStyle w:val="ListParagraph"/>
        <w:numPr>
          <w:ilvl w:val="0"/>
          <w:numId w:val="10"/>
        </w:numPr>
        <w:spacing w:after="0"/>
        <w:jc w:val="both"/>
        <w:rPr>
          <w:rFonts w:ascii="Calibri" w:hAnsi="Calibri"/>
          <w:color w:val="404040" w:themeColor="text1" w:themeTint="BF"/>
          <w:sz w:val="21"/>
          <w:szCs w:val="21"/>
          <w:lang w:val="en-US"/>
        </w:rPr>
      </w:pPr>
      <w:r>
        <w:rPr>
          <w:rFonts w:ascii="Calibri" w:hAnsi="Calibri"/>
          <w:color w:val="404040" w:themeColor="text1" w:themeTint="BF"/>
          <w:sz w:val="21"/>
          <w:szCs w:val="21"/>
          <w:lang w:val="en-US"/>
        </w:rPr>
        <w:t>Type of position</w:t>
      </w:r>
      <w:r w:rsidRPr="006A6890">
        <w:rPr>
          <w:rFonts w:ascii="Calibri" w:hAnsi="Calibri"/>
          <w:i/>
          <w:iCs/>
          <w:color w:val="404040" w:themeColor="text1" w:themeTint="BF"/>
          <w:sz w:val="21"/>
          <w:szCs w:val="21"/>
          <w:lang w:val="en-US"/>
        </w:rPr>
        <w:t xml:space="preserve"> (</w:t>
      </w:r>
      <w:r>
        <w:rPr>
          <w:rFonts w:ascii="Calibri" w:hAnsi="Calibri"/>
          <w:i/>
          <w:iCs/>
          <w:color w:val="404040" w:themeColor="text1" w:themeTint="BF"/>
          <w:sz w:val="21"/>
          <w:szCs w:val="21"/>
          <w:lang w:val="en-US"/>
        </w:rPr>
        <w:t>judges; registrars</w:t>
      </w:r>
      <w:r w:rsidRPr="006A6890">
        <w:rPr>
          <w:rFonts w:ascii="Calibri" w:hAnsi="Calibri"/>
          <w:i/>
          <w:iCs/>
          <w:color w:val="404040" w:themeColor="text1" w:themeTint="BF"/>
          <w:sz w:val="21"/>
          <w:szCs w:val="21"/>
          <w:lang w:val="en-US"/>
        </w:rPr>
        <w:t>)</w:t>
      </w:r>
    </w:p>
    <w:p w14:paraId="1A76EBB3" w14:textId="77777777" w:rsidR="0069230D" w:rsidRPr="005D7B9B" w:rsidRDefault="0069230D" w:rsidP="0069230D">
      <w:pPr>
        <w:pStyle w:val="ListParagraph"/>
        <w:numPr>
          <w:ilvl w:val="0"/>
          <w:numId w:val="10"/>
        </w:numPr>
        <w:spacing w:after="0"/>
        <w:jc w:val="both"/>
        <w:rPr>
          <w:rFonts w:ascii="Calibri" w:hAnsi="Calibri"/>
          <w:i/>
          <w:iCs/>
          <w:color w:val="404040" w:themeColor="text1" w:themeTint="BF"/>
          <w:sz w:val="21"/>
          <w:szCs w:val="21"/>
          <w:lang w:val="en-US"/>
        </w:rPr>
      </w:pPr>
      <w:r>
        <w:rPr>
          <w:rFonts w:ascii="Calibri" w:hAnsi="Calibri"/>
          <w:color w:val="404040" w:themeColor="text1" w:themeTint="BF"/>
          <w:sz w:val="21"/>
          <w:szCs w:val="21"/>
          <w:lang w:val="en-US"/>
        </w:rPr>
        <w:t>Level of court</w:t>
      </w:r>
      <w:r w:rsidRPr="006A6890">
        <w:rPr>
          <w:rFonts w:ascii="Calibri" w:hAnsi="Calibri"/>
          <w:color w:val="404040" w:themeColor="text1" w:themeTint="BF"/>
          <w:sz w:val="21"/>
          <w:szCs w:val="21"/>
          <w:lang w:val="en-US"/>
        </w:rPr>
        <w:t xml:space="preserve"> </w:t>
      </w:r>
      <w:r w:rsidRPr="005D7B9B">
        <w:rPr>
          <w:rFonts w:ascii="Calibri" w:hAnsi="Calibri"/>
          <w:i/>
          <w:iCs/>
          <w:color w:val="404040" w:themeColor="text1" w:themeTint="BF"/>
          <w:sz w:val="21"/>
          <w:szCs w:val="21"/>
          <w:lang w:val="en-US"/>
        </w:rPr>
        <w:t>(</w:t>
      </w:r>
      <w:r w:rsidRPr="005D7B9B">
        <w:rPr>
          <w:rFonts w:eastAsia="Times New Roman" w:cs="Times New Roman"/>
          <w:i/>
          <w:iCs/>
          <w:color w:val="404040" w:themeColor="text1" w:themeTint="BF"/>
          <w:sz w:val="21"/>
          <w:szCs w:val="21"/>
          <w:lang w:eastAsia="en-GB"/>
        </w:rPr>
        <w:t>‘supreme/constitutional courts,’ ‘higher-level courts’ and ‘lower-level courts’</w:t>
      </w:r>
      <w:r w:rsidRPr="005D7B9B">
        <w:rPr>
          <w:rFonts w:ascii="Calibri" w:hAnsi="Calibri"/>
          <w:i/>
          <w:iCs/>
          <w:color w:val="404040" w:themeColor="text1" w:themeTint="BF"/>
          <w:sz w:val="21"/>
          <w:szCs w:val="21"/>
          <w:lang w:val="en-US"/>
        </w:rPr>
        <w:t>)</w:t>
      </w:r>
    </w:p>
    <w:p w14:paraId="5F3D0246" w14:textId="77777777" w:rsidR="0069230D" w:rsidRPr="006A6890" w:rsidRDefault="0069230D" w:rsidP="0069230D">
      <w:pPr>
        <w:pStyle w:val="ListParagraph"/>
        <w:numPr>
          <w:ilvl w:val="0"/>
          <w:numId w:val="10"/>
        </w:numPr>
        <w:spacing w:after="0"/>
        <w:jc w:val="both"/>
        <w:rPr>
          <w:rFonts w:ascii="Calibri" w:hAnsi="Calibri"/>
          <w:color w:val="404040" w:themeColor="text1" w:themeTint="BF"/>
          <w:sz w:val="21"/>
          <w:szCs w:val="21"/>
          <w:lang w:val="en-US"/>
        </w:rPr>
      </w:pPr>
      <w:r w:rsidRPr="006A6890">
        <w:rPr>
          <w:rFonts w:ascii="Calibri" w:hAnsi="Calibri"/>
          <w:color w:val="404040" w:themeColor="text1" w:themeTint="BF"/>
          <w:sz w:val="21"/>
          <w:szCs w:val="21"/>
          <w:lang w:val="en-US"/>
        </w:rPr>
        <w:t>Various demographic characteristics:</w:t>
      </w:r>
    </w:p>
    <w:p w14:paraId="428D25E0" w14:textId="77777777" w:rsidR="0069230D" w:rsidRPr="006A6890" w:rsidRDefault="0069230D" w:rsidP="0069230D">
      <w:pPr>
        <w:pStyle w:val="ListParagraph"/>
        <w:numPr>
          <w:ilvl w:val="1"/>
          <w:numId w:val="10"/>
        </w:numPr>
        <w:spacing w:after="0"/>
        <w:jc w:val="both"/>
        <w:rPr>
          <w:rFonts w:ascii="Calibri" w:hAnsi="Calibri"/>
          <w:color w:val="404040" w:themeColor="text1" w:themeTint="BF"/>
          <w:sz w:val="21"/>
          <w:szCs w:val="21"/>
          <w:lang w:val="en-US"/>
        </w:rPr>
      </w:pPr>
      <w:r w:rsidRPr="006A6890">
        <w:rPr>
          <w:rFonts w:ascii="Calibri" w:hAnsi="Calibri"/>
          <w:color w:val="404040" w:themeColor="text1" w:themeTint="BF"/>
          <w:sz w:val="21"/>
          <w:szCs w:val="21"/>
          <w:lang w:val="en-US"/>
        </w:rPr>
        <w:t xml:space="preserve">Sex </w:t>
      </w:r>
      <w:r w:rsidRPr="006A6890">
        <w:rPr>
          <w:rFonts w:ascii="Calibri" w:hAnsi="Calibri"/>
          <w:i/>
          <w:iCs/>
          <w:color w:val="404040" w:themeColor="text1" w:themeTint="BF"/>
          <w:sz w:val="21"/>
          <w:szCs w:val="21"/>
          <w:lang w:val="en-US"/>
        </w:rPr>
        <w:t>(male; female)</w:t>
      </w:r>
    </w:p>
    <w:p w14:paraId="3BF2D22D" w14:textId="77777777" w:rsidR="0069230D" w:rsidRPr="006A6890" w:rsidRDefault="0069230D" w:rsidP="0069230D">
      <w:pPr>
        <w:pStyle w:val="ListParagraph"/>
        <w:numPr>
          <w:ilvl w:val="1"/>
          <w:numId w:val="10"/>
        </w:numPr>
        <w:spacing w:after="0"/>
        <w:jc w:val="both"/>
        <w:rPr>
          <w:rFonts w:ascii="Calibri" w:hAnsi="Calibri"/>
          <w:color w:val="404040" w:themeColor="text1" w:themeTint="BF"/>
          <w:sz w:val="21"/>
          <w:szCs w:val="21"/>
          <w:lang w:val="en-US"/>
        </w:rPr>
      </w:pPr>
      <w:r w:rsidRPr="006A6890">
        <w:rPr>
          <w:rFonts w:ascii="Calibri" w:hAnsi="Calibri"/>
          <w:color w:val="404040" w:themeColor="text1" w:themeTint="BF"/>
          <w:sz w:val="21"/>
          <w:szCs w:val="21"/>
          <w:lang w:val="en-US"/>
        </w:rPr>
        <w:t xml:space="preserve">Age group </w:t>
      </w:r>
      <w:r w:rsidRPr="006A6890">
        <w:rPr>
          <w:rFonts w:ascii="Calibri" w:hAnsi="Calibri"/>
          <w:i/>
          <w:iCs/>
          <w:color w:val="404040" w:themeColor="text1" w:themeTint="BF"/>
          <w:sz w:val="21"/>
          <w:szCs w:val="21"/>
          <w:lang w:val="en-US"/>
        </w:rPr>
        <w:t xml:space="preserve">(below </w:t>
      </w:r>
      <w:r>
        <w:rPr>
          <w:rFonts w:ascii="Calibri" w:hAnsi="Calibri"/>
          <w:i/>
          <w:iCs/>
          <w:color w:val="404040" w:themeColor="text1" w:themeTint="BF"/>
          <w:sz w:val="21"/>
          <w:szCs w:val="21"/>
          <w:lang w:val="en-US"/>
        </w:rPr>
        <w:t>45</w:t>
      </w:r>
      <w:r w:rsidRPr="006A6890">
        <w:rPr>
          <w:rFonts w:ascii="Calibri" w:hAnsi="Calibri"/>
          <w:i/>
          <w:iCs/>
          <w:color w:val="404040" w:themeColor="text1" w:themeTint="BF"/>
          <w:sz w:val="21"/>
          <w:szCs w:val="21"/>
          <w:lang w:val="en-US"/>
        </w:rPr>
        <w:t xml:space="preserve"> years; 45-54; 55-64; 65 and above)</w:t>
      </w:r>
    </w:p>
    <w:p w14:paraId="6D75CCFB" w14:textId="77777777" w:rsidR="0069230D" w:rsidRPr="006A6890" w:rsidRDefault="0069230D" w:rsidP="0069230D">
      <w:pPr>
        <w:pStyle w:val="ListParagraph"/>
        <w:numPr>
          <w:ilvl w:val="1"/>
          <w:numId w:val="10"/>
        </w:numPr>
        <w:spacing w:after="0"/>
        <w:jc w:val="both"/>
        <w:rPr>
          <w:rFonts w:ascii="Calibri" w:hAnsi="Calibri"/>
          <w:color w:val="404040" w:themeColor="text1" w:themeTint="BF"/>
          <w:sz w:val="21"/>
          <w:szCs w:val="21"/>
          <w:lang w:val="en-US"/>
        </w:rPr>
      </w:pPr>
      <w:r w:rsidRPr="006A6890">
        <w:rPr>
          <w:rFonts w:ascii="Calibri" w:hAnsi="Calibri"/>
          <w:color w:val="404040" w:themeColor="text1" w:themeTint="BF"/>
          <w:sz w:val="21"/>
          <w:szCs w:val="21"/>
          <w:lang w:val="en-US"/>
        </w:rPr>
        <w:t xml:space="preserve">Disability status </w:t>
      </w:r>
      <w:r w:rsidRPr="006A6890">
        <w:rPr>
          <w:rFonts w:ascii="Calibri" w:hAnsi="Calibri"/>
          <w:i/>
          <w:iCs/>
          <w:color w:val="404040" w:themeColor="text1" w:themeTint="BF"/>
          <w:sz w:val="21"/>
          <w:szCs w:val="21"/>
          <w:lang w:val="en-US"/>
        </w:rPr>
        <w:t>(disability; no disability)</w:t>
      </w:r>
    </w:p>
    <w:p w14:paraId="5B45A1B5" w14:textId="77777777" w:rsidR="0069230D" w:rsidRPr="006A6890" w:rsidRDefault="0069230D" w:rsidP="0069230D">
      <w:pPr>
        <w:pStyle w:val="ListParagraph"/>
        <w:numPr>
          <w:ilvl w:val="1"/>
          <w:numId w:val="10"/>
        </w:numPr>
        <w:spacing w:after="0"/>
        <w:jc w:val="both"/>
        <w:rPr>
          <w:rFonts w:ascii="Calibri" w:hAnsi="Calibri"/>
          <w:color w:val="404040" w:themeColor="text1" w:themeTint="BF"/>
          <w:sz w:val="21"/>
          <w:szCs w:val="21"/>
          <w:lang w:val="en-US"/>
        </w:rPr>
      </w:pPr>
      <w:r w:rsidRPr="006A6890">
        <w:rPr>
          <w:rFonts w:ascii="Calibri" w:hAnsi="Calibri"/>
          <w:color w:val="404040" w:themeColor="text1" w:themeTint="BF"/>
          <w:sz w:val="21"/>
          <w:szCs w:val="21"/>
          <w:lang w:val="en-US"/>
        </w:rPr>
        <w:t xml:space="preserve">Population subgroup </w:t>
      </w:r>
      <w:r w:rsidRPr="006A6890">
        <w:rPr>
          <w:rFonts w:ascii="Calibri" w:hAnsi="Calibri"/>
          <w:i/>
          <w:iCs/>
          <w:color w:val="404040" w:themeColor="text1" w:themeTint="BF"/>
          <w:sz w:val="21"/>
          <w:szCs w:val="21"/>
          <w:lang w:val="en-US"/>
        </w:rPr>
        <w:t>(country-specific)</w:t>
      </w:r>
      <w:r w:rsidRPr="006A6890">
        <w:rPr>
          <w:rStyle w:val="FootnoteReference"/>
          <w:rFonts w:ascii="Calibri" w:hAnsi="Calibri"/>
          <w:i/>
          <w:iCs/>
          <w:color w:val="404040" w:themeColor="text1" w:themeTint="BF"/>
          <w:sz w:val="21"/>
          <w:szCs w:val="21"/>
          <w:lang w:val="en-US"/>
        </w:rPr>
        <w:footnoteReference w:id="20"/>
      </w:r>
    </w:p>
    <w:p w14:paraId="42E8CA56" w14:textId="77777777" w:rsidR="00D51E7C" w:rsidRPr="00A96255" w:rsidRDefault="00D51E7C" w:rsidP="00576CFA">
      <w:pPr>
        <w:pStyle w:val="MText"/>
      </w:pPr>
    </w:p>
    <w:p w14:paraId="33CAB7BE" w14:textId="48EBDCE2" w:rsidR="00EC2915" w:rsidRDefault="00B31E2C" w:rsidP="00A62497">
      <w:pPr>
        <w:pStyle w:val="MHeader"/>
        <w:spacing w:after="100"/>
      </w:pPr>
      <w:r w:rsidRPr="00A96255">
        <w:t>6. Comparability / d</w:t>
      </w:r>
      <w:r w:rsidR="00576CFA" w:rsidRPr="00A96255">
        <w:t>eviatio</w:t>
      </w:r>
      <w:r w:rsidR="00382CF3" w:rsidRPr="00A96255">
        <w:t>n from international standards</w:t>
      </w:r>
    </w:p>
    <w:p w14:paraId="3595E072" w14:textId="4F25FF2B" w:rsidR="00D51E7C" w:rsidRDefault="00D51E7C" w:rsidP="00576CFA">
      <w:pPr>
        <w:pStyle w:val="MText"/>
      </w:pPr>
      <w:r w:rsidRPr="00A62497">
        <w:t>Sources of discrepancies:</w:t>
      </w:r>
    </w:p>
    <w:p w14:paraId="3C2D4870" w14:textId="35EE2298" w:rsidR="00D51E7C" w:rsidRDefault="0069230D" w:rsidP="00576CFA">
      <w:pPr>
        <w:pStyle w:val="MText"/>
      </w:pPr>
      <w:r w:rsidRPr="0069230D">
        <w:t>There is no internationally estimated data for this indicator.</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07337096" w14:textId="77777777" w:rsidR="0069230D" w:rsidRPr="00E50788" w:rsidRDefault="0069230D" w:rsidP="0069230D">
      <w:pPr>
        <w:numPr>
          <w:ilvl w:val="0"/>
          <w:numId w:val="5"/>
        </w:numPr>
        <w:shd w:val="clear" w:color="auto" w:fill="FFFFFF"/>
        <w:spacing w:after="0"/>
        <w:rPr>
          <w:rFonts w:eastAsia="Times New Roman" w:cstheme="minorHAnsi"/>
          <w:color w:val="4A4A4A"/>
          <w:sz w:val="21"/>
          <w:szCs w:val="21"/>
          <w:lang w:eastAsia="en-GB"/>
        </w:rPr>
      </w:pPr>
      <w:r w:rsidRPr="00E50788">
        <w:rPr>
          <w:rFonts w:eastAsia="Times New Roman" w:cstheme="minorHAnsi"/>
          <w:color w:val="4A4A4A"/>
          <w:sz w:val="21"/>
          <w:szCs w:val="21"/>
          <w:lang w:eastAsia="en-GB"/>
        </w:rPr>
        <w:lastRenderedPageBreak/>
        <w:t xml:space="preserve">UNODC, Survey of Crime Trends and Operations of Criminal Justice Systems (2017): </w:t>
      </w:r>
      <w:hyperlink r:id="rId16" w:history="1">
        <w:r w:rsidRPr="00E50788">
          <w:rPr>
            <w:rStyle w:val="Hyperlink"/>
            <w:rFonts w:eastAsia="Times New Roman" w:cstheme="minorHAnsi"/>
            <w:sz w:val="21"/>
            <w:szCs w:val="21"/>
            <w:lang w:eastAsia="en-GB"/>
          </w:rPr>
          <w:t>http://www.unodc.org/unodc/en/data-and-analysis/statistics/crime/cts-data-collection.html</w:t>
        </w:r>
      </w:hyperlink>
    </w:p>
    <w:p w14:paraId="5B72E95B" w14:textId="77777777" w:rsidR="0069230D" w:rsidRPr="00E50788" w:rsidRDefault="0069230D" w:rsidP="0069230D">
      <w:pPr>
        <w:numPr>
          <w:ilvl w:val="0"/>
          <w:numId w:val="5"/>
        </w:numPr>
        <w:shd w:val="clear" w:color="auto" w:fill="FFFFFF"/>
        <w:spacing w:after="0"/>
        <w:rPr>
          <w:rFonts w:eastAsia="Times New Roman" w:cstheme="minorHAnsi"/>
          <w:color w:val="4A4A4A"/>
          <w:sz w:val="21"/>
          <w:szCs w:val="21"/>
          <w:lang w:eastAsia="en-GB"/>
        </w:rPr>
      </w:pPr>
      <w:r w:rsidRPr="00E50788">
        <w:rPr>
          <w:rFonts w:eastAsia="Times New Roman" w:cstheme="minorHAnsi"/>
          <w:color w:val="4A4A4A"/>
          <w:sz w:val="21"/>
          <w:szCs w:val="21"/>
          <w:lang w:eastAsia="en-GB"/>
        </w:rPr>
        <w:t xml:space="preserve">World Bank, Women, Business and the Law (2018): </w:t>
      </w:r>
      <w:hyperlink r:id="rId17" w:history="1">
        <w:r w:rsidRPr="00E50788">
          <w:rPr>
            <w:rStyle w:val="Hyperlink"/>
            <w:rFonts w:eastAsia="Times New Roman" w:cstheme="minorHAnsi"/>
            <w:sz w:val="21"/>
            <w:szCs w:val="21"/>
            <w:lang w:eastAsia="en-GB"/>
          </w:rPr>
          <w:t>http://wbl.worldbank.org</w:t>
        </w:r>
      </w:hyperlink>
    </w:p>
    <w:p w14:paraId="626F311B" w14:textId="77777777" w:rsidR="0069230D" w:rsidRPr="00E50788" w:rsidRDefault="0069230D" w:rsidP="0069230D">
      <w:pPr>
        <w:numPr>
          <w:ilvl w:val="0"/>
          <w:numId w:val="5"/>
        </w:numPr>
        <w:shd w:val="clear" w:color="auto" w:fill="FFFFFF"/>
        <w:spacing w:after="0"/>
        <w:rPr>
          <w:rFonts w:eastAsia="Times New Roman" w:cstheme="minorHAnsi"/>
          <w:color w:val="4A4A4A"/>
          <w:sz w:val="21"/>
          <w:szCs w:val="21"/>
          <w:lang w:eastAsia="en-GB"/>
        </w:rPr>
      </w:pPr>
      <w:r w:rsidRPr="00E50788">
        <w:rPr>
          <w:rFonts w:eastAsia="Times New Roman" w:cstheme="minorHAnsi"/>
          <w:color w:val="4A4A4A"/>
          <w:sz w:val="21"/>
          <w:szCs w:val="21"/>
          <w:lang w:eastAsia="en-GB"/>
        </w:rPr>
        <w:t xml:space="preserve">European Commission for the Efficiency of Justice, European Judicial Systems Efficiency and Quality of Justice (2016): </w:t>
      </w:r>
      <w:hyperlink r:id="rId18" w:history="1">
        <w:r w:rsidRPr="00E50788">
          <w:rPr>
            <w:rStyle w:val="Hyperlink"/>
            <w:rFonts w:eastAsia="Times New Roman" w:cstheme="minorHAnsi"/>
            <w:sz w:val="21"/>
            <w:szCs w:val="21"/>
            <w:lang w:eastAsia="en-GB"/>
          </w:rPr>
          <w:t>https://www.coe.int/t/dghl/cooperation/cepej/evaluation/archives_en.asp</w:t>
        </w:r>
      </w:hyperlink>
    </w:p>
    <w:p w14:paraId="5EBBCBF9" w14:textId="77777777" w:rsidR="0069230D" w:rsidRPr="00E50788" w:rsidRDefault="0069230D" w:rsidP="0069230D">
      <w:pPr>
        <w:numPr>
          <w:ilvl w:val="0"/>
          <w:numId w:val="5"/>
        </w:numPr>
        <w:shd w:val="clear" w:color="auto" w:fill="FFFFFF"/>
        <w:spacing w:after="0"/>
        <w:rPr>
          <w:rFonts w:eastAsia="Times New Roman" w:cstheme="minorHAnsi"/>
          <w:color w:val="4A4A4A"/>
          <w:sz w:val="21"/>
          <w:szCs w:val="21"/>
          <w:lang w:eastAsia="en-GB"/>
        </w:rPr>
      </w:pPr>
      <w:r w:rsidRPr="00E50788">
        <w:rPr>
          <w:rFonts w:eastAsia="Times New Roman" w:cstheme="minorHAnsi"/>
          <w:color w:val="4A4A4A"/>
          <w:sz w:val="21"/>
          <w:szCs w:val="21"/>
          <w:lang w:eastAsia="en-GB"/>
        </w:rPr>
        <w:t xml:space="preserve">UN DESA, Manual for the Development of A System of Criminal Justice Statistics (2003): </w:t>
      </w:r>
      <w:hyperlink r:id="rId19" w:history="1">
        <w:r w:rsidRPr="00E50788">
          <w:rPr>
            <w:rStyle w:val="Hyperlink"/>
            <w:rFonts w:eastAsia="Times New Roman" w:cstheme="minorHAnsi"/>
            <w:sz w:val="21"/>
            <w:szCs w:val="21"/>
            <w:lang w:eastAsia="en-GB"/>
          </w:rPr>
          <w:t>https://unstats.un.org/unsd/publication/SeriesF/SeriesF_89E.pdf</w:t>
        </w:r>
      </w:hyperlink>
    </w:p>
    <w:p w14:paraId="658CF043" w14:textId="77777777" w:rsidR="0069230D" w:rsidRPr="00E50788" w:rsidRDefault="0069230D" w:rsidP="0069230D">
      <w:pPr>
        <w:numPr>
          <w:ilvl w:val="0"/>
          <w:numId w:val="5"/>
        </w:numPr>
        <w:shd w:val="clear" w:color="auto" w:fill="FFFFFF"/>
        <w:spacing w:after="0"/>
        <w:rPr>
          <w:rFonts w:eastAsia="Times New Roman" w:cstheme="minorHAnsi"/>
          <w:color w:val="4A4A4A"/>
          <w:sz w:val="21"/>
          <w:szCs w:val="21"/>
          <w:lang w:eastAsia="en-GB"/>
        </w:rPr>
      </w:pPr>
      <w:r w:rsidRPr="00E50788">
        <w:rPr>
          <w:rFonts w:eastAsia="Times New Roman" w:cstheme="minorHAnsi"/>
          <w:color w:val="4A4A4A"/>
          <w:sz w:val="21"/>
          <w:szCs w:val="21"/>
          <w:lang w:eastAsia="en-GB"/>
        </w:rPr>
        <w:t xml:space="preserve">UNDP &amp; UNODC, Global Study on Legal Aid (2016): </w:t>
      </w:r>
      <w:hyperlink r:id="rId20" w:history="1">
        <w:r w:rsidRPr="00E50788">
          <w:rPr>
            <w:rStyle w:val="Hyperlink"/>
            <w:rFonts w:eastAsia="Times New Roman" w:cstheme="minorHAnsi"/>
            <w:sz w:val="21"/>
            <w:szCs w:val="21"/>
            <w:lang w:eastAsia="en-GB"/>
          </w:rPr>
          <w:t>http://www.undp.org/content/undp/en/home/librarypage/democratic-governance/access_to_justiceandruleoflaw/global-study-on-legal-aid.html</w:t>
        </w:r>
      </w:hyperlink>
    </w:p>
    <w:p w14:paraId="6AEA2E40" w14:textId="77777777" w:rsidR="0069230D" w:rsidRPr="00E50788" w:rsidRDefault="0069230D" w:rsidP="0069230D">
      <w:pPr>
        <w:pStyle w:val="ListParagraph"/>
        <w:numPr>
          <w:ilvl w:val="0"/>
          <w:numId w:val="5"/>
        </w:numPr>
        <w:spacing w:after="0"/>
        <w:rPr>
          <w:rFonts w:eastAsia="Times New Roman" w:cstheme="minorHAnsi"/>
          <w:color w:val="4A4A4A"/>
          <w:sz w:val="21"/>
          <w:szCs w:val="21"/>
          <w:lang w:eastAsia="en-GB"/>
        </w:rPr>
      </w:pPr>
      <w:r w:rsidRPr="00E50788">
        <w:rPr>
          <w:rFonts w:eastAsia="Times New Roman" w:cstheme="minorHAnsi"/>
          <w:color w:val="4A4A4A"/>
          <w:sz w:val="21"/>
          <w:szCs w:val="21"/>
          <w:lang w:eastAsia="en-GB"/>
        </w:rPr>
        <w:t xml:space="preserve">UNDESA, World Population Prospects: </w:t>
      </w:r>
      <w:hyperlink r:id="rId21" w:history="1">
        <w:r w:rsidRPr="00E50788">
          <w:rPr>
            <w:rStyle w:val="Hyperlink"/>
            <w:rFonts w:eastAsia="Times New Roman" w:cstheme="minorHAnsi"/>
            <w:sz w:val="21"/>
            <w:szCs w:val="21"/>
            <w:lang w:eastAsia="en-GB"/>
          </w:rPr>
          <w:t>https://www.un.org/development/desa/publications/world-population-prospects-the-2017-revision.html</w:t>
        </w:r>
      </w:hyperlink>
    </w:p>
    <w:p w14:paraId="34FD4D61" w14:textId="77777777" w:rsidR="0069230D" w:rsidRPr="00E50788" w:rsidRDefault="0069230D" w:rsidP="0069230D">
      <w:pPr>
        <w:numPr>
          <w:ilvl w:val="0"/>
          <w:numId w:val="5"/>
        </w:numPr>
        <w:shd w:val="clear" w:color="auto" w:fill="FFFFFF"/>
        <w:spacing w:after="0"/>
        <w:rPr>
          <w:rFonts w:eastAsia="Times New Roman" w:cstheme="minorHAnsi"/>
          <w:color w:val="4A4A4A"/>
          <w:sz w:val="21"/>
          <w:szCs w:val="21"/>
          <w:lang w:eastAsia="en-GB"/>
        </w:rPr>
      </w:pPr>
      <w:r w:rsidRPr="00E50788">
        <w:rPr>
          <w:rFonts w:eastAsia="Times New Roman" w:cstheme="minorHAnsi"/>
          <w:color w:val="4A4A4A"/>
          <w:sz w:val="21"/>
          <w:szCs w:val="21"/>
          <w:lang w:eastAsia="en-GB"/>
        </w:rPr>
        <w:t xml:space="preserve">UN Statistical Division, Disability Statistics Database: </w:t>
      </w:r>
      <w:hyperlink r:id="rId22" w:anchor="/countries" w:history="1">
        <w:r w:rsidRPr="009975F4">
          <w:rPr>
            <w:rStyle w:val="Hyperlink"/>
            <w:rFonts w:eastAsia="Times New Roman" w:cstheme="minorHAnsi"/>
            <w:sz w:val="21"/>
            <w:szCs w:val="21"/>
            <w:lang w:eastAsia="en-GB"/>
          </w:rPr>
          <w:t>https://unstats.un.org/unsd/demographic-social/sconcerns/disability/statistics/#/countries</w:t>
        </w:r>
      </w:hyperlink>
      <w:r>
        <w:rPr>
          <w:rFonts w:eastAsia="Times New Roman" w:cstheme="minorHAnsi"/>
          <w:color w:val="4A4A4A"/>
          <w:sz w:val="21"/>
          <w:szCs w:val="21"/>
          <w:lang w:eastAsia="en-GB"/>
        </w:rPr>
        <w:t xml:space="preserve"> </w:t>
      </w:r>
    </w:p>
    <w:p w14:paraId="748E4D17" w14:textId="77777777" w:rsidR="0069230D" w:rsidRPr="00E50788" w:rsidRDefault="0069230D" w:rsidP="0069230D">
      <w:pPr>
        <w:numPr>
          <w:ilvl w:val="0"/>
          <w:numId w:val="5"/>
        </w:numPr>
        <w:shd w:val="clear" w:color="auto" w:fill="FFFFFF"/>
        <w:spacing w:after="0"/>
        <w:rPr>
          <w:rFonts w:eastAsia="Times New Roman" w:cstheme="minorHAnsi"/>
          <w:color w:val="4A4A4A"/>
          <w:sz w:val="21"/>
          <w:szCs w:val="21"/>
          <w:lang w:eastAsia="en-GB"/>
        </w:rPr>
      </w:pPr>
      <w:r w:rsidRPr="00E50788">
        <w:rPr>
          <w:rFonts w:eastAsia="Times New Roman" w:cstheme="minorHAnsi"/>
          <w:color w:val="4A4A4A"/>
          <w:sz w:val="21"/>
          <w:szCs w:val="21"/>
          <w:lang w:eastAsia="en-GB"/>
        </w:rPr>
        <w:t xml:space="preserve">Washington Group, Selected SDG Indicators Disaggregated by Disability Status (2018): </w:t>
      </w:r>
      <w:hyperlink r:id="rId23" w:history="1">
        <w:r w:rsidRPr="00E50788">
          <w:rPr>
            <w:rStyle w:val="Hyperlink"/>
            <w:rFonts w:eastAsia="Times New Roman" w:cstheme="minorHAnsi"/>
            <w:sz w:val="21"/>
            <w:szCs w:val="21"/>
            <w:lang w:eastAsia="en-GB"/>
          </w:rPr>
          <w:t>http://www.washingtongroup-disability.com/wp-content/uploads/2018/11/Disagregation-Data-Report_F4.pdf</w:t>
        </w:r>
      </w:hyperlink>
    </w:p>
    <w:p w14:paraId="123056CE" w14:textId="77777777" w:rsidR="0069230D" w:rsidRPr="00E50788" w:rsidRDefault="0069230D" w:rsidP="0069230D">
      <w:pPr>
        <w:pStyle w:val="ListParagraph"/>
        <w:numPr>
          <w:ilvl w:val="0"/>
          <w:numId w:val="5"/>
        </w:numPr>
        <w:shd w:val="clear" w:color="auto" w:fill="FFFFFF"/>
        <w:spacing w:after="0"/>
        <w:rPr>
          <w:rFonts w:eastAsia="Times New Roman" w:cstheme="minorHAnsi"/>
          <w:color w:val="4A4A4A"/>
          <w:sz w:val="21"/>
          <w:szCs w:val="21"/>
          <w:lang w:eastAsia="en-GB"/>
        </w:rPr>
      </w:pPr>
      <w:r w:rsidRPr="00E50788">
        <w:rPr>
          <w:rFonts w:eastAsia="Times New Roman" w:cstheme="minorHAnsi"/>
          <w:color w:val="4A4A4A"/>
          <w:sz w:val="21"/>
          <w:szCs w:val="21"/>
          <w:lang w:eastAsia="en-GB"/>
        </w:rPr>
        <w:t xml:space="preserve">UN Statistical Division, Demographic Yearbook System: </w:t>
      </w:r>
      <w:hyperlink r:id="rId24" w:anchor="overview" w:history="1">
        <w:r w:rsidRPr="009975F4">
          <w:rPr>
            <w:rStyle w:val="Hyperlink"/>
            <w:rFonts w:eastAsia="Times New Roman" w:cstheme="minorHAnsi"/>
            <w:sz w:val="21"/>
            <w:szCs w:val="21"/>
            <w:lang w:eastAsia="en-GB"/>
          </w:rPr>
          <w:t>https://unstats.un.org/unsd/demographic-social/products/dyb/#overview</w:t>
        </w:r>
      </w:hyperlink>
      <w:r>
        <w:rPr>
          <w:rFonts w:eastAsia="Times New Roman" w:cstheme="minorHAnsi"/>
          <w:color w:val="4A4A4A"/>
          <w:sz w:val="21"/>
          <w:szCs w:val="21"/>
          <w:lang w:eastAsia="en-GB"/>
        </w:rPr>
        <w:t xml:space="preserve"> </w:t>
      </w:r>
    </w:p>
    <w:p w14:paraId="637EE298" w14:textId="77777777" w:rsidR="0069230D" w:rsidRPr="00E50788" w:rsidRDefault="0069230D" w:rsidP="0069230D">
      <w:pPr>
        <w:numPr>
          <w:ilvl w:val="0"/>
          <w:numId w:val="5"/>
        </w:numPr>
        <w:shd w:val="clear" w:color="auto" w:fill="FFFFFF"/>
        <w:spacing w:after="0"/>
        <w:rPr>
          <w:rFonts w:eastAsia="Times New Roman" w:cstheme="minorHAnsi"/>
          <w:color w:val="4A4A4A"/>
          <w:sz w:val="21"/>
          <w:szCs w:val="21"/>
          <w:lang w:eastAsia="en-GB"/>
        </w:rPr>
      </w:pPr>
      <w:r w:rsidRPr="00E50788">
        <w:rPr>
          <w:rFonts w:eastAsia="Times New Roman" w:cstheme="minorHAnsi"/>
          <w:color w:val="4A4A4A"/>
          <w:sz w:val="21"/>
          <w:szCs w:val="21"/>
          <w:lang w:eastAsia="en-GB"/>
        </w:rPr>
        <w:t xml:space="preserve">United Nations Population Division, Trends in Total Migrant Stock (2017): </w:t>
      </w:r>
      <w:hyperlink r:id="rId25" w:history="1">
        <w:r w:rsidRPr="00E50788">
          <w:rPr>
            <w:rStyle w:val="Hyperlink"/>
            <w:rFonts w:eastAsia="Times New Roman" w:cstheme="minorHAnsi"/>
            <w:sz w:val="21"/>
            <w:szCs w:val="21"/>
            <w:lang w:eastAsia="en-GB"/>
          </w:rPr>
          <w:t>http://www.un.org/en/development/desa/population/migration/data/estimates2/estimates17.shtml</w:t>
        </w:r>
      </w:hyperlink>
    </w:p>
    <w:p w14:paraId="15C7BF2F" w14:textId="77777777" w:rsidR="0069230D" w:rsidRPr="00E50788" w:rsidRDefault="0069230D" w:rsidP="0069230D">
      <w:pPr>
        <w:numPr>
          <w:ilvl w:val="0"/>
          <w:numId w:val="5"/>
        </w:numPr>
        <w:shd w:val="clear" w:color="auto" w:fill="FFFFFF"/>
        <w:spacing w:after="0"/>
        <w:rPr>
          <w:rFonts w:eastAsia="Times New Roman" w:cstheme="minorHAnsi"/>
          <w:color w:val="4A4A4A"/>
          <w:sz w:val="21"/>
          <w:szCs w:val="21"/>
          <w:lang w:eastAsia="en-GB"/>
        </w:rPr>
      </w:pPr>
      <w:r w:rsidRPr="00E50788">
        <w:rPr>
          <w:rFonts w:eastAsia="Times New Roman" w:cstheme="minorHAnsi"/>
          <w:color w:val="4A4A4A"/>
          <w:sz w:val="21"/>
          <w:szCs w:val="21"/>
          <w:lang w:eastAsia="en-GB"/>
        </w:rPr>
        <w:t xml:space="preserve">World Bank, International Migrant Stock (2012): </w:t>
      </w:r>
      <w:hyperlink r:id="rId26" w:history="1">
        <w:r w:rsidRPr="00E50788">
          <w:rPr>
            <w:rStyle w:val="Hyperlink"/>
            <w:rFonts w:eastAsia="Times New Roman" w:cstheme="minorHAnsi"/>
            <w:sz w:val="21"/>
            <w:szCs w:val="21"/>
            <w:lang w:eastAsia="en-GB"/>
          </w:rPr>
          <w:t>https://data.worldbank.org/indicator/SM.POP.TOTL</w:t>
        </w:r>
      </w:hyperlink>
    </w:p>
    <w:p w14:paraId="2AFE1902" w14:textId="77777777" w:rsidR="0069230D" w:rsidRPr="00E50788" w:rsidRDefault="0069230D" w:rsidP="0069230D">
      <w:pPr>
        <w:numPr>
          <w:ilvl w:val="0"/>
          <w:numId w:val="5"/>
        </w:numPr>
        <w:shd w:val="clear" w:color="auto" w:fill="FFFFFF"/>
        <w:spacing w:after="0"/>
        <w:rPr>
          <w:rFonts w:eastAsia="Times New Roman" w:cstheme="minorHAnsi"/>
          <w:color w:val="4A4A4A"/>
          <w:sz w:val="21"/>
          <w:szCs w:val="21"/>
          <w:lang w:eastAsia="en-GB"/>
        </w:rPr>
      </w:pPr>
      <w:r w:rsidRPr="00E50788">
        <w:rPr>
          <w:rFonts w:eastAsia="Times New Roman" w:cstheme="minorHAnsi"/>
          <w:color w:val="4A4A4A"/>
          <w:sz w:val="21"/>
          <w:szCs w:val="21"/>
          <w:lang w:eastAsia="en-GB"/>
        </w:rPr>
        <w:t xml:space="preserve">UNDP, Rule of Law Annual Report (2017 &amp; 2016): </w:t>
      </w:r>
      <w:hyperlink r:id="rId27" w:history="1">
        <w:r w:rsidRPr="009975F4">
          <w:rPr>
            <w:rStyle w:val="Hyperlink"/>
            <w:rFonts w:eastAsia="Times New Roman" w:cstheme="minorHAnsi"/>
            <w:sz w:val="21"/>
            <w:szCs w:val="21"/>
            <w:lang w:eastAsia="en-GB"/>
          </w:rPr>
          <w:t>http://www.undp.org/content/undp/en/home/librarypage/democratic-governance/access_to_justiceandruleoflaw/rule-of-law-annual-report-2017.html</w:t>
        </w:r>
      </w:hyperlink>
      <w:r>
        <w:rPr>
          <w:rFonts w:eastAsia="Times New Roman" w:cstheme="minorHAnsi"/>
          <w:color w:val="4A4A4A"/>
          <w:sz w:val="21"/>
          <w:szCs w:val="21"/>
          <w:lang w:eastAsia="en-GB"/>
        </w:rPr>
        <w:t xml:space="preserve"> </w:t>
      </w:r>
      <w:r w:rsidRPr="00E50788">
        <w:rPr>
          <w:rFonts w:eastAsia="Times New Roman" w:cstheme="minorHAnsi"/>
          <w:color w:val="4A4A4A"/>
          <w:sz w:val="21"/>
          <w:szCs w:val="21"/>
          <w:lang w:eastAsia="en-GB"/>
        </w:rPr>
        <w:t xml:space="preserve"> </w:t>
      </w:r>
      <w:hyperlink r:id="rId28" w:history="1">
        <w:r w:rsidRPr="00E50788">
          <w:rPr>
            <w:rStyle w:val="Hyperlink"/>
            <w:rFonts w:eastAsia="Times New Roman" w:cstheme="minorHAnsi"/>
            <w:sz w:val="21"/>
            <w:szCs w:val="21"/>
            <w:lang w:eastAsia="en-GB"/>
          </w:rPr>
          <w:t>http://www.undp.org/content/undp/en/home/librarypage/democratic-governance/access_to_justiceandruleoflaw/rule-of-law-annual-report-2016.html</w:t>
        </w:r>
      </w:hyperlink>
    </w:p>
    <w:p w14:paraId="71123EA3" w14:textId="77777777" w:rsidR="0069230D" w:rsidRPr="00E50788" w:rsidRDefault="0069230D" w:rsidP="0069230D">
      <w:pPr>
        <w:numPr>
          <w:ilvl w:val="0"/>
          <w:numId w:val="5"/>
        </w:numPr>
        <w:shd w:val="clear" w:color="auto" w:fill="FFFFFF"/>
        <w:spacing w:after="0"/>
        <w:rPr>
          <w:rFonts w:eastAsia="Times New Roman" w:cstheme="minorHAnsi"/>
          <w:color w:val="4A4A4A"/>
          <w:sz w:val="21"/>
          <w:szCs w:val="21"/>
          <w:lang w:eastAsia="en-GB"/>
        </w:rPr>
      </w:pPr>
      <w:r w:rsidRPr="00E50788">
        <w:rPr>
          <w:rFonts w:eastAsia="Times New Roman" w:cstheme="minorHAnsi"/>
          <w:color w:val="4A4A4A"/>
          <w:sz w:val="21"/>
          <w:szCs w:val="21"/>
          <w:lang w:eastAsia="en-GB"/>
        </w:rPr>
        <w:t xml:space="preserve">World Justice Project, Global Insights on Access to Justice (2018): </w:t>
      </w:r>
      <w:hyperlink r:id="rId29" w:history="1">
        <w:r w:rsidRPr="00E50788">
          <w:rPr>
            <w:rStyle w:val="Hyperlink"/>
            <w:rFonts w:eastAsia="Times New Roman" w:cstheme="minorHAnsi"/>
            <w:sz w:val="21"/>
            <w:szCs w:val="21"/>
            <w:lang w:eastAsia="en-GB"/>
          </w:rPr>
          <w:t>https://worldjusticeproject.org/our-work/wjp-rule-law-index/special-reports/global-insights-access-justice</w:t>
        </w:r>
      </w:hyperlink>
    </w:p>
    <w:p w14:paraId="63F9D60B" w14:textId="77777777" w:rsidR="0069230D" w:rsidRPr="00E50788" w:rsidRDefault="0069230D" w:rsidP="0069230D">
      <w:pPr>
        <w:pStyle w:val="ListParagraph"/>
        <w:numPr>
          <w:ilvl w:val="0"/>
          <w:numId w:val="5"/>
        </w:numPr>
        <w:rPr>
          <w:rFonts w:cstheme="minorHAnsi"/>
          <w:sz w:val="21"/>
          <w:szCs w:val="21"/>
        </w:rPr>
      </w:pPr>
      <w:r w:rsidRPr="00E50788">
        <w:rPr>
          <w:rFonts w:eastAsia="Times New Roman" w:cstheme="minorHAnsi"/>
          <w:color w:val="4A4A4A"/>
          <w:sz w:val="21"/>
          <w:szCs w:val="21"/>
          <w:lang w:eastAsia="en-GB"/>
        </w:rPr>
        <w:t xml:space="preserve">Convention on the Elimination of All Forms of Discrimination against Women (1979) </w:t>
      </w:r>
    </w:p>
    <w:p w14:paraId="02955451" w14:textId="77777777" w:rsidR="0069230D" w:rsidRPr="00E50788" w:rsidRDefault="0069230D" w:rsidP="0069230D">
      <w:pPr>
        <w:pStyle w:val="ListParagraph"/>
        <w:numPr>
          <w:ilvl w:val="0"/>
          <w:numId w:val="5"/>
        </w:numPr>
        <w:shd w:val="clear" w:color="auto" w:fill="FFFFFF"/>
        <w:spacing w:after="0"/>
        <w:rPr>
          <w:rFonts w:eastAsia="Times New Roman" w:cstheme="minorHAnsi"/>
          <w:color w:val="4A4A4A"/>
          <w:sz w:val="21"/>
          <w:szCs w:val="21"/>
          <w:lang w:eastAsia="en-GB"/>
        </w:rPr>
      </w:pPr>
      <w:r w:rsidRPr="00E50788">
        <w:rPr>
          <w:rFonts w:eastAsia="Times New Roman" w:cstheme="minorHAnsi"/>
          <w:color w:val="4A4A4A"/>
          <w:sz w:val="21"/>
          <w:szCs w:val="21"/>
          <w:lang w:eastAsia="en-GB"/>
        </w:rPr>
        <w:t xml:space="preserve">Beijing Declaration and Platform for Action </w:t>
      </w:r>
      <w:r>
        <w:rPr>
          <w:rFonts w:eastAsia="Times New Roman" w:cstheme="minorHAnsi"/>
          <w:color w:val="4A4A4A"/>
          <w:sz w:val="21"/>
          <w:szCs w:val="21"/>
          <w:lang w:eastAsia="en-GB"/>
        </w:rPr>
        <w:t>(1995)</w:t>
      </w:r>
    </w:p>
    <w:p w14:paraId="35D0659E" w14:textId="77777777" w:rsidR="0069230D" w:rsidRPr="00E50788" w:rsidRDefault="0069230D" w:rsidP="0069230D">
      <w:pPr>
        <w:pStyle w:val="ListParagraph"/>
        <w:numPr>
          <w:ilvl w:val="0"/>
          <w:numId w:val="5"/>
        </w:numPr>
        <w:shd w:val="clear" w:color="auto" w:fill="FFFFFF"/>
        <w:spacing w:after="0"/>
        <w:rPr>
          <w:rFonts w:eastAsia="Times New Roman" w:cstheme="minorHAnsi"/>
          <w:color w:val="4A4A4A"/>
          <w:sz w:val="21"/>
          <w:szCs w:val="21"/>
          <w:lang w:eastAsia="en-GB"/>
        </w:rPr>
      </w:pPr>
      <w:r w:rsidRPr="00E50788">
        <w:rPr>
          <w:rFonts w:eastAsia="Times New Roman" w:cstheme="minorHAnsi"/>
          <w:color w:val="4A4A4A"/>
          <w:sz w:val="21"/>
          <w:szCs w:val="21"/>
          <w:lang w:eastAsia="en-GB"/>
        </w:rPr>
        <w:t xml:space="preserve">UN Women, Progress of the World’s Women (2011): </w:t>
      </w:r>
      <w:hyperlink r:id="rId30" w:history="1">
        <w:r w:rsidRPr="00E50788">
          <w:rPr>
            <w:rStyle w:val="Hyperlink"/>
            <w:rFonts w:eastAsia="Times New Roman" w:cstheme="minorHAnsi"/>
            <w:sz w:val="21"/>
            <w:szCs w:val="21"/>
            <w:lang w:eastAsia="en-GB"/>
          </w:rPr>
          <w:t>http://www.unwomen.org/-/media/headquarters/attachments/sections/library/publications/2011/progressoftheworldswomen-2011-en.pdf?la=en&amp;vs=2835</w:t>
        </w:r>
      </w:hyperlink>
    </w:p>
    <w:p w14:paraId="16D72F1A" w14:textId="77777777" w:rsidR="0069230D" w:rsidRPr="00E50788" w:rsidRDefault="0069230D" w:rsidP="0069230D">
      <w:pPr>
        <w:numPr>
          <w:ilvl w:val="0"/>
          <w:numId w:val="5"/>
        </w:numPr>
        <w:shd w:val="clear" w:color="auto" w:fill="FFFFFF"/>
        <w:spacing w:after="0"/>
        <w:rPr>
          <w:rFonts w:eastAsia="Times New Roman" w:cstheme="minorHAnsi"/>
          <w:color w:val="4A4A4A"/>
          <w:sz w:val="21"/>
          <w:szCs w:val="21"/>
          <w:lang w:eastAsia="en-GB"/>
        </w:rPr>
      </w:pPr>
      <w:r w:rsidRPr="00E50788">
        <w:rPr>
          <w:rFonts w:eastAsia="Times New Roman" w:cstheme="minorHAnsi"/>
          <w:color w:val="4A4A4A"/>
          <w:sz w:val="21"/>
          <w:szCs w:val="21"/>
          <w:lang w:eastAsia="en-GB"/>
        </w:rPr>
        <w:t xml:space="preserve">UN Women, UNDP, UNODC, and OHCHR, A Practitioner’s Toolkit on Women’s Access to Justice Programming (2018): </w:t>
      </w:r>
      <w:hyperlink r:id="rId31" w:history="1">
        <w:r w:rsidRPr="00E50788">
          <w:rPr>
            <w:rStyle w:val="Hyperlink"/>
            <w:rFonts w:eastAsia="Times New Roman" w:cstheme="minorHAnsi"/>
            <w:sz w:val="21"/>
            <w:szCs w:val="21"/>
            <w:lang w:eastAsia="en-GB"/>
          </w:rPr>
          <w:t>http://www.unwomen.org/-/media/headquarters/attachments/sections/library/publications/2018/wa2j-module1-en.pdf?la=en&amp;vs=2655</w:t>
        </w:r>
      </w:hyperlink>
    </w:p>
    <w:p w14:paraId="5836B49D" w14:textId="77777777" w:rsidR="0069230D" w:rsidRPr="00E50788" w:rsidRDefault="0069230D" w:rsidP="0069230D">
      <w:pPr>
        <w:numPr>
          <w:ilvl w:val="0"/>
          <w:numId w:val="5"/>
        </w:numPr>
        <w:shd w:val="clear" w:color="auto" w:fill="FFFFFF"/>
        <w:spacing w:after="0"/>
        <w:rPr>
          <w:rFonts w:eastAsia="Times New Roman" w:cstheme="minorHAnsi"/>
          <w:color w:val="4A4A4A"/>
          <w:sz w:val="21"/>
          <w:szCs w:val="21"/>
          <w:lang w:eastAsia="en-GB"/>
        </w:rPr>
      </w:pPr>
      <w:r w:rsidRPr="00E50788">
        <w:rPr>
          <w:rFonts w:eastAsia="Times New Roman" w:cstheme="minorHAnsi"/>
          <w:color w:val="4A4A4A"/>
          <w:sz w:val="21"/>
          <w:szCs w:val="21"/>
          <w:lang w:eastAsia="en-GB"/>
        </w:rPr>
        <w:t xml:space="preserve">International Commission of Jurists, Women and the Judiciary (2014): </w:t>
      </w:r>
      <w:hyperlink r:id="rId32" w:history="1">
        <w:r w:rsidRPr="00E50788">
          <w:rPr>
            <w:rStyle w:val="Hyperlink"/>
            <w:rFonts w:eastAsia="Times New Roman" w:cstheme="minorHAnsi"/>
            <w:sz w:val="21"/>
            <w:szCs w:val="21"/>
            <w:lang w:eastAsia="en-GB"/>
          </w:rPr>
          <w:t>https://www.icj.org/wp-content/uploads/2014/10/Universal-Women-and-Judiciary-Gva-For-1-Publications-Conference-Report-2014-ENG.pdf</w:t>
        </w:r>
      </w:hyperlink>
    </w:p>
    <w:p w14:paraId="45BBBF68" w14:textId="77777777" w:rsidR="0069230D" w:rsidRPr="00E50788" w:rsidRDefault="0069230D" w:rsidP="0069230D">
      <w:pPr>
        <w:numPr>
          <w:ilvl w:val="0"/>
          <w:numId w:val="5"/>
        </w:numPr>
        <w:shd w:val="clear" w:color="auto" w:fill="FFFFFF"/>
        <w:spacing w:after="0"/>
        <w:rPr>
          <w:rFonts w:eastAsia="Times New Roman" w:cstheme="minorHAnsi"/>
          <w:color w:val="4A4A4A"/>
          <w:sz w:val="21"/>
          <w:szCs w:val="21"/>
          <w:lang w:eastAsia="en-GB"/>
        </w:rPr>
      </w:pPr>
      <w:r w:rsidRPr="00E50788">
        <w:rPr>
          <w:rFonts w:eastAsia="Times New Roman" w:cstheme="minorHAnsi"/>
          <w:color w:val="4A4A4A"/>
          <w:sz w:val="21"/>
          <w:szCs w:val="21"/>
          <w:lang w:eastAsia="en-GB"/>
        </w:rPr>
        <w:lastRenderedPageBreak/>
        <w:t xml:space="preserve">OECD, Women in Public Life: </w:t>
      </w:r>
      <w:hyperlink r:id="rId33" w:history="1">
        <w:r w:rsidRPr="00E50788">
          <w:rPr>
            <w:rStyle w:val="Hyperlink"/>
            <w:rFonts w:eastAsia="Times New Roman" w:cstheme="minorHAnsi"/>
            <w:sz w:val="21"/>
            <w:szCs w:val="21"/>
            <w:lang w:eastAsia="en-GB"/>
          </w:rPr>
          <w:t>https://www.oecd.org/mena/governance/women-in-public-life-mena-brochure.pdf</w:t>
        </w:r>
      </w:hyperlink>
    </w:p>
    <w:p w14:paraId="4EAAC07D" w14:textId="77777777" w:rsidR="0069230D" w:rsidRPr="00E50788" w:rsidRDefault="0069230D" w:rsidP="0069230D">
      <w:pPr>
        <w:numPr>
          <w:ilvl w:val="0"/>
          <w:numId w:val="5"/>
        </w:numPr>
        <w:shd w:val="clear" w:color="auto" w:fill="FFFFFF"/>
        <w:spacing w:after="0"/>
        <w:rPr>
          <w:rFonts w:eastAsia="Times New Roman" w:cstheme="minorHAnsi"/>
          <w:color w:val="4A4A4A"/>
          <w:sz w:val="21"/>
          <w:szCs w:val="21"/>
          <w:lang w:eastAsia="en-GB"/>
        </w:rPr>
      </w:pPr>
      <w:r w:rsidRPr="00E50788">
        <w:rPr>
          <w:rFonts w:eastAsia="Times New Roman" w:cstheme="minorHAnsi"/>
          <w:color w:val="4A4A4A"/>
          <w:sz w:val="21"/>
          <w:szCs w:val="21"/>
          <w:lang w:eastAsia="en-GB"/>
        </w:rPr>
        <w:t xml:space="preserve">ILO, Women Delivering Justice: Contributions, Barriers, and Pathways (2018): </w:t>
      </w:r>
      <w:hyperlink r:id="rId34" w:history="1">
        <w:r w:rsidRPr="00E50788">
          <w:rPr>
            <w:rStyle w:val="Hyperlink"/>
            <w:rFonts w:eastAsia="Times New Roman" w:cstheme="minorHAnsi"/>
            <w:sz w:val="21"/>
            <w:szCs w:val="21"/>
            <w:lang w:eastAsia="en-GB"/>
          </w:rPr>
          <w:t>https://www.idlo.int/sites/default/files/pdfs/publications/IDLO%20-%20Women%20Delivering%20Justice%20-%202018.pdf</w:t>
        </w:r>
      </w:hyperlink>
    </w:p>
    <w:p w14:paraId="07A74EBC" w14:textId="77777777" w:rsidR="0069230D" w:rsidRDefault="0069230D" w:rsidP="0069230D">
      <w:pPr>
        <w:pStyle w:val="ListParagraph"/>
        <w:numPr>
          <w:ilvl w:val="0"/>
          <w:numId w:val="5"/>
        </w:numPr>
        <w:shd w:val="clear" w:color="auto" w:fill="FFFFFF"/>
        <w:spacing w:after="0"/>
        <w:rPr>
          <w:rFonts w:eastAsia="Times New Roman" w:cstheme="minorHAnsi"/>
          <w:color w:val="4A4A4A"/>
          <w:sz w:val="21"/>
          <w:szCs w:val="21"/>
          <w:lang w:eastAsia="en-GB"/>
        </w:rPr>
      </w:pPr>
      <w:r w:rsidRPr="00E50788">
        <w:rPr>
          <w:rFonts w:eastAsia="Times New Roman" w:cstheme="minorHAnsi"/>
          <w:color w:val="4A4A4A"/>
          <w:sz w:val="21"/>
          <w:szCs w:val="21"/>
          <w:lang w:eastAsia="en-GB"/>
        </w:rPr>
        <w:t xml:space="preserve">Security Council Resolution 2250 </w:t>
      </w:r>
      <w:r>
        <w:rPr>
          <w:rFonts w:eastAsia="Times New Roman" w:cstheme="minorHAnsi"/>
          <w:color w:val="4A4A4A"/>
          <w:sz w:val="21"/>
          <w:szCs w:val="21"/>
          <w:lang w:eastAsia="en-GB"/>
        </w:rPr>
        <w:t>(</w:t>
      </w:r>
      <w:r w:rsidRPr="00E50788">
        <w:rPr>
          <w:rFonts w:eastAsia="Times New Roman" w:cstheme="minorHAnsi"/>
          <w:color w:val="4A4A4A"/>
          <w:sz w:val="21"/>
          <w:szCs w:val="21"/>
          <w:lang w:eastAsia="en-GB"/>
        </w:rPr>
        <w:t>2015</w:t>
      </w:r>
      <w:r>
        <w:rPr>
          <w:rFonts w:eastAsia="Times New Roman" w:cstheme="minorHAnsi"/>
          <w:color w:val="4A4A4A"/>
          <w:sz w:val="21"/>
          <w:szCs w:val="21"/>
          <w:lang w:eastAsia="en-GB"/>
        </w:rPr>
        <w:t>)</w:t>
      </w:r>
    </w:p>
    <w:p w14:paraId="3884352D" w14:textId="77777777" w:rsidR="0069230D" w:rsidRPr="008C70ED" w:rsidRDefault="0069230D" w:rsidP="0069230D">
      <w:pPr>
        <w:pStyle w:val="ListParagraph"/>
        <w:numPr>
          <w:ilvl w:val="0"/>
          <w:numId w:val="5"/>
        </w:numPr>
        <w:shd w:val="clear" w:color="auto" w:fill="FFFFFF"/>
        <w:spacing w:after="0"/>
        <w:rPr>
          <w:rFonts w:eastAsia="Times New Roman" w:cstheme="minorHAnsi"/>
          <w:color w:val="4A4A4A"/>
          <w:sz w:val="21"/>
          <w:szCs w:val="21"/>
          <w:lang w:eastAsia="en-GB"/>
        </w:rPr>
      </w:pPr>
      <w:r w:rsidRPr="008C70ED">
        <w:rPr>
          <w:rFonts w:eastAsia="Times New Roman" w:cstheme="minorHAnsi"/>
          <w:color w:val="4A4A4A"/>
          <w:sz w:val="21"/>
          <w:szCs w:val="21"/>
          <w:lang w:eastAsia="en-GB"/>
        </w:rPr>
        <w:t>Secretary-General's remarks on Youth, Peace and Security (2017</w:t>
      </w:r>
      <w:r>
        <w:rPr>
          <w:rFonts w:eastAsia="Times New Roman" w:cstheme="minorHAnsi"/>
          <w:color w:val="4A4A4A"/>
          <w:sz w:val="21"/>
          <w:szCs w:val="21"/>
          <w:lang w:eastAsia="en-GB"/>
        </w:rPr>
        <w:t xml:space="preserve">): </w:t>
      </w:r>
      <w:hyperlink r:id="rId35" w:history="1">
        <w:r w:rsidRPr="00FA5D74">
          <w:rPr>
            <w:rStyle w:val="Hyperlink"/>
            <w:rFonts w:eastAsia="Times New Roman" w:cstheme="minorHAnsi"/>
            <w:sz w:val="21"/>
            <w:szCs w:val="21"/>
            <w:lang w:eastAsia="en-GB"/>
          </w:rPr>
          <w:t>https://www.un.org/sg/en/content/sg/statement/2017-09-21/secretary-generals-remarks-youth-peace-and-security-delivered</w:t>
        </w:r>
      </w:hyperlink>
      <w:r>
        <w:rPr>
          <w:rFonts w:eastAsia="Times New Roman" w:cstheme="minorHAnsi"/>
          <w:color w:val="4A4A4A"/>
          <w:sz w:val="21"/>
          <w:szCs w:val="21"/>
          <w:lang w:eastAsia="en-GB"/>
        </w:rPr>
        <w:t xml:space="preserve"> </w:t>
      </w:r>
    </w:p>
    <w:p w14:paraId="42F8BFA3" w14:textId="77777777" w:rsidR="0069230D" w:rsidRPr="00E50788" w:rsidRDefault="0069230D" w:rsidP="0069230D">
      <w:pPr>
        <w:pStyle w:val="ListParagraph"/>
        <w:numPr>
          <w:ilvl w:val="0"/>
          <w:numId w:val="5"/>
        </w:numPr>
        <w:shd w:val="clear" w:color="auto" w:fill="FFFFFF"/>
        <w:spacing w:after="0"/>
        <w:rPr>
          <w:rFonts w:eastAsia="Times New Roman" w:cstheme="minorHAnsi"/>
          <w:color w:val="4A4A4A"/>
          <w:sz w:val="21"/>
          <w:szCs w:val="21"/>
          <w:lang w:eastAsia="en-GB"/>
        </w:rPr>
      </w:pPr>
      <w:r w:rsidRPr="00E50788">
        <w:rPr>
          <w:rFonts w:eastAsia="Times New Roman" w:cstheme="minorHAnsi"/>
          <w:color w:val="4A4A4A"/>
          <w:sz w:val="21"/>
          <w:szCs w:val="21"/>
          <w:lang w:eastAsia="en-GB"/>
        </w:rPr>
        <w:t xml:space="preserve">United Nations Convention on the Rights of Persons with Disabilities (2006) </w:t>
      </w:r>
    </w:p>
    <w:p w14:paraId="5BDCA435" w14:textId="77777777" w:rsidR="0069230D" w:rsidRPr="00E50788" w:rsidRDefault="0069230D" w:rsidP="0069230D">
      <w:pPr>
        <w:pStyle w:val="ListParagraph"/>
        <w:numPr>
          <w:ilvl w:val="0"/>
          <w:numId w:val="5"/>
        </w:numPr>
        <w:shd w:val="clear" w:color="auto" w:fill="FFFFFF"/>
        <w:spacing w:after="0"/>
        <w:rPr>
          <w:rFonts w:eastAsia="Times New Roman" w:cstheme="minorHAnsi"/>
          <w:color w:val="4A4A4A"/>
          <w:sz w:val="21"/>
          <w:szCs w:val="21"/>
          <w:lang w:eastAsia="en-GB"/>
        </w:rPr>
      </w:pPr>
      <w:r w:rsidRPr="00E50788">
        <w:rPr>
          <w:rFonts w:eastAsia="Times New Roman" w:cstheme="minorHAnsi"/>
          <w:color w:val="4A4A4A"/>
          <w:sz w:val="21"/>
          <w:szCs w:val="21"/>
          <w:lang w:eastAsia="en-GB"/>
        </w:rPr>
        <w:t xml:space="preserve">Committee on the Rights of Persons with Disabilities, Draft General Comment on Article 4.3 and 33.3 of the Convention on the Participation with Persons with Disabilities in the Implementation and Monitoring of the Convention (2018): </w:t>
      </w:r>
      <w:hyperlink r:id="rId36" w:history="1">
        <w:r w:rsidRPr="009975F4">
          <w:rPr>
            <w:rStyle w:val="Hyperlink"/>
            <w:rFonts w:eastAsia="Times New Roman" w:cstheme="minorHAnsi"/>
            <w:sz w:val="21"/>
            <w:szCs w:val="21"/>
            <w:lang w:eastAsia="en-GB"/>
          </w:rPr>
          <w:t>https://www.ohchr.org/Documents/HRBodies/CRPD/Draft_GC7.docx</w:t>
        </w:r>
      </w:hyperlink>
      <w:r>
        <w:rPr>
          <w:rFonts w:eastAsia="Times New Roman" w:cstheme="minorHAnsi"/>
          <w:color w:val="4A4A4A"/>
          <w:sz w:val="21"/>
          <w:szCs w:val="21"/>
          <w:lang w:eastAsia="en-GB"/>
        </w:rPr>
        <w:t xml:space="preserve"> </w:t>
      </w:r>
    </w:p>
    <w:p w14:paraId="3A9476D9" w14:textId="77777777" w:rsidR="0069230D" w:rsidRPr="00E50788" w:rsidRDefault="0069230D" w:rsidP="0069230D">
      <w:pPr>
        <w:pStyle w:val="ListParagraph"/>
        <w:numPr>
          <w:ilvl w:val="0"/>
          <w:numId w:val="5"/>
        </w:numPr>
        <w:shd w:val="clear" w:color="auto" w:fill="FFFFFF"/>
        <w:spacing w:after="0"/>
        <w:rPr>
          <w:rFonts w:eastAsia="Times New Roman" w:cstheme="minorHAnsi"/>
          <w:color w:val="4A4A4A"/>
          <w:sz w:val="21"/>
          <w:szCs w:val="21"/>
          <w:lang w:eastAsia="en-GB"/>
        </w:rPr>
      </w:pPr>
      <w:r w:rsidRPr="00E50788">
        <w:rPr>
          <w:rFonts w:eastAsia="Times New Roman" w:cstheme="minorHAnsi"/>
          <w:color w:val="4A4A4A"/>
          <w:sz w:val="21"/>
          <w:szCs w:val="21"/>
          <w:lang w:eastAsia="en-GB"/>
        </w:rPr>
        <w:t xml:space="preserve">UNDP, Disability Inclusive Development in UNDP: Guidance and Entry Points (2018): </w:t>
      </w:r>
      <w:hyperlink r:id="rId37" w:history="1">
        <w:r w:rsidRPr="00E50788">
          <w:rPr>
            <w:rStyle w:val="Hyperlink"/>
            <w:rFonts w:eastAsia="Times New Roman" w:cstheme="minorHAnsi"/>
            <w:sz w:val="21"/>
            <w:szCs w:val="21"/>
            <w:lang w:eastAsia="en-GB"/>
          </w:rPr>
          <w:t>http://www.undp.org/content/dam/undp/library/Democratic%20Governance/Human%20Rights/UNDP-_Disability_Inclusive_Development__accessible.pdf</w:t>
        </w:r>
      </w:hyperlink>
    </w:p>
    <w:p w14:paraId="6CA02464" w14:textId="77777777" w:rsidR="0069230D" w:rsidRPr="00D15A8C" w:rsidRDefault="0069230D" w:rsidP="0069230D">
      <w:pPr>
        <w:numPr>
          <w:ilvl w:val="0"/>
          <w:numId w:val="5"/>
        </w:numPr>
        <w:shd w:val="clear" w:color="auto" w:fill="FFFFFF"/>
        <w:spacing w:after="0"/>
        <w:rPr>
          <w:rFonts w:eastAsia="Times New Roman" w:cstheme="minorHAnsi"/>
          <w:color w:val="404040" w:themeColor="text1" w:themeTint="BF"/>
          <w:sz w:val="21"/>
          <w:szCs w:val="21"/>
          <w:lang w:eastAsia="en-GB"/>
        </w:rPr>
      </w:pPr>
      <w:r w:rsidRPr="00D15A8C">
        <w:rPr>
          <w:rFonts w:cstheme="minorHAnsi"/>
          <w:color w:val="404040" w:themeColor="text1" w:themeTint="BF"/>
          <w:sz w:val="21"/>
          <w:szCs w:val="21"/>
          <w:lang w:eastAsia="en-GB"/>
        </w:rPr>
        <w:t xml:space="preserve">Declaration on the Rights of Persons belonging to National or Ethnic, Religious and Linguistic Minorities (1992) </w:t>
      </w:r>
    </w:p>
    <w:p w14:paraId="56A10E0F" w14:textId="77777777" w:rsidR="0069230D" w:rsidRPr="00D15A8C" w:rsidRDefault="0069230D" w:rsidP="0069230D">
      <w:pPr>
        <w:numPr>
          <w:ilvl w:val="0"/>
          <w:numId w:val="5"/>
        </w:numPr>
        <w:shd w:val="clear" w:color="auto" w:fill="FFFFFF"/>
        <w:spacing w:after="0"/>
        <w:rPr>
          <w:rFonts w:eastAsia="Times New Roman" w:cstheme="minorHAnsi"/>
          <w:color w:val="404040" w:themeColor="text1" w:themeTint="BF"/>
          <w:sz w:val="21"/>
          <w:szCs w:val="21"/>
          <w:lang w:eastAsia="en-GB"/>
        </w:rPr>
      </w:pPr>
      <w:r w:rsidRPr="00D15A8C">
        <w:rPr>
          <w:rFonts w:cstheme="minorHAnsi"/>
          <w:color w:val="404040" w:themeColor="text1" w:themeTint="BF"/>
          <w:sz w:val="21"/>
          <w:szCs w:val="21"/>
          <w:lang w:eastAsia="en-GB"/>
        </w:rPr>
        <w:t>Declaration on the Rights of Indigenous Peoples (2007)</w:t>
      </w:r>
    </w:p>
    <w:p w14:paraId="7BA5277E" w14:textId="77777777" w:rsidR="0069230D" w:rsidRPr="00E50788" w:rsidRDefault="0069230D" w:rsidP="0069230D">
      <w:pPr>
        <w:numPr>
          <w:ilvl w:val="0"/>
          <w:numId w:val="5"/>
        </w:numPr>
        <w:shd w:val="clear" w:color="auto" w:fill="FFFFFF"/>
        <w:spacing w:after="0"/>
        <w:rPr>
          <w:rFonts w:eastAsia="Times New Roman" w:cstheme="minorHAnsi"/>
          <w:color w:val="4A4A4A"/>
          <w:sz w:val="21"/>
          <w:szCs w:val="21"/>
          <w:lang w:eastAsia="en-GB"/>
        </w:rPr>
      </w:pPr>
      <w:bookmarkStart w:id="10" w:name="_Hlk536184976"/>
      <w:r w:rsidRPr="00D15A8C">
        <w:rPr>
          <w:rFonts w:eastAsia="Times New Roman" w:cstheme="minorHAnsi"/>
          <w:color w:val="404040" w:themeColor="text1" w:themeTint="BF"/>
          <w:sz w:val="21"/>
          <w:szCs w:val="21"/>
          <w:lang w:eastAsia="en-GB"/>
        </w:rPr>
        <w:t xml:space="preserve">OHCHR, A Human-Rights Based Approach to Data: Leaving No One Behind in the 2030 Agenda for </w:t>
      </w:r>
      <w:r w:rsidRPr="00E50788">
        <w:rPr>
          <w:rFonts w:eastAsia="Times New Roman" w:cstheme="minorHAnsi"/>
          <w:color w:val="4A4A4A"/>
          <w:sz w:val="21"/>
          <w:szCs w:val="21"/>
          <w:lang w:eastAsia="en-GB"/>
        </w:rPr>
        <w:t xml:space="preserve">Sustainable Development (2018): </w:t>
      </w:r>
      <w:hyperlink r:id="rId38" w:history="1">
        <w:r w:rsidRPr="00E50788">
          <w:rPr>
            <w:rStyle w:val="Hyperlink"/>
            <w:rFonts w:eastAsia="Times New Roman" w:cstheme="minorHAnsi"/>
            <w:sz w:val="21"/>
            <w:szCs w:val="21"/>
            <w:lang w:eastAsia="en-GB"/>
          </w:rPr>
          <w:t>https://www.ohchr.org/Documents/Issues/HRIndicators/GuidanceNoteonApproachtoData.pdf</w:t>
        </w:r>
      </w:hyperlink>
    </w:p>
    <w:bookmarkEnd w:id="10"/>
    <w:p w14:paraId="09E90902" w14:textId="77777777" w:rsidR="0069230D" w:rsidRPr="00E50788" w:rsidRDefault="0069230D" w:rsidP="0069230D">
      <w:pPr>
        <w:numPr>
          <w:ilvl w:val="0"/>
          <w:numId w:val="5"/>
        </w:numPr>
        <w:shd w:val="clear" w:color="auto" w:fill="FFFFFF"/>
        <w:spacing w:after="0"/>
        <w:rPr>
          <w:rStyle w:val="Hyperlink"/>
          <w:rFonts w:eastAsia="Times New Roman" w:cstheme="minorHAnsi"/>
          <w:color w:val="4A4A4A"/>
          <w:sz w:val="21"/>
          <w:szCs w:val="21"/>
          <w:u w:val="none"/>
          <w:lang w:eastAsia="en-GB"/>
        </w:rPr>
      </w:pPr>
      <w:r w:rsidRPr="00E50788">
        <w:rPr>
          <w:rFonts w:eastAsia="Times New Roman" w:cstheme="minorHAnsi"/>
          <w:color w:val="4A4A4A"/>
          <w:sz w:val="21"/>
          <w:szCs w:val="21"/>
          <w:lang w:eastAsia="en-GB"/>
        </w:rPr>
        <w:t xml:space="preserve">World Bank, Pathways for Peace (2018): </w:t>
      </w:r>
      <w:hyperlink r:id="rId39" w:history="1">
        <w:r w:rsidRPr="00E50788">
          <w:rPr>
            <w:rStyle w:val="Hyperlink"/>
            <w:rFonts w:eastAsia="Times New Roman" w:cstheme="minorHAnsi"/>
            <w:sz w:val="21"/>
            <w:szCs w:val="21"/>
            <w:lang w:eastAsia="en-GB"/>
          </w:rPr>
          <w:t>https://openknowledge.worldbank.org/handle/10986/28337</w:t>
        </w:r>
      </w:hyperlink>
    </w:p>
    <w:p w14:paraId="4C0B4B7F" w14:textId="77777777" w:rsidR="0069230D" w:rsidRPr="00E50788" w:rsidRDefault="0069230D" w:rsidP="0069230D">
      <w:pPr>
        <w:numPr>
          <w:ilvl w:val="0"/>
          <w:numId w:val="5"/>
        </w:numPr>
        <w:shd w:val="clear" w:color="auto" w:fill="FFFFFF"/>
        <w:spacing w:after="0"/>
        <w:rPr>
          <w:rFonts w:eastAsia="Times New Roman" w:cstheme="minorHAnsi"/>
          <w:color w:val="4A4A4A"/>
          <w:sz w:val="21"/>
          <w:szCs w:val="21"/>
          <w:lang w:eastAsia="en-GB"/>
        </w:rPr>
      </w:pPr>
      <w:r w:rsidRPr="00E50788">
        <w:rPr>
          <w:rFonts w:eastAsia="Times New Roman" w:cstheme="minorHAnsi"/>
          <w:color w:val="4A4A4A"/>
          <w:sz w:val="21"/>
          <w:szCs w:val="21"/>
          <w:lang w:eastAsia="en-GB"/>
        </w:rPr>
        <w:t xml:space="preserve">Iyiola Solanke, </w:t>
      </w:r>
      <w:r w:rsidRPr="00E50788">
        <w:rPr>
          <w:rFonts w:eastAsia="Times New Roman" w:cstheme="minorHAnsi"/>
          <w:i/>
          <w:color w:val="4A4A4A"/>
          <w:sz w:val="21"/>
          <w:szCs w:val="21"/>
          <w:lang w:eastAsia="en-GB"/>
        </w:rPr>
        <w:t>Diversity and Independence in the European Court of Justice</w:t>
      </w:r>
      <w:r w:rsidRPr="00E50788">
        <w:rPr>
          <w:rFonts w:eastAsia="Times New Roman" w:cstheme="minorHAnsi"/>
          <w:color w:val="4A4A4A"/>
          <w:sz w:val="21"/>
          <w:szCs w:val="21"/>
          <w:lang w:eastAsia="en-GB"/>
        </w:rPr>
        <w:t xml:space="preserve">, Columbia Journal of European Law vol. 15, no. 1, p. 112 (2009) </w:t>
      </w:r>
    </w:p>
    <w:p w14:paraId="685C22B2" w14:textId="77777777" w:rsidR="0069230D" w:rsidRPr="00E50788" w:rsidRDefault="0069230D" w:rsidP="0069230D">
      <w:pPr>
        <w:numPr>
          <w:ilvl w:val="0"/>
          <w:numId w:val="5"/>
        </w:numPr>
        <w:shd w:val="clear" w:color="auto" w:fill="FFFFFF"/>
        <w:spacing w:after="0"/>
        <w:rPr>
          <w:rFonts w:eastAsia="Times New Roman" w:cstheme="minorHAnsi"/>
          <w:color w:val="4A4A4A"/>
          <w:sz w:val="21"/>
          <w:szCs w:val="21"/>
          <w:lang w:eastAsia="en-GB"/>
        </w:rPr>
      </w:pPr>
      <w:r w:rsidRPr="00E50788">
        <w:rPr>
          <w:rFonts w:eastAsia="Times New Roman" w:cstheme="minorHAnsi"/>
          <w:color w:val="4A4A4A"/>
          <w:sz w:val="21"/>
          <w:szCs w:val="21"/>
          <w:lang w:eastAsia="en-GB"/>
        </w:rPr>
        <w:t xml:space="preserve">Joy Milligan, </w:t>
      </w:r>
      <w:r w:rsidRPr="00E50788">
        <w:rPr>
          <w:rFonts w:eastAsia="Times New Roman" w:cstheme="minorHAnsi"/>
          <w:i/>
          <w:color w:val="4A4A4A"/>
          <w:sz w:val="21"/>
          <w:szCs w:val="21"/>
          <w:lang w:eastAsia="en-GB"/>
        </w:rPr>
        <w:t xml:space="preserve">Pluralism </w:t>
      </w:r>
      <w:r>
        <w:rPr>
          <w:rFonts w:eastAsia="Times New Roman" w:cstheme="minorHAnsi"/>
          <w:i/>
          <w:color w:val="4A4A4A"/>
          <w:sz w:val="21"/>
          <w:szCs w:val="21"/>
          <w:lang w:eastAsia="en-GB"/>
        </w:rPr>
        <w:t>i</w:t>
      </w:r>
      <w:r w:rsidRPr="00E50788">
        <w:rPr>
          <w:rFonts w:eastAsia="Times New Roman" w:cstheme="minorHAnsi"/>
          <w:i/>
          <w:color w:val="4A4A4A"/>
          <w:sz w:val="21"/>
          <w:szCs w:val="21"/>
          <w:lang w:eastAsia="en-GB"/>
        </w:rPr>
        <w:t>n America: Why Judicial Diversity Improves Legal Decisions About Political Morality</w:t>
      </w:r>
      <w:r w:rsidRPr="00E50788">
        <w:rPr>
          <w:rFonts w:eastAsia="Times New Roman" w:cstheme="minorHAnsi"/>
          <w:color w:val="4A4A4A"/>
          <w:sz w:val="21"/>
          <w:szCs w:val="21"/>
          <w:lang w:eastAsia="en-GB"/>
        </w:rPr>
        <w:t>, New York University Law Review vol. 8, p. 1206 (2006)</w:t>
      </w:r>
    </w:p>
    <w:p w14:paraId="31AC0585" w14:textId="77777777" w:rsidR="0069230D" w:rsidRPr="00E50788" w:rsidRDefault="0069230D" w:rsidP="0069230D">
      <w:pPr>
        <w:numPr>
          <w:ilvl w:val="0"/>
          <w:numId w:val="5"/>
        </w:numPr>
        <w:shd w:val="clear" w:color="auto" w:fill="FFFFFF"/>
        <w:spacing w:after="0"/>
        <w:rPr>
          <w:rFonts w:eastAsia="Times New Roman" w:cstheme="minorHAnsi"/>
          <w:color w:val="4A4A4A"/>
          <w:sz w:val="21"/>
          <w:szCs w:val="21"/>
          <w:lang w:eastAsia="en-GB"/>
        </w:rPr>
      </w:pPr>
      <w:r w:rsidRPr="00E50788">
        <w:rPr>
          <w:rFonts w:eastAsia="Times New Roman" w:cstheme="minorHAnsi"/>
          <w:color w:val="4A4A4A"/>
          <w:sz w:val="21"/>
          <w:szCs w:val="21"/>
          <w:lang w:eastAsia="en-GB"/>
        </w:rPr>
        <w:t xml:space="preserve">U.S. Federal Judicial Center, Diversity on the Bench: </w:t>
      </w:r>
      <w:hyperlink r:id="rId40" w:history="1">
        <w:r w:rsidRPr="00E50788">
          <w:rPr>
            <w:rStyle w:val="Hyperlink"/>
            <w:rFonts w:eastAsia="Times New Roman" w:cstheme="minorHAnsi"/>
            <w:sz w:val="21"/>
            <w:szCs w:val="21"/>
            <w:lang w:eastAsia="en-GB"/>
          </w:rPr>
          <w:t>https://www.fjc.gov/node/7491</w:t>
        </w:r>
      </w:hyperlink>
    </w:p>
    <w:p w14:paraId="2F5C86A6" w14:textId="77777777" w:rsidR="0069230D" w:rsidRPr="00E50788" w:rsidRDefault="0069230D" w:rsidP="0069230D">
      <w:pPr>
        <w:numPr>
          <w:ilvl w:val="0"/>
          <w:numId w:val="5"/>
        </w:numPr>
        <w:shd w:val="clear" w:color="auto" w:fill="FFFFFF"/>
        <w:spacing w:after="0"/>
        <w:rPr>
          <w:rFonts w:eastAsia="Times New Roman" w:cstheme="minorHAnsi"/>
          <w:color w:val="4A4A4A"/>
          <w:sz w:val="21"/>
          <w:szCs w:val="21"/>
          <w:lang w:eastAsia="en-GB"/>
        </w:rPr>
      </w:pPr>
      <w:r w:rsidRPr="00E50788">
        <w:rPr>
          <w:rFonts w:eastAsia="Times New Roman" w:cstheme="minorHAnsi"/>
          <w:color w:val="4A4A4A"/>
          <w:sz w:val="21"/>
          <w:szCs w:val="21"/>
          <w:lang w:eastAsia="en-GB"/>
        </w:rPr>
        <w:t xml:space="preserve">Netherlands, Ethnic Minority Representation in the Judiciary (2007): </w:t>
      </w:r>
      <w:hyperlink r:id="rId41" w:history="1">
        <w:r w:rsidRPr="00E50788">
          <w:rPr>
            <w:rStyle w:val="Hyperlink"/>
            <w:rFonts w:eastAsia="Times New Roman" w:cstheme="minorHAnsi"/>
            <w:sz w:val="21"/>
            <w:szCs w:val="21"/>
            <w:lang w:eastAsia="en-GB"/>
          </w:rPr>
          <w:t>https://www.rechtspraak.nl/SiteCollectionDocuments/Ethnic-representation-in-the-judiciary.pdf</w:t>
        </w:r>
      </w:hyperlink>
    </w:p>
    <w:p w14:paraId="0BA66526" w14:textId="77777777" w:rsidR="0069230D" w:rsidRPr="00E50788" w:rsidRDefault="0069230D" w:rsidP="0069230D">
      <w:pPr>
        <w:numPr>
          <w:ilvl w:val="0"/>
          <w:numId w:val="5"/>
        </w:numPr>
        <w:shd w:val="clear" w:color="auto" w:fill="FFFFFF"/>
        <w:spacing w:after="0"/>
        <w:rPr>
          <w:rFonts w:eastAsia="Times New Roman" w:cstheme="minorHAnsi"/>
          <w:color w:val="4A4A4A"/>
          <w:sz w:val="21"/>
          <w:szCs w:val="21"/>
          <w:lang w:eastAsia="en-GB"/>
        </w:rPr>
      </w:pPr>
      <w:r w:rsidRPr="00E50788">
        <w:rPr>
          <w:rFonts w:eastAsia="Times New Roman" w:cstheme="minorHAnsi"/>
          <w:color w:val="4A4A4A"/>
          <w:sz w:val="21"/>
          <w:szCs w:val="21"/>
          <w:lang w:eastAsia="en-GB"/>
        </w:rPr>
        <w:t xml:space="preserve">European Network of Councils for the Judiciary, </w:t>
      </w:r>
      <w:r w:rsidRPr="00E50788">
        <w:rPr>
          <w:rFonts w:eastAsia="Times New Roman" w:cstheme="minorHAnsi"/>
          <w:i/>
          <w:color w:val="4A4A4A"/>
          <w:sz w:val="21"/>
          <w:szCs w:val="21"/>
          <w:lang w:eastAsia="en-GB"/>
        </w:rPr>
        <w:t>Independence and Accountability of the Judiciary and of the Prosecution: Performance Indicators</w:t>
      </w:r>
      <w:r w:rsidRPr="00E50788">
        <w:rPr>
          <w:rFonts w:eastAsia="Times New Roman" w:cstheme="minorHAnsi"/>
          <w:color w:val="4A4A4A"/>
          <w:sz w:val="21"/>
          <w:szCs w:val="21"/>
          <w:lang w:eastAsia="en-GB"/>
        </w:rPr>
        <w:t xml:space="preserve"> (2015): </w:t>
      </w:r>
      <w:hyperlink r:id="rId42" w:history="1">
        <w:r w:rsidRPr="00E50788">
          <w:rPr>
            <w:rStyle w:val="Hyperlink"/>
            <w:rFonts w:eastAsia="Times New Roman" w:cstheme="minorHAnsi"/>
            <w:sz w:val="21"/>
            <w:szCs w:val="21"/>
            <w:lang w:eastAsia="en-GB"/>
          </w:rPr>
          <w:t>https://www.njb.nl/Uploads/2015/6/Rapport-ENCJ-5-juni-2015-1.pdf</w:t>
        </w:r>
      </w:hyperlink>
    </w:p>
    <w:p w14:paraId="09832A4A" w14:textId="77777777" w:rsidR="0069230D" w:rsidRPr="00E50788" w:rsidRDefault="0069230D" w:rsidP="0069230D">
      <w:pPr>
        <w:numPr>
          <w:ilvl w:val="0"/>
          <w:numId w:val="5"/>
        </w:numPr>
        <w:shd w:val="clear" w:color="auto" w:fill="FFFFFF"/>
        <w:spacing w:after="0"/>
        <w:rPr>
          <w:rFonts w:eastAsia="Times New Roman" w:cstheme="minorHAnsi"/>
          <w:color w:val="4A4A4A"/>
          <w:sz w:val="21"/>
          <w:szCs w:val="21"/>
          <w:lang w:eastAsia="en-GB"/>
        </w:rPr>
      </w:pPr>
      <w:r w:rsidRPr="00E50788">
        <w:rPr>
          <w:rFonts w:eastAsia="Times New Roman" w:cstheme="minorHAnsi"/>
          <w:color w:val="4A4A4A"/>
          <w:sz w:val="21"/>
          <w:szCs w:val="21"/>
          <w:lang w:eastAsia="en-GB"/>
        </w:rPr>
        <w:t xml:space="preserve">Singapore Ministry of Social and Family Development, Judges &amp; Judicial Officers in the Supreme Court: </w:t>
      </w:r>
      <w:hyperlink r:id="rId43" w:history="1">
        <w:r w:rsidRPr="00E50788">
          <w:rPr>
            <w:rStyle w:val="Hyperlink"/>
            <w:rFonts w:eastAsia="Times New Roman" w:cstheme="minorHAnsi"/>
            <w:sz w:val="21"/>
            <w:szCs w:val="21"/>
            <w:lang w:eastAsia="en-GB"/>
          </w:rPr>
          <w:t>https://www.msf.gov.sg/research-and-data/Research-and-Statistics/Pages/Decision-Making-Positions-Judges-Judicial-Officers-Supreme-Court.aspx</w:t>
        </w:r>
      </w:hyperlink>
    </w:p>
    <w:p w14:paraId="07FA174D" w14:textId="77777777" w:rsidR="0069230D" w:rsidRPr="00E50788" w:rsidRDefault="0069230D" w:rsidP="0069230D">
      <w:pPr>
        <w:numPr>
          <w:ilvl w:val="0"/>
          <w:numId w:val="5"/>
        </w:numPr>
        <w:shd w:val="clear" w:color="auto" w:fill="FFFFFF"/>
        <w:spacing w:after="0"/>
        <w:rPr>
          <w:rFonts w:eastAsia="Times New Roman" w:cstheme="minorHAnsi"/>
          <w:color w:val="4A4A4A"/>
          <w:sz w:val="21"/>
          <w:szCs w:val="21"/>
          <w:lang w:eastAsia="en-GB"/>
        </w:rPr>
      </w:pPr>
      <w:r w:rsidRPr="00E50788">
        <w:rPr>
          <w:rFonts w:eastAsia="Times New Roman" w:cstheme="minorHAnsi"/>
          <w:color w:val="4A4A4A"/>
          <w:sz w:val="21"/>
          <w:szCs w:val="21"/>
          <w:lang w:eastAsia="en-GB"/>
        </w:rPr>
        <w:t xml:space="preserve">Times of India, Article on Women Judges (2017): </w:t>
      </w:r>
      <w:hyperlink r:id="rId44" w:history="1">
        <w:r w:rsidRPr="00E50788">
          <w:rPr>
            <w:rStyle w:val="Hyperlink"/>
            <w:rFonts w:eastAsia="Times New Roman" w:cstheme="minorHAnsi"/>
            <w:sz w:val="21"/>
            <w:szCs w:val="21"/>
            <w:lang w:eastAsia="en-GB"/>
          </w:rPr>
          <w:t>https://timesofindia.indiatimes.com/india/women-account-for-less-than-28-of-total-judges-in-country/articleshow/61329003.cms</w:t>
        </w:r>
      </w:hyperlink>
    </w:p>
    <w:p w14:paraId="205CA437" w14:textId="77777777" w:rsidR="0069230D" w:rsidRPr="00E50788" w:rsidRDefault="0069230D" w:rsidP="0069230D">
      <w:pPr>
        <w:numPr>
          <w:ilvl w:val="0"/>
          <w:numId w:val="5"/>
        </w:numPr>
        <w:shd w:val="clear" w:color="auto" w:fill="FFFFFF"/>
        <w:spacing w:after="0"/>
        <w:rPr>
          <w:rFonts w:eastAsia="Times New Roman" w:cstheme="minorHAnsi"/>
          <w:color w:val="4A4A4A"/>
          <w:sz w:val="21"/>
          <w:szCs w:val="21"/>
          <w:lang w:eastAsia="en-GB"/>
        </w:rPr>
      </w:pPr>
      <w:r w:rsidRPr="00E50788">
        <w:rPr>
          <w:rFonts w:eastAsia="Times New Roman" w:cstheme="minorHAnsi"/>
          <w:color w:val="4A4A4A"/>
          <w:sz w:val="21"/>
          <w:szCs w:val="21"/>
          <w:lang w:eastAsia="en-GB"/>
        </w:rPr>
        <w:t xml:space="preserve">European Commission for the Efficiency of Justice, Organization and Role of Court Clerk Offices in the European Judicial Systems (2009): </w:t>
      </w:r>
      <w:hyperlink r:id="rId45" w:history="1">
        <w:r w:rsidRPr="00E50788">
          <w:rPr>
            <w:rStyle w:val="Hyperlink"/>
            <w:rFonts w:eastAsia="Times New Roman" w:cstheme="minorHAnsi"/>
            <w:sz w:val="21"/>
            <w:szCs w:val="21"/>
            <w:lang w:eastAsia="en-GB"/>
          </w:rPr>
          <w:t>http://www.rechtspfleger-mv.de/media/ReportBiHen.pdf</w:t>
        </w:r>
      </w:hyperlink>
    </w:p>
    <w:p w14:paraId="1D149126" w14:textId="77777777" w:rsidR="0069230D" w:rsidRPr="00E50788" w:rsidRDefault="0069230D" w:rsidP="0069230D">
      <w:pPr>
        <w:numPr>
          <w:ilvl w:val="0"/>
          <w:numId w:val="5"/>
        </w:numPr>
        <w:shd w:val="clear" w:color="auto" w:fill="FFFFFF"/>
        <w:spacing w:after="0"/>
        <w:rPr>
          <w:rFonts w:eastAsia="Times New Roman" w:cstheme="minorHAnsi"/>
          <w:color w:val="4A4A4A"/>
          <w:sz w:val="21"/>
          <w:szCs w:val="21"/>
          <w:lang w:eastAsia="en-GB"/>
        </w:rPr>
      </w:pPr>
      <w:r w:rsidRPr="00E50788">
        <w:rPr>
          <w:rFonts w:eastAsia="Times New Roman" w:cstheme="minorHAnsi"/>
          <w:color w:val="4A4A4A"/>
          <w:sz w:val="21"/>
          <w:szCs w:val="21"/>
          <w:lang w:eastAsia="en-GB"/>
        </w:rPr>
        <w:t xml:space="preserve">African Court on Human and People’s Rights, Rules of Court: </w:t>
      </w:r>
      <w:hyperlink r:id="rId46" w:history="1">
        <w:r w:rsidRPr="00E50788">
          <w:rPr>
            <w:rStyle w:val="Hyperlink"/>
            <w:rFonts w:eastAsia="Times New Roman" w:cstheme="minorHAnsi"/>
            <w:sz w:val="21"/>
            <w:szCs w:val="21"/>
            <w:lang w:eastAsia="en-GB"/>
          </w:rPr>
          <w:t>http://en.african-court.org/images/Protocol-Host%20Agrtmt/Final_Rules_of_Court_for_Publication_after_Harmonization_-_Final__English_7_sept_1_.pdf</w:t>
        </w:r>
      </w:hyperlink>
    </w:p>
    <w:p w14:paraId="39111700" w14:textId="77777777" w:rsidR="0069230D" w:rsidRPr="00E50788" w:rsidRDefault="0069230D" w:rsidP="0069230D">
      <w:pPr>
        <w:numPr>
          <w:ilvl w:val="0"/>
          <w:numId w:val="5"/>
        </w:numPr>
        <w:shd w:val="clear" w:color="auto" w:fill="FFFFFF"/>
        <w:spacing w:after="0"/>
        <w:rPr>
          <w:rFonts w:eastAsia="Times New Roman" w:cstheme="minorHAnsi"/>
          <w:color w:val="4A4A4A"/>
          <w:sz w:val="21"/>
          <w:szCs w:val="21"/>
          <w:lang w:eastAsia="en-GB"/>
        </w:rPr>
      </w:pPr>
      <w:r w:rsidRPr="00E50788">
        <w:rPr>
          <w:rFonts w:eastAsia="Times New Roman" w:cstheme="minorHAnsi"/>
          <w:color w:val="4A4A4A"/>
          <w:sz w:val="21"/>
          <w:szCs w:val="21"/>
          <w:lang w:eastAsia="en-GB"/>
        </w:rPr>
        <w:lastRenderedPageBreak/>
        <w:t xml:space="preserve">Caribbean Court of Justice, Rules: </w:t>
      </w:r>
      <w:hyperlink r:id="rId47" w:history="1">
        <w:r w:rsidRPr="00E50788">
          <w:rPr>
            <w:rStyle w:val="Hyperlink"/>
            <w:rFonts w:eastAsia="Times New Roman" w:cstheme="minorHAnsi"/>
            <w:sz w:val="21"/>
            <w:szCs w:val="21"/>
            <w:lang w:eastAsia="en-GB"/>
          </w:rPr>
          <w:t>https://idatd.cepal.org/Normativas/CARICOM/Ingles/The_Caribbean_Court_of_Justice_Rules-Appellate_Jurisdiction.pdf</w:t>
        </w:r>
      </w:hyperlink>
    </w:p>
    <w:p w14:paraId="5FAC3DAE" w14:textId="77777777" w:rsidR="0069230D" w:rsidRPr="00E50788" w:rsidRDefault="0069230D" w:rsidP="0069230D">
      <w:pPr>
        <w:numPr>
          <w:ilvl w:val="0"/>
          <w:numId w:val="5"/>
        </w:numPr>
        <w:shd w:val="clear" w:color="auto" w:fill="FFFFFF"/>
        <w:spacing w:after="0"/>
        <w:rPr>
          <w:rFonts w:eastAsia="Times New Roman" w:cstheme="minorHAnsi"/>
          <w:color w:val="4A4A4A"/>
          <w:sz w:val="21"/>
          <w:szCs w:val="21"/>
          <w:lang w:eastAsia="en-GB"/>
        </w:rPr>
      </w:pPr>
      <w:r w:rsidRPr="00E50788">
        <w:rPr>
          <w:rFonts w:eastAsia="Times New Roman" w:cstheme="minorHAnsi"/>
          <w:color w:val="4A4A4A"/>
          <w:sz w:val="21"/>
          <w:szCs w:val="21"/>
          <w:lang w:eastAsia="en-GB"/>
        </w:rPr>
        <w:t xml:space="preserve">Singapore, Rules of Court (2014): </w:t>
      </w:r>
      <w:hyperlink r:id="rId48" w:history="1">
        <w:r w:rsidRPr="00E50788">
          <w:rPr>
            <w:rStyle w:val="Hyperlink"/>
            <w:rFonts w:eastAsia="Times New Roman" w:cstheme="minorHAnsi"/>
            <w:sz w:val="21"/>
            <w:szCs w:val="21"/>
            <w:lang w:eastAsia="en-GB"/>
          </w:rPr>
          <w:t>https://sso.agc.gov.sg/SL/SCJA1969-R5?DocDate=20180329</w:t>
        </w:r>
      </w:hyperlink>
    </w:p>
    <w:p w14:paraId="6DC71E84" w14:textId="77777777" w:rsidR="0069230D" w:rsidRPr="00E50788" w:rsidRDefault="0069230D" w:rsidP="0069230D">
      <w:pPr>
        <w:numPr>
          <w:ilvl w:val="0"/>
          <w:numId w:val="5"/>
        </w:numPr>
        <w:shd w:val="clear" w:color="auto" w:fill="FFFFFF"/>
        <w:spacing w:after="0"/>
        <w:rPr>
          <w:rFonts w:eastAsia="Times New Roman" w:cstheme="minorHAnsi"/>
          <w:color w:val="4A4A4A"/>
          <w:sz w:val="21"/>
          <w:szCs w:val="21"/>
          <w:lang w:eastAsia="en-GB"/>
        </w:rPr>
      </w:pPr>
      <w:r w:rsidRPr="00E50788">
        <w:rPr>
          <w:rFonts w:eastAsia="Times New Roman" w:cstheme="minorHAnsi"/>
          <w:color w:val="4A4A4A"/>
          <w:sz w:val="21"/>
          <w:szCs w:val="21"/>
          <w:lang w:eastAsia="en-GB"/>
        </w:rPr>
        <w:t xml:space="preserve">India, Supreme Court Rules (1966): </w:t>
      </w:r>
      <w:hyperlink r:id="rId49" w:history="1">
        <w:r w:rsidRPr="00E50788">
          <w:rPr>
            <w:rStyle w:val="Hyperlink"/>
            <w:rFonts w:eastAsia="Times New Roman" w:cstheme="minorHAnsi"/>
            <w:sz w:val="21"/>
            <w:szCs w:val="21"/>
            <w:lang w:eastAsia="en-GB"/>
          </w:rPr>
          <w:t>https://supremecourtofindia.nic.in/sites/default/files/Supreme%20Court%20Rules%2C%202013.pdf</w:t>
        </w:r>
      </w:hyperlink>
    </w:p>
    <w:p w14:paraId="0AEA93C9" w14:textId="77777777" w:rsidR="0069230D" w:rsidRPr="00E50788" w:rsidRDefault="0069230D" w:rsidP="0069230D">
      <w:pPr>
        <w:numPr>
          <w:ilvl w:val="0"/>
          <w:numId w:val="5"/>
        </w:numPr>
        <w:shd w:val="clear" w:color="auto" w:fill="FFFFFF"/>
        <w:spacing w:after="0"/>
        <w:rPr>
          <w:rFonts w:eastAsia="Times New Roman" w:cstheme="minorHAnsi"/>
          <w:color w:val="4A4A4A"/>
          <w:sz w:val="21"/>
          <w:szCs w:val="21"/>
          <w:lang w:eastAsia="en-GB"/>
        </w:rPr>
      </w:pPr>
      <w:r w:rsidRPr="00E50788">
        <w:rPr>
          <w:rFonts w:eastAsia="Times New Roman" w:cstheme="minorHAnsi"/>
          <w:color w:val="4A4A4A"/>
          <w:sz w:val="21"/>
          <w:szCs w:val="21"/>
          <w:lang w:eastAsia="en-GB"/>
        </w:rPr>
        <w:t xml:space="preserve">South Africa, Courts: </w:t>
      </w:r>
      <w:hyperlink r:id="rId50" w:history="1">
        <w:r w:rsidRPr="00E50788">
          <w:rPr>
            <w:rStyle w:val="Hyperlink"/>
            <w:rFonts w:eastAsia="Times New Roman" w:cstheme="minorHAnsi"/>
            <w:sz w:val="21"/>
            <w:szCs w:val="21"/>
            <w:lang w:eastAsia="en-GB"/>
          </w:rPr>
          <w:t>http://www.justice.gov.za/about/sa-courts.html</w:t>
        </w:r>
      </w:hyperlink>
    </w:p>
    <w:p w14:paraId="643433CD" w14:textId="77777777" w:rsidR="0069230D" w:rsidRPr="00E50788" w:rsidRDefault="0069230D" w:rsidP="0069230D">
      <w:pPr>
        <w:numPr>
          <w:ilvl w:val="0"/>
          <w:numId w:val="5"/>
        </w:numPr>
        <w:shd w:val="clear" w:color="auto" w:fill="FFFFFF"/>
        <w:spacing w:after="0"/>
        <w:rPr>
          <w:rFonts w:eastAsia="Times New Roman" w:cstheme="minorHAnsi"/>
          <w:color w:val="4A4A4A"/>
          <w:sz w:val="21"/>
          <w:szCs w:val="21"/>
          <w:lang w:eastAsia="en-GB"/>
        </w:rPr>
      </w:pPr>
      <w:r w:rsidRPr="00E50788">
        <w:rPr>
          <w:rFonts w:eastAsia="Times New Roman" w:cstheme="minorHAnsi"/>
          <w:color w:val="4A4A4A"/>
          <w:sz w:val="21"/>
          <w:szCs w:val="21"/>
          <w:lang w:eastAsia="en-GB"/>
        </w:rPr>
        <w:t xml:space="preserve">Kenya, Laws of High Court: </w:t>
      </w:r>
      <w:hyperlink r:id="rId51" w:history="1">
        <w:r w:rsidRPr="00E50788">
          <w:rPr>
            <w:rStyle w:val="Hyperlink"/>
            <w:rFonts w:eastAsia="Times New Roman" w:cstheme="minorHAnsi"/>
            <w:sz w:val="21"/>
            <w:szCs w:val="21"/>
            <w:lang w:eastAsia="en-GB"/>
          </w:rPr>
          <w:t>http://www.kenyalaw.org/lex/actview.xql?actid=No.%2027%20of%202015</w:t>
        </w:r>
      </w:hyperlink>
    </w:p>
    <w:p w14:paraId="41B418A3" w14:textId="77777777" w:rsidR="0069230D" w:rsidRPr="00E50788" w:rsidRDefault="0069230D" w:rsidP="0069230D">
      <w:pPr>
        <w:numPr>
          <w:ilvl w:val="0"/>
          <w:numId w:val="5"/>
        </w:numPr>
        <w:shd w:val="clear" w:color="auto" w:fill="FFFFFF"/>
        <w:spacing w:after="0"/>
        <w:rPr>
          <w:rFonts w:eastAsia="Times New Roman" w:cstheme="minorHAnsi"/>
          <w:color w:val="4A4A4A"/>
          <w:sz w:val="21"/>
          <w:szCs w:val="21"/>
          <w:lang w:eastAsia="en-GB"/>
        </w:rPr>
      </w:pPr>
      <w:r w:rsidRPr="00E50788">
        <w:rPr>
          <w:rFonts w:eastAsia="Times New Roman" w:cstheme="minorHAnsi"/>
          <w:color w:val="4A4A4A"/>
          <w:sz w:val="21"/>
          <w:szCs w:val="21"/>
          <w:lang w:eastAsia="en-GB"/>
        </w:rPr>
        <w:t xml:space="preserve">Ghana Judiciary, Registrars’ Handbook (2011): </w:t>
      </w:r>
      <w:hyperlink r:id="rId52" w:history="1">
        <w:r w:rsidRPr="00E50788">
          <w:rPr>
            <w:rStyle w:val="Hyperlink"/>
            <w:rFonts w:eastAsia="Times New Roman" w:cstheme="minorHAnsi"/>
            <w:sz w:val="21"/>
            <w:szCs w:val="21"/>
            <w:lang w:eastAsia="en-GB"/>
          </w:rPr>
          <w:t>http://www.jtighana.org/downloads/publications/CourtRegistrarsHandbook.pdf</w:t>
        </w:r>
      </w:hyperlink>
    </w:p>
    <w:p w14:paraId="352204E6" w14:textId="77777777" w:rsidR="0069230D" w:rsidRPr="00E50788" w:rsidRDefault="0069230D" w:rsidP="0069230D">
      <w:pPr>
        <w:numPr>
          <w:ilvl w:val="0"/>
          <w:numId w:val="5"/>
        </w:numPr>
        <w:shd w:val="clear" w:color="auto" w:fill="FFFFFF"/>
        <w:spacing w:after="0"/>
        <w:rPr>
          <w:rFonts w:eastAsia="Times New Roman" w:cstheme="minorHAnsi"/>
          <w:color w:val="4A4A4A"/>
          <w:sz w:val="21"/>
          <w:szCs w:val="21"/>
          <w:lang w:eastAsia="en-GB"/>
        </w:rPr>
      </w:pPr>
      <w:r w:rsidRPr="00E50788">
        <w:rPr>
          <w:rFonts w:eastAsia="Times New Roman" w:cstheme="minorHAnsi"/>
          <w:color w:val="4A4A4A"/>
          <w:sz w:val="21"/>
          <w:szCs w:val="21"/>
          <w:lang w:eastAsia="en-GB"/>
        </w:rPr>
        <w:t xml:space="preserve">Uganda, Commercial Court Users Guide (2005): </w:t>
      </w:r>
      <w:hyperlink r:id="rId53" w:history="1">
        <w:r w:rsidRPr="00E50788">
          <w:rPr>
            <w:rStyle w:val="Hyperlink"/>
            <w:rFonts w:eastAsia="Times New Roman" w:cstheme="minorHAnsi"/>
            <w:sz w:val="21"/>
            <w:szCs w:val="21"/>
            <w:lang w:eastAsia="en-GB"/>
          </w:rPr>
          <w:t>http://www.wipo.int/edocs/lexdocs/laws/en/ug/ug022en.pdf</w:t>
        </w:r>
      </w:hyperlink>
    </w:p>
    <w:p w14:paraId="7522C3AB" w14:textId="77777777" w:rsidR="0069230D" w:rsidRPr="00E50788" w:rsidRDefault="0069230D" w:rsidP="0069230D">
      <w:pPr>
        <w:numPr>
          <w:ilvl w:val="0"/>
          <w:numId w:val="5"/>
        </w:numPr>
        <w:shd w:val="clear" w:color="auto" w:fill="FFFFFF"/>
        <w:spacing w:after="0"/>
        <w:rPr>
          <w:rFonts w:eastAsia="Times New Roman" w:cstheme="minorHAnsi"/>
          <w:color w:val="4A4A4A"/>
          <w:sz w:val="21"/>
          <w:szCs w:val="21"/>
          <w:lang w:eastAsia="en-GB"/>
        </w:rPr>
      </w:pPr>
      <w:r w:rsidRPr="00E50788">
        <w:rPr>
          <w:rFonts w:eastAsia="Times New Roman" w:cstheme="minorHAnsi"/>
          <w:color w:val="4A4A4A"/>
          <w:sz w:val="21"/>
          <w:szCs w:val="21"/>
          <w:lang w:eastAsia="en-GB"/>
        </w:rPr>
        <w:t xml:space="preserve">United Kingdom Judicial Appointments Commission, Judicial Diversity: </w:t>
      </w:r>
      <w:hyperlink r:id="rId54" w:history="1">
        <w:r w:rsidRPr="00E50788">
          <w:rPr>
            <w:rStyle w:val="Hyperlink"/>
            <w:rFonts w:eastAsia="Times New Roman" w:cstheme="minorHAnsi"/>
            <w:sz w:val="21"/>
            <w:szCs w:val="21"/>
            <w:lang w:eastAsia="en-GB"/>
          </w:rPr>
          <w:t>https://www.judicialappointments.gov.uk/sites/default/files/sync/news/accelerating_change_finalrev_0.pdf</w:t>
        </w:r>
      </w:hyperlink>
    </w:p>
    <w:p w14:paraId="51B96856" w14:textId="77777777" w:rsidR="0069230D" w:rsidRPr="00E50788" w:rsidRDefault="0069230D" w:rsidP="0069230D">
      <w:pPr>
        <w:numPr>
          <w:ilvl w:val="0"/>
          <w:numId w:val="5"/>
        </w:numPr>
        <w:shd w:val="clear" w:color="auto" w:fill="FFFFFF"/>
        <w:spacing w:after="0"/>
        <w:rPr>
          <w:rFonts w:eastAsia="Times New Roman" w:cstheme="minorHAnsi"/>
          <w:color w:val="4A4A4A"/>
          <w:sz w:val="21"/>
          <w:szCs w:val="21"/>
          <w:lang w:val="pt-PT" w:eastAsia="en-GB"/>
        </w:rPr>
      </w:pPr>
      <w:r w:rsidRPr="00E50788">
        <w:rPr>
          <w:rFonts w:eastAsia="Times New Roman" w:cstheme="minorHAnsi"/>
          <w:color w:val="4A4A4A"/>
          <w:sz w:val="21"/>
          <w:szCs w:val="21"/>
          <w:lang w:val="pt-PT" w:eastAsia="en-GB"/>
        </w:rPr>
        <w:t xml:space="preserve">Uganda, Judiciary Insider (2015): </w:t>
      </w:r>
      <w:hyperlink r:id="rId55" w:history="1">
        <w:r w:rsidRPr="00E50788">
          <w:rPr>
            <w:rStyle w:val="Hyperlink"/>
            <w:rFonts w:eastAsia="Times New Roman" w:cstheme="minorHAnsi"/>
            <w:sz w:val="21"/>
            <w:szCs w:val="21"/>
            <w:lang w:val="pt-PT" w:eastAsia="en-GB"/>
          </w:rPr>
          <w:t>http://www.judiciary.go.ug/files/publications/TheJudiciaryInsiderMagazine_21X26.5cm.pdf</w:t>
        </w:r>
      </w:hyperlink>
    </w:p>
    <w:p w14:paraId="50E496C3" w14:textId="77777777" w:rsidR="0069230D" w:rsidRPr="00E50788" w:rsidRDefault="0069230D" w:rsidP="0069230D">
      <w:pPr>
        <w:numPr>
          <w:ilvl w:val="0"/>
          <w:numId w:val="5"/>
        </w:numPr>
        <w:shd w:val="clear" w:color="auto" w:fill="FFFFFF"/>
        <w:spacing w:after="0"/>
        <w:rPr>
          <w:rFonts w:eastAsia="Times New Roman" w:cstheme="minorHAnsi"/>
          <w:color w:val="4A4A4A"/>
          <w:sz w:val="21"/>
          <w:szCs w:val="21"/>
          <w:lang w:eastAsia="en-GB"/>
        </w:rPr>
      </w:pPr>
      <w:r w:rsidRPr="00E50788">
        <w:rPr>
          <w:rFonts w:eastAsia="Times New Roman" w:cstheme="minorHAnsi"/>
          <w:color w:val="4A4A4A"/>
          <w:sz w:val="21"/>
          <w:szCs w:val="21"/>
          <w:lang w:eastAsia="en-GB"/>
        </w:rPr>
        <w:t xml:space="preserve">OHCHR, Guidelines on the Role of Prosecutors (1990): </w:t>
      </w:r>
      <w:hyperlink r:id="rId56" w:history="1">
        <w:r w:rsidRPr="00E50788">
          <w:rPr>
            <w:rStyle w:val="Hyperlink"/>
            <w:rFonts w:eastAsia="Times New Roman" w:cstheme="minorHAnsi"/>
            <w:sz w:val="21"/>
            <w:szCs w:val="21"/>
            <w:lang w:eastAsia="en-GB"/>
          </w:rPr>
          <w:t>http://www.ohchr.org/EN/ProfessionalInterest/Pages/RoleOfProsecutors.aspx</w:t>
        </w:r>
      </w:hyperlink>
    </w:p>
    <w:p w14:paraId="6C78A9C7" w14:textId="77777777" w:rsidR="0069230D" w:rsidRPr="00E50788" w:rsidRDefault="0069230D" w:rsidP="0069230D">
      <w:pPr>
        <w:numPr>
          <w:ilvl w:val="0"/>
          <w:numId w:val="5"/>
        </w:numPr>
        <w:shd w:val="clear" w:color="auto" w:fill="FFFFFF"/>
        <w:spacing w:after="0"/>
        <w:rPr>
          <w:rFonts w:eastAsia="Times New Roman" w:cstheme="minorHAnsi"/>
          <w:color w:val="4A4A4A"/>
          <w:sz w:val="21"/>
          <w:szCs w:val="21"/>
          <w:lang w:eastAsia="en-GB"/>
        </w:rPr>
      </w:pPr>
      <w:r w:rsidRPr="00E50788">
        <w:rPr>
          <w:rFonts w:eastAsia="Times New Roman" w:cstheme="minorHAnsi"/>
          <w:color w:val="4A4A4A"/>
          <w:sz w:val="21"/>
          <w:szCs w:val="21"/>
          <w:lang w:eastAsia="en-GB"/>
        </w:rPr>
        <w:t xml:space="preserve">UNODC, The Status and Role of Prosecutors (2014): </w:t>
      </w:r>
      <w:hyperlink r:id="rId57" w:history="1">
        <w:r w:rsidRPr="00E50788">
          <w:rPr>
            <w:rStyle w:val="Hyperlink"/>
            <w:rFonts w:eastAsia="Times New Roman" w:cstheme="minorHAnsi"/>
            <w:sz w:val="21"/>
            <w:szCs w:val="21"/>
            <w:lang w:eastAsia="en-GB"/>
          </w:rPr>
          <w:t>https://www.unodc.org/documents/justice-and-prison-reform/14-07304_ebook.pdf</w:t>
        </w:r>
      </w:hyperlink>
    </w:p>
    <w:p w14:paraId="6C16298E" w14:textId="77777777" w:rsidR="0069230D" w:rsidRPr="00E50788" w:rsidRDefault="0069230D" w:rsidP="0069230D">
      <w:pPr>
        <w:numPr>
          <w:ilvl w:val="0"/>
          <w:numId w:val="5"/>
        </w:numPr>
        <w:shd w:val="clear" w:color="auto" w:fill="FFFFFF"/>
        <w:spacing w:after="0"/>
        <w:rPr>
          <w:rFonts w:eastAsia="Times New Roman" w:cstheme="minorHAnsi"/>
          <w:color w:val="4A4A4A"/>
          <w:sz w:val="21"/>
          <w:szCs w:val="21"/>
          <w:lang w:eastAsia="en-GB"/>
        </w:rPr>
      </w:pPr>
      <w:r w:rsidRPr="00E50788">
        <w:rPr>
          <w:rFonts w:eastAsia="Times New Roman" w:cstheme="minorHAnsi"/>
          <w:color w:val="4A4A4A"/>
          <w:sz w:val="21"/>
          <w:szCs w:val="21"/>
          <w:lang w:eastAsia="en-GB"/>
        </w:rPr>
        <w:t xml:space="preserve">UN DPKO, Police and Different Legal Systems (2009): </w:t>
      </w:r>
      <w:hyperlink r:id="rId58" w:history="1">
        <w:r w:rsidRPr="00E50788">
          <w:rPr>
            <w:rStyle w:val="Hyperlink"/>
            <w:rFonts w:eastAsia="Times New Roman" w:cstheme="minorHAnsi"/>
            <w:sz w:val="21"/>
            <w:szCs w:val="21"/>
            <w:lang w:eastAsia="en-GB"/>
          </w:rPr>
          <w:t>http://repository.un.org/bitstream/handle/11176/387368/ STM%20UN%20Police%20and%20Different%20Legal%20Systems.pdf?sequence=3&amp;isAllowed=y</w:t>
        </w:r>
      </w:hyperlink>
    </w:p>
    <w:p w14:paraId="29452CF1" w14:textId="77777777" w:rsidR="0069230D" w:rsidRPr="00E50788" w:rsidRDefault="0069230D" w:rsidP="0069230D">
      <w:pPr>
        <w:numPr>
          <w:ilvl w:val="0"/>
          <w:numId w:val="5"/>
        </w:numPr>
        <w:shd w:val="clear" w:color="auto" w:fill="FFFFFF"/>
        <w:spacing w:after="0"/>
        <w:rPr>
          <w:rFonts w:eastAsia="Times New Roman" w:cstheme="minorHAnsi"/>
          <w:color w:val="4A4A4A"/>
          <w:sz w:val="21"/>
          <w:szCs w:val="21"/>
          <w:lang w:eastAsia="en-GB"/>
        </w:rPr>
      </w:pPr>
      <w:r w:rsidRPr="00E50788">
        <w:rPr>
          <w:rFonts w:eastAsia="Times New Roman" w:cstheme="minorHAnsi"/>
          <w:color w:val="4A4A4A"/>
          <w:sz w:val="21"/>
          <w:szCs w:val="21"/>
          <w:lang w:eastAsia="en-GB"/>
        </w:rPr>
        <w:t xml:space="preserve">World Bank, Viewpoint on Alternative Dispute Resolution (2011): </w:t>
      </w:r>
      <w:hyperlink r:id="rId59" w:history="1">
        <w:r w:rsidRPr="00E50788">
          <w:rPr>
            <w:rStyle w:val="Hyperlink"/>
            <w:rFonts w:eastAsia="Times New Roman" w:cstheme="minorHAnsi"/>
            <w:sz w:val="21"/>
            <w:szCs w:val="21"/>
            <w:lang w:eastAsia="en-GB"/>
          </w:rPr>
          <w:t>http://siteresources.worldbank.org/FINANCIALSECTOR/Resources/282044-1307652042357/VP329-Setting-out-of-court.pdf</w:t>
        </w:r>
      </w:hyperlink>
    </w:p>
    <w:p w14:paraId="5DD9D2DF" w14:textId="77777777" w:rsidR="0069230D" w:rsidRPr="00E50788" w:rsidRDefault="0069230D" w:rsidP="0069230D">
      <w:pPr>
        <w:numPr>
          <w:ilvl w:val="0"/>
          <w:numId w:val="5"/>
        </w:numPr>
        <w:shd w:val="clear" w:color="auto" w:fill="FFFFFF"/>
        <w:spacing w:after="0"/>
        <w:rPr>
          <w:rFonts w:eastAsia="Times New Roman" w:cstheme="minorHAnsi"/>
          <w:color w:val="4A4A4A"/>
          <w:sz w:val="21"/>
          <w:szCs w:val="21"/>
          <w:lang w:val="pt-PT" w:eastAsia="en-GB"/>
        </w:rPr>
      </w:pPr>
      <w:r w:rsidRPr="00E50788">
        <w:rPr>
          <w:rFonts w:eastAsia="Times New Roman" w:cstheme="minorHAnsi"/>
          <w:color w:val="4A4A4A"/>
          <w:sz w:val="21"/>
          <w:szCs w:val="21"/>
          <w:lang w:val="pt-PT" w:eastAsia="en-GB"/>
        </w:rPr>
        <w:t xml:space="preserve">Encyclopedia Britannica, Judiciary: </w:t>
      </w:r>
      <w:hyperlink r:id="rId60" w:history="1">
        <w:r w:rsidRPr="00E50788">
          <w:rPr>
            <w:rStyle w:val="Hyperlink"/>
            <w:rFonts w:eastAsia="Times New Roman" w:cstheme="minorHAnsi"/>
            <w:sz w:val="21"/>
            <w:szCs w:val="21"/>
            <w:lang w:val="pt-PT" w:eastAsia="en-GB"/>
          </w:rPr>
          <w:t>https://www.britannica.com/topic/judiciary</w:t>
        </w:r>
      </w:hyperlink>
    </w:p>
    <w:p w14:paraId="384B0992" w14:textId="36889691" w:rsidR="00186795" w:rsidRPr="007B1AAA" w:rsidRDefault="00186795">
      <w:pPr>
        <w:rPr>
          <w:lang w:val="pt-PT"/>
        </w:rPr>
      </w:pPr>
    </w:p>
    <w:sectPr w:rsidR="00186795" w:rsidRPr="007B1AAA">
      <w:headerReference w:type="default" r:id="rId6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6F2166" w14:textId="77777777" w:rsidR="00E25AAD" w:rsidRDefault="00E25AAD" w:rsidP="00573C0B">
      <w:pPr>
        <w:spacing w:after="0" w:line="240" w:lineRule="auto"/>
      </w:pPr>
      <w:r>
        <w:separator/>
      </w:r>
    </w:p>
  </w:endnote>
  <w:endnote w:type="continuationSeparator" w:id="0">
    <w:p w14:paraId="5F3F0CC6" w14:textId="77777777" w:rsidR="00E25AAD" w:rsidRDefault="00E25AAD" w:rsidP="00573C0B">
      <w:pPr>
        <w:spacing w:after="0" w:line="240" w:lineRule="auto"/>
      </w:pPr>
      <w:r>
        <w:continuationSeparator/>
      </w:r>
    </w:p>
  </w:endnote>
  <w:endnote w:type="continuationNotice" w:id="1">
    <w:p w14:paraId="12918A6A" w14:textId="77777777" w:rsidR="00E25AAD" w:rsidRDefault="00E25AA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Arial"/>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1BE278" w14:textId="77777777" w:rsidR="00E25AAD" w:rsidRDefault="00E25AAD" w:rsidP="00573C0B">
      <w:pPr>
        <w:spacing w:after="0" w:line="240" w:lineRule="auto"/>
      </w:pPr>
      <w:r>
        <w:separator/>
      </w:r>
    </w:p>
  </w:footnote>
  <w:footnote w:type="continuationSeparator" w:id="0">
    <w:p w14:paraId="485ED0F0" w14:textId="77777777" w:rsidR="00E25AAD" w:rsidRDefault="00E25AAD" w:rsidP="00573C0B">
      <w:pPr>
        <w:spacing w:after="0" w:line="240" w:lineRule="auto"/>
      </w:pPr>
      <w:r>
        <w:continuationSeparator/>
      </w:r>
    </w:p>
  </w:footnote>
  <w:footnote w:type="continuationNotice" w:id="1">
    <w:p w14:paraId="3D4F9586" w14:textId="77777777" w:rsidR="00E25AAD" w:rsidRDefault="00E25AAD">
      <w:pPr>
        <w:spacing w:after="0" w:line="240" w:lineRule="auto"/>
      </w:pPr>
    </w:p>
  </w:footnote>
  <w:footnote w:id="2">
    <w:p w14:paraId="170F6CF4" w14:textId="77777777" w:rsidR="007B1AAA" w:rsidRPr="00AD5891" w:rsidRDefault="007B1AAA" w:rsidP="0069230D">
      <w:pPr>
        <w:spacing w:after="0" w:line="240" w:lineRule="auto"/>
        <w:jc w:val="both"/>
        <w:rPr>
          <w:rFonts w:cstheme="minorHAnsi"/>
          <w:b/>
          <w:bCs/>
          <w:caps/>
          <w:color w:val="404040" w:themeColor="text1" w:themeTint="BF"/>
          <w:sz w:val="18"/>
          <w:szCs w:val="18"/>
        </w:rPr>
      </w:pPr>
      <w:r w:rsidRPr="00AD5891">
        <w:rPr>
          <w:rStyle w:val="FootnoteReference"/>
          <w:rFonts w:cstheme="minorHAnsi"/>
          <w:color w:val="404040" w:themeColor="text1" w:themeTint="BF"/>
          <w:sz w:val="18"/>
          <w:szCs w:val="18"/>
        </w:rPr>
        <w:footnoteRef/>
      </w:r>
      <w:r w:rsidRPr="00AD5891">
        <w:rPr>
          <w:rFonts w:cstheme="minorHAnsi"/>
          <w:color w:val="404040" w:themeColor="text1" w:themeTint="BF"/>
          <w:sz w:val="18"/>
          <w:szCs w:val="18"/>
        </w:rPr>
        <w:t xml:space="preserve"> SDG 5.5.1 </w:t>
      </w:r>
      <w:r w:rsidRPr="00AD5891">
        <w:rPr>
          <w:rFonts w:cstheme="minorHAnsi"/>
          <w:b/>
          <w:bCs/>
          <w:caps/>
          <w:color w:val="404040" w:themeColor="text1" w:themeTint="BF"/>
          <w:sz w:val="18"/>
          <w:szCs w:val="18"/>
        </w:rPr>
        <w:t xml:space="preserve">– </w:t>
      </w:r>
      <w:r w:rsidRPr="00AD5891">
        <w:rPr>
          <w:rFonts w:cstheme="minorHAnsi"/>
          <w:color w:val="404040" w:themeColor="text1" w:themeTint="BF"/>
          <w:sz w:val="18"/>
          <w:szCs w:val="18"/>
        </w:rPr>
        <w:t xml:space="preserve">Proportion of seats held by women in national parliaments and local governments; and </w:t>
      </w:r>
      <w:r w:rsidRPr="00AD5891">
        <w:rPr>
          <w:rFonts w:cstheme="minorHAnsi"/>
          <w:bCs/>
          <w:caps/>
          <w:color w:val="404040" w:themeColor="text1" w:themeTint="BF"/>
          <w:sz w:val="18"/>
          <w:szCs w:val="18"/>
        </w:rPr>
        <w:t>SDG 5.5.2</w:t>
      </w:r>
      <w:r w:rsidRPr="00AD5891">
        <w:rPr>
          <w:rFonts w:cstheme="minorHAnsi"/>
          <w:b/>
          <w:bCs/>
          <w:caps/>
          <w:color w:val="404040" w:themeColor="text1" w:themeTint="BF"/>
          <w:sz w:val="18"/>
          <w:szCs w:val="18"/>
        </w:rPr>
        <w:t xml:space="preserve"> </w:t>
      </w:r>
      <w:r w:rsidRPr="00AD5891">
        <w:rPr>
          <w:rFonts w:cstheme="minorHAnsi"/>
          <w:bCs/>
          <w:caps/>
          <w:color w:val="404040" w:themeColor="text1" w:themeTint="BF"/>
          <w:sz w:val="18"/>
          <w:szCs w:val="18"/>
        </w:rPr>
        <w:t>– P</w:t>
      </w:r>
      <w:r w:rsidRPr="00AD5891">
        <w:rPr>
          <w:rFonts w:cstheme="minorHAnsi"/>
          <w:color w:val="404040" w:themeColor="text1" w:themeTint="BF"/>
          <w:sz w:val="18"/>
          <w:szCs w:val="18"/>
        </w:rPr>
        <w:t>roportion of women in managerial positions</w:t>
      </w:r>
    </w:p>
  </w:footnote>
  <w:footnote w:id="3">
    <w:p w14:paraId="45D38762" w14:textId="77777777" w:rsidR="007B1AAA" w:rsidRPr="00AD5891" w:rsidRDefault="007B1AAA" w:rsidP="0069230D">
      <w:pPr>
        <w:spacing w:after="0" w:line="240" w:lineRule="auto"/>
        <w:jc w:val="both"/>
        <w:rPr>
          <w:rFonts w:cstheme="minorHAnsi"/>
          <w:color w:val="404040" w:themeColor="text1" w:themeTint="BF"/>
          <w:sz w:val="18"/>
          <w:szCs w:val="18"/>
        </w:rPr>
      </w:pPr>
      <w:r w:rsidRPr="00AD5891">
        <w:rPr>
          <w:rStyle w:val="FootnoteReference"/>
          <w:rFonts w:cstheme="minorHAnsi"/>
          <w:color w:val="404040" w:themeColor="text1" w:themeTint="BF"/>
          <w:sz w:val="18"/>
          <w:szCs w:val="18"/>
        </w:rPr>
        <w:footnoteRef/>
      </w:r>
      <w:r w:rsidRPr="00AD5891">
        <w:rPr>
          <w:rFonts w:cstheme="minorHAnsi"/>
          <w:color w:val="404040" w:themeColor="text1" w:themeTint="BF"/>
          <w:sz w:val="18"/>
          <w:szCs w:val="18"/>
        </w:rPr>
        <w:t xml:space="preserve"> SDG 10.2.1 – </w:t>
      </w:r>
      <w:r w:rsidRPr="00AD5891">
        <w:rPr>
          <w:rFonts w:cstheme="minorHAnsi"/>
          <w:color w:val="404040" w:themeColor="text1" w:themeTint="BF"/>
          <w:sz w:val="18"/>
          <w:szCs w:val="18"/>
          <w:shd w:val="clear" w:color="auto" w:fill="FFFFFF"/>
        </w:rPr>
        <w:t>Proportion of people living below 50% of median income, by sex, age, and persons with disabilities</w:t>
      </w:r>
    </w:p>
  </w:footnote>
  <w:footnote w:id="4">
    <w:p w14:paraId="46AB10B5" w14:textId="77777777" w:rsidR="007B1AAA" w:rsidRPr="00AD5891" w:rsidRDefault="007B1AAA" w:rsidP="0069230D">
      <w:pPr>
        <w:pStyle w:val="FootnoteText"/>
        <w:rPr>
          <w:color w:val="404040" w:themeColor="text1" w:themeTint="BF"/>
          <w:sz w:val="18"/>
          <w:szCs w:val="18"/>
        </w:rPr>
      </w:pPr>
      <w:r w:rsidRPr="00AD5891">
        <w:rPr>
          <w:rStyle w:val="FootnoteReference"/>
          <w:color w:val="404040" w:themeColor="text1" w:themeTint="BF"/>
          <w:sz w:val="18"/>
          <w:szCs w:val="18"/>
        </w:rPr>
        <w:footnoteRef/>
      </w:r>
      <w:r w:rsidRPr="00AD5891">
        <w:rPr>
          <w:color w:val="404040" w:themeColor="text1" w:themeTint="BF"/>
          <w:sz w:val="18"/>
          <w:szCs w:val="18"/>
        </w:rPr>
        <w:t xml:space="preserve"> UN DESA, Manual for the Development of a System of Criminal Justice Statistics (2003), https://unstats.un.org/unsd/publication/SeriesF/SeriesF_89e.pdf</w:t>
      </w:r>
    </w:p>
  </w:footnote>
  <w:footnote w:id="5">
    <w:p w14:paraId="2BACCCD1" w14:textId="77777777" w:rsidR="007B1AAA" w:rsidRPr="00AD5891" w:rsidRDefault="007B1AAA" w:rsidP="0069230D">
      <w:pPr>
        <w:pStyle w:val="FootnoteText"/>
        <w:jc w:val="both"/>
        <w:rPr>
          <w:rFonts w:asciiTheme="minorHAnsi" w:hAnsiTheme="minorHAnsi" w:cstheme="minorHAnsi"/>
          <w:color w:val="404040" w:themeColor="text1" w:themeTint="BF"/>
          <w:sz w:val="18"/>
          <w:szCs w:val="18"/>
        </w:rPr>
      </w:pPr>
      <w:r w:rsidRPr="00AD5891">
        <w:rPr>
          <w:rStyle w:val="FootnoteReference"/>
          <w:rFonts w:asciiTheme="minorHAnsi" w:hAnsiTheme="minorHAnsi" w:cstheme="minorHAnsi"/>
          <w:color w:val="404040" w:themeColor="text1" w:themeTint="BF"/>
          <w:sz w:val="18"/>
          <w:szCs w:val="18"/>
        </w:rPr>
        <w:footnoteRef/>
      </w:r>
      <w:r w:rsidRPr="00AD5891">
        <w:rPr>
          <w:rFonts w:asciiTheme="minorHAnsi" w:hAnsiTheme="minorHAnsi" w:cstheme="minorHAnsi"/>
          <w:color w:val="404040" w:themeColor="text1" w:themeTint="BF"/>
          <w:sz w:val="18"/>
          <w:szCs w:val="18"/>
        </w:rPr>
        <w:t xml:space="preserve"> </w:t>
      </w:r>
      <w:r w:rsidRPr="00AD5891">
        <w:rPr>
          <w:rFonts w:asciiTheme="minorHAnsi" w:hAnsiTheme="minorHAnsi" w:cstheme="minorHAnsi"/>
          <w:color w:val="404040" w:themeColor="text1" w:themeTint="BF"/>
          <w:sz w:val="18"/>
          <w:szCs w:val="18"/>
          <w:lang w:eastAsia="en-GB"/>
        </w:rPr>
        <w:t>A report on Disability Inclusive Development in UNDP (2018) details a pilot study in partnership with the South African statistical office on an approach for integrating the Washington Group Short Set on Functioning into the human resources management information system used to maintain data on personnel within the public service. The findings from this pilot experience suggest that using the Washington Group questions for the measurement of disability in the public service is possible. In the experience of the South African public service, it was also a marked improvement over the existing administrative data system, which captures the disability status of employees upon their recruitment but is not regularly updated thereafter, unless an employee chooses to disclose, update, or change his or her disability status. This pilot experience also confirmed that national statistical offices are ideally placed to guarantee the confidentiality of the responses provided by public servants to such a survey, which is essential to overcome individual reluctance to disclose sensitive personal information.</w:t>
      </w:r>
    </w:p>
  </w:footnote>
  <w:footnote w:id="6">
    <w:p w14:paraId="29D77351" w14:textId="77777777" w:rsidR="007B1AAA" w:rsidRPr="00AD5891" w:rsidRDefault="007B1AAA" w:rsidP="0081040E">
      <w:pPr>
        <w:pStyle w:val="FootnoteText"/>
        <w:jc w:val="both"/>
        <w:rPr>
          <w:rFonts w:asciiTheme="minorHAnsi" w:hAnsiTheme="minorHAnsi" w:cstheme="minorHAnsi"/>
          <w:color w:val="404040" w:themeColor="text1" w:themeTint="BF"/>
          <w:sz w:val="18"/>
          <w:szCs w:val="18"/>
        </w:rPr>
      </w:pPr>
      <w:r w:rsidRPr="00AD5891">
        <w:rPr>
          <w:rStyle w:val="FootnoteReference"/>
          <w:rFonts w:asciiTheme="minorHAnsi" w:hAnsiTheme="minorHAnsi" w:cstheme="minorHAnsi"/>
          <w:color w:val="404040" w:themeColor="text1" w:themeTint="BF"/>
          <w:sz w:val="18"/>
          <w:szCs w:val="18"/>
        </w:rPr>
        <w:footnoteRef/>
      </w:r>
      <w:r w:rsidRPr="00AD5891">
        <w:rPr>
          <w:rFonts w:asciiTheme="minorHAnsi" w:hAnsiTheme="minorHAnsi" w:cstheme="minorHAnsi"/>
          <w:color w:val="404040" w:themeColor="text1" w:themeTint="BF"/>
          <w:sz w:val="18"/>
          <w:szCs w:val="18"/>
        </w:rPr>
        <w:t xml:space="preserve"> For example, with respect to representation of population groups, scholars have noted that an individual’s respect and trust in the judiciary increases when court personnel include individuals like themselves. See, e.g., Iyiola Solanke, </w:t>
      </w:r>
      <w:r w:rsidRPr="00AD5891">
        <w:rPr>
          <w:rFonts w:asciiTheme="minorHAnsi" w:hAnsiTheme="minorHAnsi" w:cstheme="minorHAnsi"/>
          <w:i/>
          <w:color w:val="404040" w:themeColor="text1" w:themeTint="BF"/>
          <w:sz w:val="18"/>
          <w:szCs w:val="18"/>
        </w:rPr>
        <w:t>Diversity and Independence in the European Court of Justice</w:t>
      </w:r>
      <w:r w:rsidRPr="00AD5891">
        <w:rPr>
          <w:rFonts w:asciiTheme="minorHAnsi" w:hAnsiTheme="minorHAnsi" w:cstheme="minorHAnsi"/>
          <w:color w:val="404040" w:themeColor="text1" w:themeTint="BF"/>
          <w:sz w:val="18"/>
          <w:szCs w:val="18"/>
        </w:rPr>
        <w:t xml:space="preserve">, Columbia Journal of European Law vol. 15, no. 1, p. 112 (2009) (“Racial and ethnic diversity have been encouraged as constituting a necessary feature of a legal system’s collective legitimacy, paramount to the maintenance of public confidence in it. A lack of diversity amongst those playing key roles in the justice system can result in a deficit of confidence in that system as a whole… At a symbolic level, diversity provides a guarantee of continued fairness and sensitivity in decision-making. The preservation of a public perception of fairness is crucial to all legal systems.”). Additionally, diversity in the judiciary improves the quality of decision-making within the court system. See, e.g., Joy Milligan, </w:t>
      </w:r>
      <w:r w:rsidRPr="00AD5891">
        <w:rPr>
          <w:rFonts w:asciiTheme="minorHAnsi" w:hAnsiTheme="minorHAnsi" w:cstheme="minorHAnsi"/>
          <w:i/>
          <w:color w:val="404040" w:themeColor="text1" w:themeTint="BF"/>
          <w:sz w:val="18"/>
          <w:szCs w:val="18"/>
        </w:rPr>
        <w:t>Pluralism In America: Why Judicial Diversity Improves Legal Decisions About Political Morality</w:t>
      </w:r>
      <w:r w:rsidRPr="00AD5891">
        <w:rPr>
          <w:rFonts w:asciiTheme="minorHAnsi" w:hAnsiTheme="minorHAnsi" w:cstheme="minorHAnsi"/>
          <w:color w:val="404040" w:themeColor="text1" w:themeTint="BF"/>
          <w:sz w:val="18"/>
          <w:szCs w:val="18"/>
        </w:rPr>
        <w:t>, New York University Law Review vol. 8, p. 1206 (2006) (“Racial and ethnic diversity is likely to improve the judiciary’s institutional capacity for openness to alternative views—not because judges of any given race will ‘represent’ a monolithic viewpoint, but because of the likelihood that judges of a particular race or ethnicity will be better positioned to understand and take seriously views held within their own racial or ethnic communities. Judicial dialogue, taking place within appellate panels and across courts, serves to diffuse alternative viewpoints more broadly.”). See further scholarship on the impact of diversity on judicial decision-making at the Judicial Diversity Initiative’s research repository at https://judicialdiversityinitiative.org/research.</w:t>
      </w:r>
    </w:p>
  </w:footnote>
  <w:footnote w:id="7">
    <w:p w14:paraId="496FBC52" w14:textId="77777777" w:rsidR="007B1AAA" w:rsidRPr="00AD5891" w:rsidRDefault="007B1AAA" w:rsidP="0081040E">
      <w:pPr>
        <w:pStyle w:val="FootnoteText"/>
        <w:rPr>
          <w:color w:val="404040" w:themeColor="text1" w:themeTint="BF"/>
          <w:sz w:val="18"/>
          <w:szCs w:val="18"/>
        </w:rPr>
      </w:pPr>
      <w:r w:rsidRPr="00AD5891">
        <w:rPr>
          <w:rStyle w:val="FootnoteReference"/>
          <w:color w:val="404040" w:themeColor="text1" w:themeTint="BF"/>
          <w:sz w:val="18"/>
          <w:szCs w:val="18"/>
        </w:rPr>
        <w:footnoteRef/>
      </w:r>
      <w:r w:rsidRPr="00AD5891">
        <w:rPr>
          <w:color w:val="404040" w:themeColor="text1" w:themeTint="BF"/>
          <w:sz w:val="18"/>
          <w:szCs w:val="18"/>
        </w:rPr>
        <w:t xml:space="preserve"> See </w:t>
      </w:r>
      <w:r w:rsidRPr="00AD5891">
        <w:rPr>
          <w:rFonts w:asciiTheme="minorHAnsi" w:hAnsiTheme="minorHAnsi" w:cstheme="minorHAnsi"/>
          <w:color w:val="404040" w:themeColor="text1" w:themeTint="BF"/>
          <w:sz w:val="18"/>
          <w:szCs w:val="18"/>
          <w:lang w:val="en-GB"/>
        </w:rPr>
        <w:t xml:space="preserve">IDLO (2018), Women Delivering Justice: Contributions, Barriers, Pathways </w:t>
      </w:r>
      <w:hyperlink r:id="rId1" w:history="1">
        <w:r w:rsidRPr="00AD5891">
          <w:rPr>
            <w:rStyle w:val="Hyperlink"/>
            <w:rFonts w:asciiTheme="minorHAnsi" w:hAnsiTheme="minorHAnsi" w:cstheme="minorHAnsi"/>
            <w:color w:val="404040" w:themeColor="text1" w:themeTint="BF"/>
            <w:sz w:val="18"/>
            <w:szCs w:val="18"/>
            <w:lang w:val="en-GB"/>
          </w:rPr>
          <w:t>https://www.idlo.int/publications/women-delivering-justice-contributions-barriers-pathways</w:t>
        </w:r>
      </w:hyperlink>
      <w:r w:rsidRPr="00AD5891">
        <w:rPr>
          <w:rFonts w:asciiTheme="minorHAnsi" w:hAnsiTheme="minorHAnsi" w:cstheme="minorHAnsi"/>
          <w:color w:val="404040" w:themeColor="text1" w:themeTint="BF"/>
          <w:sz w:val="18"/>
          <w:szCs w:val="18"/>
          <w:lang w:val="en-GB"/>
        </w:rPr>
        <w:t xml:space="preserve"> </w:t>
      </w:r>
    </w:p>
  </w:footnote>
  <w:footnote w:id="8">
    <w:p w14:paraId="5E988415" w14:textId="77777777" w:rsidR="007B1AAA" w:rsidRPr="00AD5891" w:rsidRDefault="007B1AAA" w:rsidP="0081040E">
      <w:pPr>
        <w:pStyle w:val="FootnoteText"/>
        <w:jc w:val="both"/>
        <w:rPr>
          <w:color w:val="404040" w:themeColor="text1" w:themeTint="BF"/>
          <w:sz w:val="18"/>
          <w:szCs w:val="18"/>
        </w:rPr>
      </w:pPr>
      <w:r w:rsidRPr="00AD5891">
        <w:rPr>
          <w:rStyle w:val="FootnoteReference"/>
          <w:color w:val="404040" w:themeColor="text1" w:themeTint="BF"/>
          <w:sz w:val="18"/>
          <w:szCs w:val="18"/>
        </w:rPr>
        <w:footnoteRef/>
      </w:r>
      <w:r w:rsidRPr="00AD5891">
        <w:rPr>
          <w:color w:val="404040" w:themeColor="text1" w:themeTint="BF"/>
          <w:sz w:val="18"/>
          <w:szCs w:val="18"/>
        </w:rPr>
        <w:t xml:space="preserve"> For instance, Brazil’s government introduced a quota system for federal jobs that require 20% of all government positions be filled by people of colour.</w:t>
      </w:r>
    </w:p>
  </w:footnote>
  <w:footnote w:id="9">
    <w:p w14:paraId="3B1D7893" w14:textId="77777777" w:rsidR="007B1AAA" w:rsidRPr="00AD5891" w:rsidRDefault="007B1AAA" w:rsidP="0069230D">
      <w:pPr>
        <w:pStyle w:val="FootnoteText"/>
        <w:jc w:val="both"/>
        <w:rPr>
          <w:color w:val="404040" w:themeColor="text1" w:themeTint="BF"/>
          <w:sz w:val="18"/>
          <w:szCs w:val="18"/>
        </w:rPr>
      </w:pPr>
      <w:r w:rsidRPr="00AD5891">
        <w:rPr>
          <w:rStyle w:val="FootnoteReference"/>
          <w:color w:val="404040" w:themeColor="text1" w:themeTint="BF"/>
          <w:sz w:val="18"/>
          <w:szCs w:val="18"/>
        </w:rPr>
        <w:footnoteRef/>
      </w:r>
      <w:r w:rsidRPr="00AD5891">
        <w:rPr>
          <w:color w:val="404040" w:themeColor="text1" w:themeTint="BF"/>
          <w:sz w:val="18"/>
          <w:szCs w:val="18"/>
        </w:rPr>
        <w:t xml:space="preserve"> The International Commission of Jurists’ Women and the Judiciary Report (2014) notes that women face discriminatory and restrictive social norms concerning the role of women in society that create resistance to their exercise of judicial authority. The report points to incidents where individuals have refused to have their legal matters determined by women judges and where junior officers and court staff have refused to implement orders determined by women judges.</w:t>
      </w:r>
    </w:p>
  </w:footnote>
  <w:footnote w:id="10">
    <w:p w14:paraId="74A775F1" w14:textId="77777777" w:rsidR="007B1AAA" w:rsidRPr="00AD5891" w:rsidRDefault="007B1AAA" w:rsidP="0069230D">
      <w:pPr>
        <w:pStyle w:val="FootnoteText"/>
        <w:rPr>
          <w:color w:val="404040" w:themeColor="text1" w:themeTint="BF"/>
          <w:sz w:val="18"/>
          <w:szCs w:val="18"/>
        </w:rPr>
      </w:pPr>
      <w:r w:rsidRPr="00AD5891">
        <w:rPr>
          <w:rStyle w:val="FootnoteReference"/>
          <w:color w:val="404040" w:themeColor="text1" w:themeTint="BF"/>
          <w:sz w:val="18"/>
          <w:szCs w:val="18"/>
        </w:rPr>
        <w:footnoteRef/>
      </w:r>
      <w:r w:rsidRPr="00AD5891">
        <w:rPr>
          <w:color w:val="404040" w:themeColor="text1" w:themeTint="BF"/>
          <w:sz w:val="18"/>
          <w:szCs w:val="18"/>
        </w:rPr>
        <w:t xml:space="preserve"> The report also notes that even when women judges might have full autonomy to exercise their decision-making power, they may nevertheless be unable to make decisions that bring to bear their lived experiences if legal frameworks do not allow for the introduction of concerns about gender justice, for instance, in common law contexts where judges are bound by precedent.</w:t>
      </w:r>
    </w:p>
  </w:footnote>
  <w:footnote w:id="11">
    <w:p w14:paraId="576496E2" w14:textId="77777777" w:rsidR="007B1AAA" w:rsidRPr="00AD5891" w:rsidRDefault="007B1AAA" w:rsidP="0069230D">
      <w:pPr>
        <w:pStyle w:val="FootnoteText"/>
        <w:jc w:val="both"/>
        <w:rPr>
          <w:color w:val="404040" w:themeColor="text1" w:themeTint="BF"/>
          <w:sz w:val="18"/>
          <w:szCs w:val="18"/>
        </w:rPr>
      </w:pPr>
      <w:r w:rsidRPr="00AD5891">
        <w:rPr>
          <w:rStyle w:val="FootnoteReference"/>
          <w:color w:val="404040" w:themeColor="text1" w:themeTint="BF"/>
          <w:sz w:val="18"/>
          <w:szCs w:val="18"/>
        </w:rPr>
        <w:footnoteRef/>
      </w:r>
      <w:r w:rsidRPr="00AD5891">
        <w:rPr>
          <w:color w:val="404040" w:themeColor="text1" w:themeTint="BF"/>
          <w:sz w:val="18"/>
          <w:szCs w:val="18"/>
        </w:rPr>
        <w:t xml:space="preserve"> Where information relevant for disaggregation is collected directly from individuals, the principle of self-identification should be considered, as should the use of survey questionnaires administered by relevant civil society organizations or the integration of data produced by community-based mechanisms. When these data partnerships are explored, responsibilities, particularly in relation to data privacy and management, must be clearly defined. This is necessary both for the data collection process and to preserve the interests and privacy of respondents. Applying a participatory approach, and the principle of self-identification, can help improve response rates. OHCHR, A Human-Rights Based Approach to Data: Leaving No One Behind in the 2030 Agenda for Sustainable Development (2018): https://www.ohchr.org/Documents/Issues/HRIndicators/GuidanceNoteonApproachtoData.pdf.</w:t>
      </w:r>
    </w:p>
  </w:footnote>
  <w:footnote w:id="12">
    <w:p w14:paraId="48FD5184" w14:textId="77777777" w:rsidR="007B1AAA" w:rsidRPr="00AD5891" w:rsidRDefault="007B1AAA" w:rsidP="0069230D">
      <w:pPr>
        <w:pStyle w:val="FootnoteText"/>
        <w:jc w:val="both"/>
        <w:rPr>
          <w:color w:val="404040" w:themeColor="text1" w:themeTint="BF"/>
          <w:sz w:val="18"/>
          <w:szCs w:val="18"/>
        </w:rPr>
      </w:pPr>
      <w:r w:rsidRPr="00AD5891">
        <w:rPr>
          <w:rStyle w:val="FootnoteReference"/>
          <w:color w:val="404040" w:themeColor="text1" w:themeTint="BF"/>
          <w:sz w:val="18"/>
          <w:szCs w:val="18"/>
        </w:rPr>
        <w:footnoteRef/>
      </w:r>
      <w:r w:rsidRPr="00AD5891">
        <w:rPr>
          <w:color w:val="404040" w:themeColor="text1" w:themeTint="BF"/>
          <w:sz w:val="18"/>
          <w:szCs w:val="18"/>
        </w:rPr>
        <w:t xml:space="preserve"> OHCHR, A Human-Rights Based Approach to Data: Leaving No One Behind in the 2030 Agenda for Sustainable Development (2018): https://www.ohchr.org/Documents/Issues/HRIndicators/GuidanceNoteonApproachtoData.pdf.</w:t>
      </w:r>
    </w:p>
  </w:footnote>
  <w:footnote w:id="13">
    <w:p w14:paraId="392D00A2" w14:textId="77777777" w:rsidR="007B1AAA" w:rsidRPr="00AD5891" w:rsidRDefault="007B1AAA" w:rsidP="0069230D">
      <w:pPr>
        <w:pStyle w:val="FootnoteText"/>
        <w:jc w:val="both"/>
        <w:rPr>
          <w:rFonts w:asciiTheme="minorHAnsi" w:hAnsiTheme="minorHAnsi" w:cstheme="minorHAnsi"/>
          <w:color w:val="404040" w:themeColor="text1" w:themeTint="BF"/>
          <w:sz w:val="18"/>
          <w:szCs w:val="18"/>
        </w:rPr>
      </w:pPr>
      <w:r w:rsidRPr="00AD5891">
        <w:rPr>
          <w:rStyle w:val="FootnoteReference"/>
          <w:rFonts w:asciiTheme="minorHAnsi" w:hAnsiTheme="minorHAnsi" w:cstheme="minorHAnsi"/>
          <w:color w:val="404040" w:themeColor="text1" w:themeTint="BF"/>
          <w:sz w:val="18"/>
          <w:szCs w:val="18"/>
        </w:rPr>
        <w:footnoteRef/>
      </w:r>
      <w:r w:rsidRPr="00AD5891">
        <w:rPr>
          <w:rFonts w:asciiTheme="minorHAnsi" w:hAnsiTheme="minorHAnsi" w:cstheme="minorHAnsi"/>
          <w:color w:val="404040" w:themeColor="text1" w:themeTint="BF"/>
          <w:sz w:val="18"/>
          <w:szCs w:val="18"/>
        </w:rPr>
        <w:t xml:space="preserve"> ‘Disability’ is an umbrella term covering long-term physical, mental, intellectual, or sensory impairments which, in interaction with various barriers, may hinder the full and effective participation of disabled persons in society on an equal basis with others. UN General Assembly, Resolution on Convention on the Rights of Persons with Disabilities, A/RES/61/106 (24 January 2007).</w:t>
      </w:r>
    </w:p>
  </w:footnote>
  <w:footnote w:id="14">
    <w:p w14:paraId="0E7E0BDD" w14:textId="77777777" w:rsidR="007B1AAA" w:rsidRPr="00AD5891" w:rsidRDefault="007B1AAA" w:rsidP="0069230D">
      <w:pPr>
        <w:spacing w:after="0" w:line="240" w:lineRule="auto"/>
        <w:jc w:val="both"/>
        <w:rPr>
          <w:rFonts w:cs="Calibri"/>
          <w:color w:val="404040" w:themeColor="text1" w:themeTint="BF"/>
          <w:sz w:val="18"/>
          <w:szCs w:val="18"/>
        </w:rPr>
      </w:pPr>
      <w:r w:rsidRPr="00AD5891">
        <w:rPr>
          <w:rStyle w:val="FootnoteReference"/>
          <w:rFonts w:cs="Calibri"/>
          <w:color w:val="404040" w:themeColor="text1" w:themeTint="BF"/>
          <w:sz w:val="18"/>
          <w:szCs w:val="18"/>
        </w:rPr>
        <w:footnoteRef/>
      </w:r>
      <w:r w:rsidRPr="00AD5891">
        <w:rPr>
          <w:rFonts w:cs="Calibri"/>
          <w:color w:val="404040" w:themeColor="text1" w:themeTint="BF"/>
          <w:sz w:val="18"/>
          <w:szCs w:val="18"/>
        </w:rPr>
        <w:t xml:space="preserve"> The population of a country is a mosaic of different population groups that can be identified according to racial, ethnic, language, indigenous or migration status, religious affiliation, or sexual orientation, amongst other characteristics. For the purpose of this indicator, particular focus is placed on minorities. Minority groups are groups that are numerically lower compared to the rest of the population of a state, in a non-dominant position, whose members—being nationals of the state—possess ethnic, religious or linguistic characteristics differing from those of the rest of the population and show, even if only implicitly, a sense of solidarity directed towards preserving their culture, traditions, religion or language.  While the nationality criterion included in the above definition has often been challenged, the requirement to be in a non-dominant position remains important. (OHCHR, Minority Rights: International Standards and Guidance for Implementation, HR/PUB/10/3 (2010), http://www.refworld.org/docid/4db80ca52.html).</w:t>
      </w:r>
    </w:p>
  </w:footnote>
  <w:footnote w:id="15">
    <w:p w14:paraId="1499DBEE" w14:textId="77777777" w:rsidR="007B1AAA" w:rsidRPr="00AD5891" w:rsidRDefault="007B1AAA" w:rsidP="0069230D">
      <w:pPr>
        <w:pStyle w:val="FootnoteText"/>
        <w:jc w:val="both"/>
        <w:rPr>
          <w:color w:val="404040" w:themeColor="text1" w:themeTint="BF"/>
          <w:sz w:val="18"/>
          <w:szCs w:val="18"/>
        </w:rPr>
      </w:pPr>
      <w:r w:rsidRPr="00AD5891">
        <w:rPr>
          <w:rStyle w:val="FootnoteReference"/>
          <w:rFonts w:asciiTheme="minorHAnsi" w:hAnsiTheme="minorHAnsi"/>
          <w:color w:val="404040" w:themeColor="text1" w:themeTint="BF"/>
          <w:sz w:val="18"/>
          <w:szCs w:val="18"/>
        </w:rPr>
        <w:footnoteRef/>
      </w:r>
      <w:r w:rsidRPr="00AD5891">
        <w:rPr>
          <w:rFonts w:asciiTheme="minorHAnsi" w:hAnsiTheme="minorHAnsi"/>
          <w:color w:val="404040" w:themeColor="text1" w:themeTint="BF"/>
          <w:sz w:val="18"/>
          <w:szCs w:val="18"/>
        </w:rPr>
        <w:t xml:space="preserve"> </w:t>
      </w:r>
      <w:r w:rsidRPr="00AD5891">
        <w:rPr>
          <w:rFonts w:asciiTheme="minorHAnsi" w:hAnsiTheme="minorHAnsi" w:cstheme="minorHAnsi"/>
          <w:color w:val="404040" w:themeColor="text1" w:themeTint="BF"/>
          <w:sz w:val="18"/>
          <w:szCs w:val="18"/>
        </w:rPr>
        <w:t xml:space="preserve">UN General Assembly, Resolution on Review of the United Nations Peacebuilding Architecture, </w:t>
      </w:r>
      <w:r w:rsidRPr="00AD5891">
        <w:rPr>
          <w:rFonts w:asciiTheme="minorHAnsi" w:hAnsiTheme="minorHAnsi"/>
          <w:color w:val="404040" w:themeColor="text1" w:themeTint="BF"/>
          <w:sz w:val="18"/>
          <w:szCs w:val="18"/>
        </w:rPr>
        <w:t>A/RES/70/262 (12 May 2016); UN Security Council,</w:t>
      </w:r>
      <w:r w:rsidRPr="00AD5891">
        <w:rPr>
          <w:color w:val="404040" w:themeColor="text1" w:themeTint="BF"/>
          <w:sz w:val="18"/>
          <w:szCs w:val="18"/>
        </w:rPr>
        <w:t xml:space="preserve"> </w:t>
      </w:r>
      <w:r w:rsidRPr="00AD5891">
        <w:rPr>
          <w:rFonts w:asciiTheme="minorHAnsi" w:hAnsiTheme="minorHAnsi"/>
          <w:color w:val="404040" w:themeColor="text1" w:themeTint="BF"/>
          <w:sz w:val="18"/>
          <w:szCs w:val="18"/>
        </w:rPr>
        <w:t>Resolution 2282, S/RES/2282 (2016).</w:t>
      </w:r>
    </w:p>
  </w:footnote>
  <w:footnote w:id="16">
    <w:p w14:paraId="2794CC0B" w14:textId="77777777" w:rsidR="007B1AAA" w:rsidRPr="00AD5891" w:rsidRDefault="007B1AAA" w:rsidP="0069230D">
      <w:pPr>
        <w:pStyle w:val="NormalWeb"/>
        <w:spacing w:before="0" w:beforeAutospacing="0" w:after="0" w:afterAutospacing="0"/>
        <w:jc w:val="both"/>
        <w:rPr>
          <w:rFonts w:asciiTheme="minorHAnsi" w:hAnsiTheme="minorHAnsi" w:cstheme="minorHAnsi"/>
          <w:color w:val="404040" w:themeColor="text1" w:themeTint="BF"/>
          <w:sz w:val="18"/>
          <w:szCs w:val="18"/>
        </w:rPr>
      </w:pPr>
      <w:r w:rsidRPr="00AD5891">
        <w:rPr>
          <w:rStyle w:val="FootnoteReference"/>
          <w:rFonts w:asciiTheme="minorHAnsi" w:hAnsiTheme="minorHAnsi" w:cstheme="minorHAnsi"/>
          <w:color w:val="404040" w:themeColor="text1" w:themeTint="BF"/>
          <w:sz w:val="18"/>
          <w:szCs w:val="18"/>
        </w:rPr>
        <w:footnoteRef/>
      </w:r>
      <w:r w:rsidRPr="00AD5891">
        <w:rPr>
          <w:rFonts w:asciiTheme="minorHAnsi" w:hAnsiTheme="minorHAnsi" w:cstheme="minorHAnsi"/>
          <w:color w:val="404040" w:themeColor="text1" w:themeTint="BF"/>
          <w:sz w:val="18"/>
          <w:szCs w:val="18"/>
        </w:rPr>
        <w:t xml:space="preserve"> UN Statistical Division, </w:t>
      </w:r>
      <w:hyperlink r:id="rId2" w:history="1">
        <w:r w:rsidRPr="00AD5891">
          <w:rPr>
            <w:rStyle w:val="Hyperlink"/>
            <w:rFonts w:asciiTheme="minorHAnsi" w:hAnsiTheme="minorHAnsi" w:cstheme="minorHAnsi"/>
            <w:color w:val="404040" w:themeColor="text1" w:themeTint="BF"/>
            <w:sz w:val="18"/>
            <w:szCs w:val="18"/>
            <w:u w:val="none"/>
          </w:rPr>
          <w:t>Guiding Principles of Data Reporting and Data Sharing for the Global Monitoring of the 2030 Agenda for Sustainable Development</w:t>
        </w:r>
      </w:hyperlink>
      <w:r w:rsidRPr="00AD5891">
        <w:rPr>
          <w:rStyle w:val="Hyperlink"/>
          <w:rFonts w:asciiTheme="minorHAnsi" w:hAnsiTheme="minorHAnsi" w:cstheme="minorHAnsi"/>
          <w:color w:val="404040" w:themeColor="text1" w:themeTint="BF"/>
          <w:sz w:val="18"/>
          <w:szCs w:val="18"/>
          <w:u w:val="none"/>
        </w:rPr>
        <w:t xml:space="preserve"> (2017).</w:t>
      </w:r>
    </w:p>
  </w:footnote>
  <w:footnote w:id="17">
    <w:p w14:paraId="0B45D89D" w14:textId="77777777" w:rsidR="007B1AAA" w:rsidRPr="00AD5891" w:rsidRDefault="007B1AAA" w:rsidP="0069230D">
      <w:pPr>
        <w:pStyle w:val="FootnoteText"/>
        <w:rPr>
          <w:sz w:val="18"/>
          <w:szCs w:val="18"/>
        </w:rPr>
      </w:pPr>
      <w:r w:rsidRPr="00AD5891">
        <w:rPr>
          <w:rStyle w:val="FootnoteReference"/>
          <w:sz w:val="18"/>
          <w:szCs w:val="18"/>
        </w:rPr>
        <w:footnoteRef/>
      </w:r>
      <w:r w:rsidRPr="00AD5891">
        <w:rPr>
          <w:sz w:val="18"/>
          <w:szCs w:val="18"/>
        </w:rPr>
        <w:t xml:space="preserve"> </w:t>
      </w:r>
      <w:hyperlink r:id="rId3" w:history="1">
        <w:r w:rsidRPr="00AD5891">
          <w:rPr>
            <w:rStyle w:val="Hyperlink"/>
            <w:rFonts w:eastAsia="Times New Roman" w:cs="Times New Roman"/>
            <w:color w:val="4040FF" w:themeColor="hyperlink" w:themeTint="BF"/>
            <w:sz w:val="18"/>
            <w:szCs w:val="18"/>
            <w:lang w:eastAsia="en-GB"/>
          </w:rPr>
          <w:t>https://www.unodc.org/unodc/en/data-and-analysis/United-Nations-Surveys-on-Crime-Trends-and-the-Operations-of-Criminal-Justice-Systems.html</w:t>
        </w:r>
      </w:hyperlink>
    </w:p>
  </w:footnote>
  <w:footnote w:id="18">
    <w:p w14:paraId="1193BEF4" w14:textId="77777777" w:rsidR="007B1AAA" w:rsidRPr="00AD5891" w:rsidRDefault="007B1AAA" w:rsidP="0069230D">
      <w:pPr>
        <w:pStyle w:val="FootnoteText"/>
        <w:rPr>
          <w:sz w:val="18"/>
          <w:szCs w:val="18"/>
        </w:rPr>
      </w:pPr>
      <w:r w:rsidRPr="00AD5891">
        <w:rPr>
          <w:rStyle w:val="FootnoteReference"/>
          <w:sz w:val="18"/>
          <w:szCs w:val="18"/>
        </w:rPr>
        <w:footnoteRef/>
      </w:r>
      <w:r w:rsidRPr="00AD5891">
        <w:rPr>
          <w:sz w:val="18"/>
          <w:szCs w:val="18"/>
        </w:rPr>
        <w:t xml:space="preserve"> </w:t>
      </w:r>
      <w:hyperlink r:id="rId4" w:history="1">
        <w:r w:rsidRPr="00AD5891">
          <w:rPr>
            <w:rStyle w:val="Hyperlink"/>
            <w:rFonts w:eastAsia="Times New Roman" w:cs="Times New Roman"/>
            <w:color w:val="4040FF" w:themeColor="hyperlink" w:themeTint="BF"/>
            <w:sz w:val="18"/>
            <w:szCs w:val="18"/>
            <w:lang w:eastAsia="en-GB"/>
          </w:rPr>
          <w:t>https://wbl.worldbank.org</w:t>
        </w:r>
      </w:hyperlink>
    </w:p>
  </w:footnote>
  <w:footnote w:id="19">
    <w:p w14:paraId="6C1147CB" w14:textId="77777777" w:rsidR="007B1AAA" w:rsidRPr="00AD5891" w:rsidRDefault="007B1AAA" w:rsidP="0069230D">
      <w:pPr>
        <w:pStyle w:val="FootnoteText"/>
        <w:rPr>
          <w:sz w:val="18"/>
          <w:szCs w:val="18"/>
        </w:rPr>
      </w:pPr>
      <w:r w:rsidRPr="00AD5891">
        <w:rPr>
          <w:rStyle w:val="FootnoteReference"/>
          <w:sz w:val="18"/>
          <w:szCs w:val="18"/>
        </w:rPr>
        <w:footnoteRef/>
      </w:r>
      <w:r w:rsidRPr="00AD5891">
        <w:rPr>
          <w:sz w:val="18"/>
          <w:szCs w:val="18"/>
        </w:rPr>
        <w:t xml:space="preserve"> </w:t>
      </w:r>
      <w:hyperlink r:id="rId5" w:history="1">
        <w:r w:rsidRPr="00AD5891">
          <w:rPr>
            <w:rStyle w:val="Hyperlink"/>
            <w:rFonts w:eastAsia="Times New Roman" w:cs="Times New Roman"/>
            <w:color w:val="4040FF" w:themeColor="hyperlink" w:themeTint="BF"/>
            <w:sz w:val="18"/>
            <w:szCs w:val="18"/>
            <w:lang w:eastAsia="en-GB"/>
          </w:rPr>
          <w:t>https://www.coe.int/en/web/cepej/cepej-work/evaluation-of-judicial-systems</w:t>
        </w:r>
      </w:hyperlink>
    </w:p>
  </w:footnote>
  <w:footnote w:id="20">
    <w:p w14:paraId="19598595" w14:textId="77777777" w:rsidR="007B1AAA" w:rsidRPr="00AD5891" w:rsidRDefault="007B1AAA" w:rsidP="0069230D">
      <w:pPr>
        <w:pStyle w:val="FootnoteText"/>
        <w:rPr>
          <w:color w:val="404040" w:themeColor="text1" w:themeTint="BF"/>
          <w:sz w:val="18"/>
          <w:szCs w:val="18"/>
        </w:rPr>
      </w:pPr>
      <w:r w:rsidRPr="00AD5891">
        <w:rPr>
          <w:rStyle w:val="FootnoteReference"/>
          <w:color w:val="404040" w:themeColor="text1" w:themeTint="BF"/>
          <w:sz w:val="18"/>
          <w:szCs w:val="18"/>
        </w:rPr>
        <w:footnoteRef/>
      </w:r>
      <w:r w:rsidRPr="00AD5891">
        <w:rPr>
          <w:color w:val="404040" w:themeColor="text1" w:themeTint="BF"/>
          <w:sz w:val="18"/>
          <w:szCs w:val="18"/>
        </w:rPr>
        <w:t xml:space="preserve"> </w:t>
      </w:r>
      <w:r w:rsidRPr="00AD5891">
        <w:rPr>
          <w:color w:val="404040" w:themeColor="text1" w:themeTint="BF"/>
          <w:sz w:val="18"/>
          <w:szCs w:val="18"/>
          <w:lang w:eastAsia="en-GB"/>
        </w:rPr>
        <w:t>Population groups would be defined at the country level as relevant to the country context and could include indigenous, linguistic, ethnic, racial, social, income, cultural, geographic, nationality, migrant, displaced, refugee, political, sexual orientation, civil status, and/or religious groups, using guidance from OHCHR’s A Human-Rights Based Approach to Data on countries’ obligation to collect and publish data disaggregated by grounds of discrimination recognized in international human rights law.</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33CD9670" w:rsidR="007B1AAA" w:rsidRPr="00757E8A" w:rsidRDefault="007B1AAA" w:rsidP="00077F46">
    <w:pPr>
      <w:pStyle w:val="Header"/>
      <w:jc w:val="right"/>
      <w:rPr>
        <w:color w:val="404040" w:themeColor="text1" w:themeTint="BF"/>
        <w:sz w:val="18"/>
        <w:szCs w:val="18"/>
      </w:rPr>
    </w:pPr>
    <w:bookmarkStart w:id="11" w:name="_Hlk506197003"/>
    <w:bookmarkStart w:id="12" w:name="_Hlk506197004"/>
    <w:bookmarkStart w:id="13" w:name="_Hlk506197005"/>
    <w:bookmarkStart w:id="14" w:name="_Hlk516233502"/>
    <w:bookmarkStart w:id="15" w:name="_Hlk516233503"/>
    <w:bookmarkStart w:id="16" w:name="_Hlk516233504"/>
    <w:r w:rsidRPr="00757E8A">
      <w:rPr>
        <w:color w:val="404040" w:themeColor="text1" w:themeTint="BF"/>
        <w:sz w:val="18"/>
        <w:szCs w:val="18"/>
      </w:rPr>
      <w:t>Last updated:</w:t>
    </w:r>
    <w:bookmarkEnd w:id="11"/>
    <w:bookmarkEnd w:id="12"/>
    <w:bookmarkEnd w:id="13"/>
    <w:bookmarkEnd w:id="14"/>
    <w:bookmarkEnd w:id="15"/>
    <w:bookmarkEnd w:id="16"/>
    <w:r>
      <w:rPr>
        <w:color w:val="404040" w:themeColor="text1" w:themeTint="BF"/>
        <w:sz w:val="18"/>
        <w:szCs w:val="18"/>
      </w:rPr>
      <w:t xml:space="preserve"> </w:t>
    </w:r>
    <w:r w:rsidR="00266013">
      <w:rPr>
        <w:color w:val="404040" w:themeColor="text1" w:themeTint="BF"/>
        <w:sz w:val="18"/>
        <w:szCs w:val="18"/>
      </w:rPr>
      <w:t>May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A5C29"/>
    <w:multiLevelType w:val="hybridMultilevel"/>
    <w:tmpl w:val="4B624C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A00481"/>
    <w:multiLevelType w:val="hybridMultilevel"/>
    <w:tmpl w:val="8FF67630"/>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F006A6"/>
    <w:multiLevelType w:val="hybridMultilevel"/>
    <w:tmpl w:val="B296C4CE"/>
    <w:lvl w:ilvl="0" w:tplc="0CCA278E">
      <w:start w:val="2"/>
      <w:numFmt w:val="bullet"/>
      <w:lvlText w:val="-"/>
      <w:lvlJc w:val="left"/>
      <w:pPr>
        <w:ind w:left="720" w:hanging="360"/>
      </w:pPr>
      <w:rPr>
        <w:rFonts w:ascii="Calibri" w:eastAsia="Times New Roman" w:hAnsi="Calibri" w:cs="Calibri" w:hint="default"/>
      </w:rPr>
    </w:lvl>
    <w:lvl w:ilvl="1" w:tplc="04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D959B3"/>
    <w:multiLevelType w:val="hybridMultilevel"/>
    <w:tmpl w:val="11647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3E4214D"/>
    <w:multiLevelType w:val="hybridMultilevel"/>
    <w:tmpl w:val="0C5C8D2A"/>
    <w:lvl w:ilvl="0" w:tplc="821CF5A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BA266E"/>
    <w:multiLevelType w:val="hybridMultilevel"/>
    <w:tmpl w:val="0F3260BA"/>
    <w:lvl w:ilvl="0" w:tplc="61D0074A">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851" w:hanging="360"/>
      </w:pPr>
      <w:rPr>
        <w:rFonts w:ascii="Courier New" w:hAnsi="Courier New" w:cs="Courier New" w:hint="default"/>
      </w:rPr>
    </w:lvl>
    <w:lvl w:ilvl="2" w:tplc="04090005" w:tentative="1">
      <w:start w:val="1"/>
      <w:numFmt w:val="bullet"/>
      <w:lvlText w:val=""/>
      <w:lvlJc w:val="left"/>
      <w:pPr>
        <w:ind w:left="2571" w:hanging="360"/>
      </w:pPr>
      <w:rPr>
        <w:rFonts w:ascii="Wingdings" w:hAnsi="Wingdings" w:hint="default"/>
      </w:rPr>
    </w:lvl>
    <w:lvl w:ilvl="3" w:tplc="04090001" w:tentative="1">
      <w:start w:val="1"/>
      <w:numFmt w:val="bullet"/>
      <w:lvlText w:val=""/>
      <w:lvlJc w:val="left"/>
      <w:pPr>
        <w:ind w:left="3291" w:hanging="360"/>
      </w:pPr>
      <w:rPr>
        <w:rFonts w:ascii="Symbol" w:hAnsi="Symbol" w:hint="default"/>
      </w:rPr>
    </w:lvl>
    <w:lvl w:ilvl="4" w:tplc="04090003" w:tentative="1">
      <w:start w:val="1"/>
      <w:numFmt w:val="bullet"/>
      <w:lvlText w:val="o"/>
      <w:lvlJc w:val="left"/>
      <w:pPr>
        <w:ind w:left="4011" w:hanging="360"/>
      </w:pPr>
      <w:rPr>
        <w:rFonts w:ascii="Courier New" w:hAnsi="Courier New" w:cs="Courier New" w:hint="default"/>
      </w:rPr>
    </w:lvl>
    <w:lvl w:ilvl="5" w:tplc="04090005" w:tentative="1">
      <w:start w:val="1"/>
      <w:numFmt w:val="bullet"/>
      <w:lvlText w:val=""/>
      <w:lvlJc w:val="left"/>
      <w:pPr>
        <w:ind w:left="4731" w:hanging="360"/>
      </w:pPr>
      <w:rPr>
        <w:rFonts w:ascii="Wingdings" w:hAnsi="Wingdings" w:hint="default"/>
      </w:rPr>
    </w:lvl>
    <w:lvl w:ilvl="6" w:tplc="04090001" w:tentative="1">
      <w:start w:val="1"/>
      <w:numFmt w:val="bullet"/>
      <w:lvlText w:val=""/>
      <w:lvlJc w:val="left"/>
      <w:pPr>
        <w:ind w:left="5451" w:hanging="360"/>
      </w:pPr>
      <w:rPr>
        <w:rFonts w:ascii="Symbol" w:hAnsi="Symbol" w:hint="default"/>
      </w:rPr>
    </w:lvl>
    <w:lvl w:ilvl="7" w:tplc="04090003" w:tentative="1">
      <w:start w:val="1"/>
      <w:numFmt w:val="bullet"/>
      <w:lvlText w:val="o"/>
      <w:lvlJc w:val="left"/>
      <w:pPr>
        <w:ind w:left="6171" w:hanging="360"/>
      </w:pPr>
      <w:rPr>
        <w:rFonts w:ascii="Courier New" w:hAnsi="Courier New" w:cs="Courier New" w:hint="default"/>
      </w:rPr>
    </w:lvl>
    <w:lvl w:ilvl="8" w:tplc="04090005" w:tentative="1">
      <w:start w:val="1"/>
      <w:numFmt w:val="bullet"/>
      <w:lvlText w:val=""/>
      <w:lvlJc w:val="left"/>
      <w:pPr>
        <w:ind w:left="6891" w:hanging="360"/>
      </w:pPr>
      <w:rPr>
        <w:rFonts w:ascii="Wingdings" w:hAnsi="Wingdings" w:hint="default"/>
      </w:rPr>
    </w:lvl>
  </w:abstractNum>
  <w:abstractNum w:abstractNumId="9"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9"/>
  </w:num>
  <w:num w:numId="4">
    <w:abstractNumId w:val="4"/>
  </w:num>
  <w:num w:numId="5">
    <w:abstractNumId w:val="6"/>
  </w:num>
  <w:num w:numId="6">
    <w:abstractNumId w:val="0"/>
  </w:num>
  <w:num w:numId="7">
    <w:abstractNumId w:val="5"/>
  </w:num>
  <w:num w:numId="8">
    <w:abstractNumId w:val="2"/>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trackRevisions/>
  <w:documentProtection w:edit="forms" w:enforcement="0"/>
  <w:defaultTabStop w:val="720"/>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Y2MrY0NrQwtzA1MjVU0lEKTi0uzszPAykwrAUAEIJJxiwAAAA="/>
  </w:docVars>
  <w:rsids>
    <w:rsidRoot w:val="0058556D"/>
    <w:rsid w:val="000070BA"/>
    <w:rsid w:val="000173F9"/>
    <w:rsid w:val="000412A0"/>
    <w:rsid w:val="00047DDA"/>
    <w:rsid w:val="0005455A"/>
    <w:rsid w:val="00071F07"/>
    <w:rsid w:val="0007759D"/>
    <w:rsid w:val="000777AB"/>
    <w:rsid w:val="00077F46"/>
    <w:rsid w:val="00090FB1"/>
    <w:rsid w:val="00096186"/>
    <w:rsid w:val="000A72E4"/>
    <w:rsid w:val="000B0E2F"/>
    <w:rsid w:val="000B2430"/>
    <w:rsid w:val="000D0B30"/>
    <w:rsid w:val="000E21F1"/>
    <w:rsid w:val="000F703E"/>
    <w:rsid w:val="00120E86"/>
    <w:rsid w:val="00125DE9"/>
    <w:rsid w:val="001332E0"/>
    <w:rsid w:val="00134DE7"/>
    <w:rsid w:val="00161F1A"/>
    <w:rsid w:val="00185354"/>
    <w:rsid w:val="001854DC"/>
    <w:rsid w:val="00186795"/>
    <w:rsid w:val="00194D09"/>
    <w:rsid w:val="001A7D5C"/>
    <w:rsid w:val="001B60AA"/>
    <w:rsid w:val="001B63C8"/>
    <w:rsid w:val="001C1972"/>
    <w:rsid w:val="001C421F"/>
    <w:rsid w:val="001D360D"/>
    <w:rsid w:val="001F0BC7"/>
    <w:rsid w:val="002155FE"/>
    <w:rsid w:val="00261A8D"/>
    <w:rsid w:val="00266013"/>
    <w:rsid w:val="00283C1C"/>
    <w:rsid w:val="00291A00"/>
    <w:rsid w:val="00291A11"/>
    <w:rsid w:val="002A315C"/>
    <w:rsid w:val="002A3342"/>
    <w:rsid w:val="002A64BA"/>
    <w:rsid w:val="002B4989"/>
    <w:rsid w:val="002C2510"/>
    <w:rsid w:val="002D714E"/>
    <w:rsid w:val="002E53C3"/>
    <w:rsid w:val="002F1468"/>
    <w:rsid w:val="002F5F0C"/>
    <w:rsid w:val="003265EB"/>
    <w:rsid w:val="0033038F"/>
    <w:rsid w:val="0034329E"/>
    <w:rsid w:val="00343FAA"/>
    <w:rsid w:val="00347F5E"/>
    <w:rsid w:val="00353C98"/>
    <w:rsid w:val="00371A20"/>
    <w:rsid w:val="003821B4"/>
    <w:rsid w:val="00382CF3"/>
    <w:rsid w:val="00387D52"/>
    <w:rsid w:val="003A7CEA"/>
    <w:rsid w:val="003F0BD3"/>
    <w:rsid w:val="003F278A"/>
    <w:rsid w:val="003F7A02"/>
    <w:rsid w:val="00422EA5"/>
    <w:rsid w:val="00422EFA"/>
    <w:rsid w:val="0042791F"/>
    <w:rsid w:val="00440C74"/>
    <w:rsid w:val="004456ED"/>
    <w:rsid w:val="0048045A"/>
    <w:rsid w:val="004841B8"/>
    <w:rsid w:val="00492A9D"/>
    <w:rsid w:val="004930F2"/>
    <w:rsid w:val="004B0F1C"/>
    <w:rsid w:val="004F2EE6"/>
    <w:rsid w:val="00502DBA"/>
    <w:rsid w:val="005040C4"/>
    <w:rsid w:val="00507637"/>
    <w:rsid w:val="00507852"/>
    <w:rsid w:val="00514DBF"/>
    <w:rsid w:val="00550921"/>
    <w:rsid w:val="00563712"/>
    <w:rsid w:val="00573631"/>
    <w:rsid w:val="00573C0B"/>
    <w:rsid w:val="00576CFA"/>
    <w:rsid w:val="0058556D"/>
    <w:rsid w:val="00590FD3"/>
    <w:rsid w:val="00592AF2"/>
    <w:rsid w:val="005947AD"/>
    <w:rsid w:val="00597748"/>
    <w:rsid w:val="005979E8"/>
    <w:rsid w:val="005D0AF4"/>
    <w:rsid w:val="005E54BD"/>
    <w:rsid w:val="005F6CCA"/>
    <w:rsid w:val="006104AF"/>
    <w:rsid w:val="00621893"/>
    <w:rsid w:val="0062643D"/>
    <w:rsid w:val="006351E1"/>
    <w:rsid w:val="006447B1"/>
    <w:rsid w:val="00662775"/>
    <w:rsid w:val="006852FC"/>
    <w:rsid w:val="0069230D"/>
    <w:rsid w:val="006B40AB"/>
    <w:rsid w:val="006B5DC5"/>
    <w:rsid w:val="006C4BFD"/>
    <w:rsid w:val="006C7D30"/>
    <w:rsid w:val="006E3C08"/>
    <w:rsid w:val="00700ACF"/>
    <w:rsid w:val="00712487"/>
    <w:rsid w:val="0071494E"/>
    <w:rsid w:val="00722DC6"/>
    <w:rsid w:val="007530CA"/>
    <w:rsid w:val="00756D68"/>
    <w:rsid w:val="007578D9"/>
    <w:rsid w:val="00757E8A"/>
    <w:rsid w:val="00763E43"/>
    <w:rsid w:val="00764EB5"/>
    <w:rsid w:val="00777A95"/>
    <w:rsid w:val="00782416"/>
    <w:rsid w:val="007B0364"/>
    <w:rsid w:val="007B1AAA"/>
    <w:rsid w:val="007D0981"/>
    <w:rsid w:val="007D1929"/>
    <w:rsid w:val="00803CF1"/>
    <w:rsid w:val="0081040E"/>
    <w:rsid w:val="008104BB"/>
    <w:rsid w:val="008249C5"/>
    <w:rsid w:val="008526F9"/>
    <w:rsid w:val="0085285E"/>
    <w:rsid w:val="00853023"/>
    <w:rsid w:val="008534D4"/>
    <w:rsid w:val="00881E28"/>
    <w:rsid w:val="00894C4B"/>
    <w:rsid w:val="008A12E3"/>
    <w:rsid w:val="008A42FA"/>
    <w:rsid w:val="008B0AC7"/>
    <w:rsid w:val="008C2335"/>
    <w:rsid w:val="008C67C1"/>
    <w:rsid w:val="008D1D39"/>
    <w:rsid w:val="008F07D2"/>
    <w:rsid w:val="00917851"/>
    <w:rsid w:val="00917F65"/>
    <w:rsid w:val="009311E7"/>
    <w:rsid w:val="00942694"/>
    <w:rsid w:val="00963F13"/>
    <w:rsid w:val="00973340"/>
    <w:rsid w:val="00986007"/>
    <w:rsid w:val="009A7E3A"/>
    <w:rsid w:val="009B1265"/>
    <w:rsid w:val="009B4A15"/>
    <w:rsid w:val="009B5693"/>
    <w:rsid w:val="009C61A2"/>
    <w:rsid w:val="009C78E4"/>
    <w:rsid w:val="009D687E"/>
    <w:rsid w:val="009F4F2B"/>
    <w:rsid w:val="009F6DE7"/>
    <w:rsid w:val="009F711E"/>
    <w:rsid w:val="00A06CA8"/>
    <w:rsid w:val="00A10583"/>
    <w:rsid w:val="00A37FCB"/>
    <w:rsid w:val="00A54863"/>
    <w:rsid w:val="00A61D74"/>
    <w:rsid w:val="00A62497"/>
    <w:rsid w:val="00A8688B"/>
    <w:rsid w:val="00A91163"/>
    <w:rsid w:val="00A9286F"/>
    <w:rsid w:val="00A96255"/>
    <w:rsid w:val="00AB285B"/>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96CD7"/>
    <w:rsid w:val="00BB646E"/>
    <w:rsid w:val="00BC1A3C"/>
    <w:rsid w:val="00BD1BA1"/>
    <w:rsid w:val="00C01506"/>
    <w:rsid w:val="00C019E5"/>
    <w:rsid w:val="00C35BC4"/>
    <w:rsid w:val="00C43F5B"/>
    <w:rsid w:val="00C62744"/>
    <w:rsid w:val="00CB4371"/>
    <w:rsid w:val="00CC516D"/>
    <w:rsid w:val="00D24330"/>
    <w:rsid w:val="00D40056"/>
    <w:rsid w:val="00D51E7C"/>
    <w:rsid w:val="00D54F29"/>
    <w:rsid w:val="00D7020C"/>
    <w:rsid w:val="00D70AD9"/>
    <w:rsid w:val="00D72152"/>
    <w:rsid w:val="00D94BA5"/>
    <w:rsid w:val="00D9510F"/>
    <w:rsid w:val="00DA4832"/>
    <w:rsid w:val="00DA615C"/>
    <w:rsid w:val="00DD1BC6"/>
    <w:rsid w:val="00DE5C7D"/>
    <w:rsid w:val="00DE5DC3"/>
    <w:rsid w:val="00E00D8A"/>
    <w:rsid w:val="00E1050F"/>
    <w:rsid w:val="00E11604"/>
    <w:rsid w:val="00E11D92"/>
    <w:rsid w:val="00E130A0"/>
    <w:rsid w:val="00E210C4"/>
    <w:rsid w:val="00E23DB7"/>
    <w:rsid w:val="00E25AAD"/>
    <w:rsid w:val="00E46D96"/>
    <w:rsid w:val="00E52CCA"/>
    <w:rsid w:val="00E66409"/>
    <w:rsid w:val="00E81D5B"/>
    <w:rsid w:val="00E976B9"/>
    <w:rsid w:val="00EA05D3"/>
    <w:rsid w:val="00EB19AD"/>
    <w:rsid w:val="00EB2F31"/>
    <w:rsid w:val="00EB6493"/>
    <w:rsid w:val="00EC2915"/>
    <w:rsid w:val="00ED05A9"/>
    <w:rsid w:val="00ED1BA0"/>
    <w:rsid w:val="00F17257"/>
    <w:rsid w:val="00F34D24"/>
    <w:rsid w:val="00F4130B"/>
    <w:rsid w:val="00F556A2"/>
    <w:rsid w:val="00F719A8"/>
    <w:rsid w:val="00F878B9"/>
    <w:rsid w:val="00FA4517"/>
    <w:rsid w:val="00FB24E8"/>
    <w:rsid w:val="00FB3B2B"/>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apple-converted-space">
    <w:name w:val="apple-converted-space"/>
    <w:basedOn w:val="DefaultParagraphFont"/>
    <w:rsid w:val="0069230D"/>
  </w:style>
  <w:style w:type="character" w:styleId="FootnoteReference">
    <w:name w:val="footnote reference"/>
    <w:aliases w:val="4_G"/>
    <w:basedOn w:val="DefaultParagraphFont"/>
    <w:uiPriority w:val="99"/>
    <w:unhideWhenUsed/>
    <w:rsid w:val="0069230D"/>
    <w:rPr>
      <w:vertAlign w:val="superscript"/>
    </w:rPr>
  </w:style>
  <w:style w:type="paragraph" w:styleId="FootnoteText">
    <w:name w:val="footnote text"/>
    <w:basedOn w:val="Normal"/>
    <w:link w:val="FootnoteTextChar"/>
    <w:uiPriority w:val="99"/>
    <w:unhideWhenUsed/>
    <w:rsid w:val="0069230D"/>
    <w:pPr>
      <w:spacing w:after="0" w:line="240" w:lineRule="auto"/>
    </w:pPr>
    <w:rPr>
      <w:rFonts w:ascii="Calibri" w:eastAsia="Calibri" w:hAnsi="Calibri" w:cs="Calibri"/>
      <w:sz w:val="20"/>
      <w:szCs w:val="20"/>
      <w:lang w:val="en-US" w:eastAsia="en-US"/>
    </w:rPr>
  </w:style>
  <w:style w:type="character" w:customStyle="1" w:styleId="FootnoteTextChar">
    <w:name w:val="Footnote Text Char"/>
    <w:basedOn w:val="DefaultParagraphFont"/>
    <w:link w:val="FootnoteText"/>
    <w:uiPriority w:val="99"/>
    <w:rsid w:val="0069230D"/>
    <w:rPr>
      <w:rFonts w:ascii="Calibri" w:eastAsia="Calibri" w:hAnsi="Calibri" w:cs="Calibri"/>
      <w:sz w:val="20"/>
      <w:szCs w:val="20"/>
      <w:lang w:val="en-US" w:eastAsia="en-US"/>
    </w:rPr>
  </w:style>
  <w:style w:type="paragraph" w:customStyle="1" w:styleId="Default">
    <w:name w:val="Default"/>
    <w:rsid w:val="0069230D"/>
    <w:pPr>
      <w:autoSpaceDE w:val="0"/>
      <w:autoSpaceDN w:val="0"/>
      <w:adjustRightInd w:val="0"/>
      <w:spacing w:after="0" w:line="240" w:lineRule="auto"/>
    </w:pPr>
    <w:rPr>
      <w:rFonts w:ascii="Calibri" w:eastAsiaTheme="minorHAnsi" w:hAnsi="Calibri" w:cs="Calibri"/>
      <w:color w:val="000000"/>
      <w:sz w:val="24"/>
      <w:szCs w:val="24"/>
      <w:lang w:val="en-US" w:eastAsia="en-US"/>
    </w:rPr>
  </w:style>
  <w:style w:type="paragraph" w:styleId="NormalWeb">
    <w:name w:val="Normal (Web)"/>
    <w:basedOn w:val="Normal"/>
    <w:uiPriority w:val="99"/>
    <w:unhideWhenUsed/>
    <w:rsid w:val="0069230D"/>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nstats.un.org/unsd/publication/SeriesF/SeriesF_89e.pdf" TargetMode="External"/><Relationship Id="rId18" Type="http://schemas.openxmlformats.org/officeDocument/2006/relationships/hyperlink" Target="https://www.coe.int/t/dghl/cooperation/cepej/evaluation/archives_en.asp" TargetMode="External"/><Relationship Id="rId26" Type="http://schemas.openxmlformats.org/officeDocument/2006/relationships/hyperlink" Target="https://data.worldbank.org/indicator/SM.POP.TOTL" TargetMode="External"/><Relationship Id="rId39" Type="http://schemas.openxmlformats.org/officeDocument/2006/relationships/hyperlink" Target="https://openknowledge.worldbank.org/handle/10986/28337" TargetMode="External"/><Relationship Id="rId21" Type="http://schemas.openxmlformats.org/officeDocument/2006/relationships/hyperlink" Target="https://www.un.org/development/desa/publications/world-population-prospects-the-2017-revision.html" TargetMode="External"/><Relationship Id="rId34" Type="http://schemas.openxmlformats.org/officeDocument/2006/relationships/hyperlink" Target="https://www.idlo.int/sites/default/files/pdfs/publications/IDLO%20-%20Women%20Delivering%20Justice%20-%202018.pdf" TargetMode="External"/><Relationship Id="rId42" Type="http://schemas.openxmlformats.org/officeDocument/2006/relationships/hyperlink" Target="https://www.njb.nl/Uploads/2015/6/Rapport-ENCJ-5-juni-2015-1.pdf" TargetMode="External"/><Relationship Id="rId47" Type="http://schemas.openxmlformats.org/officeDocument/2006/relationships/hyperlink" Target="https://idatd.cepal.org/Normativas/CARICOM/Ingles/The_Caribbean_Court_of_Justice_Rules-Appellate_Jurisdiction.pdf" TargetMode="External"/><Relationship Id="rId50" Type="http://schemas.openxmlformats.org/officeDocument/2006/relationships/hyperlink" Target="http://www.justice.gov.za/about/sa-courts.html" TargetMode="External"/><Relationship Id="rId55" Type="http://schemas.openxmlformats.org/officeDocument/2006/relationships/hyperlink" Target="http://www.judiciary.go.ug/files/publications/TheJudiciaryInsiderMagazine_21X26.5cm.pdf" TargetMode="External"/><Relationship Id="rId63"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unodc.org/unodc/en/data-and-analysis/statistics/crime/cts-data-collection.html" TargetMode="External"/><Relationship Id="rId20" Type="http://schemas.openxmlformats.org/officeDocument/2006/relationships/hyperlink" Target="http://www.undp.org/content/undp/en/home/librarypage/democratic-governance/access_to_justiceandruleoflaw/global-study-on-legal-aid.html" TargetMode="External"/><Relationship Id="rId29" Type="http://schemas.openxmlformats.org/officeDocument/2006/relationships/hyperlink" Target="https://worldjusticeproject.org/our-work/wjp-rule-law-index/special-reports/global-insights-access-justice" TargetMode="External"/><Relationship Id="rId41" Type="http://schemas.openxmlformats.org/officeDocument/2006/relationships/hyperlink" Target="https://www.rechtspraak.nl/SiteCollectionDocuments/Ethnic-representation-in-the-judiciary.pdf" TargetMode="External"/><Relationship Id="rId54" Type="http://schemas.openxmlformats.org/officeDocument/2006/relationships/hyperlink" Target="https://www.judicialappointments.gov.uk/sites/default/files/sync/news/accelerating_change_finalrev_0.pdf"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washingtongroup-disability.com/washington-group-question-sets/short-set-of-disability-questions/" TargetMode="External"/><Relationship Id="rId24" Type="http://schemas.openxmlformats.org/officeDocument/2006/relationships/hyperlink" Target="https://unstats.un.org/unsd/demographic-social/products/dyb/" TargetMode="External"/><Relationship Id="rId32" Type="http://schemas.openxmlformats.org/officeDocument/2006/relationships/hyperlink" Target="https://www.icj.org/wp-content/uploads/2014/10/Universal-Women-and-Judiciary-Gva-For-1-Publications-Conference-Report-2014-ENG.pdf" TargetMode="External"/><Relationship Id="rId37" Type="http://schemas.openxmlformats.org/officeDocument/2006/relationships/hyperlink" Target="http://www.undp.org/content/dam/undp/library/Democratic%20Governance/Human%20Rights/UNDP-_Disability_Inclusive_Development__accessible.pdf" TargetMode="External"/><Relationship Id="rId40" Type="http://schemas.openxmlformats.org/officeDocument/2006/relationships/hyperlink" Target="https://www.fjc.gov/node/7491" TargetMode="External"/><Relationship Id="rId45" Type="http://schemas.openxmlformats.org/officeDocument/2006/relationships/hyperlink" Target="http://www.rechtspfleger-mv.de/media/ReportBiHen.pdf" TargetMode="External"/><Relationship Id="rId53" Type="http://schemas.openxmlformats.org/officeDocument/2006/relationships/hyperlink" Target="http://www.wipo.int/edocs/lexdocs/laws/en/ug/ug022en.pdf" TargetMode="External"/><Relationship Id="rId58" Type="http://schemas.openxmlformats.org/officeDocument/2006/relationships/hyperlink" Target="http://repository.un.org/bitstream/handle/11176/387368/%20STM%20UN%20Police%20and%20Different%20Legal%20Systems.pdf?sequence=3&amp;isAllowed=y" TargetMode="External"/><Relationship Id="rId5" Type="http://schemas.openxmlformats.org/officeDocument/2006/relationships/numbering" Target="numbering.xml"/><Relationship Id="rId15" Type="http://schemas.openxmlformats.org/officeDocument/2006/relationships/hyperlink" Target="https://eur03.safelinks.protection.outlook.com/?url=https%3A%2F%2Fsdg16reporting.undp.org%2Flogin&amp;data=02%7C01%7Cmariana.neves%40undp.org%7C307a2d2600d64d5872e908d812bea69e%7Cb3e5db5e2944483799f57488ace54319%7C0%7C0%7C637279957333850920&amp;sdata=AI9rb2m1dE62v7zxpoPS6Kgk6m1Nvs3bspt4M4wATWw%3D&amp;reserved=0" TargetMode="External"/><Relationship Id="rId23" Type="http://schemas.openxmlformats.org/officeDocument/2006/relationships/hyperlink" Target="http://www.washingtongroup-disability.com/wp-content/uploads/2018/11/Disagregation-Data-Report_F4.pdf" TargetMode="External"/><Relationship Id="rId28" Type="http://schemas.openxmlformats.org/officeDocument/2006/relationships/hyperlink" Target="http://www.undp.org/content/undp/en/home/librarypage/democratic-governance/access_to_justiceandruleoflaw/rule-of-law-annual-report-2016.html" TargetMode="External"/><Relationship Id="rId36" Type="http://schemas.openxmlformats.org/officeDocument/2006/relationships/hyperlink" Target="https://www.ohchr.org/Documents/HRBodies/CRPD/Draft_GC7.docx" TargetMode="External"/><Relationship Id="rId49" Type="http://schemas.openxmlformats.org/officeDocument/2006/relationships/hyperlink" Target="https://supremecourtofindia.nic.in/sites/default/files/Supreme%20Court%20Rules%2C%202013.pdf" TargetMode="External"/><Relationship Id="rId57" Type="http://schemas.openxmlformats.org/officeDocument/2006/relationships/hyperlink" Target="https://www.unodc.org/documents/justice-and-prison-reform/14-07304_ebook.pdf" TargetMode="External"/><Relationship Id="rId61"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unstats.un.org/unsd/publication/SeriesF/SeriesF_89E.pdf" TargetMode="External"/><Relationship Id="rId31" Type="http://schemas.openxmlformats.org/officeDocument/2006/relationships/hyperlink" Target="http://www.unwomen.org/-/media/headquarters/attachments/sections/library/publications/2018/wa2j-module1-en.pdf?la=en&amp;vs=2655" TargetMode="External"/><Relationship Id="rId44" Type="http://schemas.openxmlformats.org/officeDocument/2006/relationships/hyperlink" Target="https://timesofindia.indiatimes.com/india/women-account-for-less-than-28-of-total-judges-in-country/articleshow/61329003.cms" TargetMode="External"/><Relationship Id="rId52" Type="http://schemas.openxmlformats.org/officeDocument/2006/relationships/hyperlink" Target="http://www.jtighana.org/downloads/publications/CourtRegistrarsHandbook.pdf" TargetMode="External"/><Relationship Id="rId60" Type="http://schemas.openxmlformats.org/officeDocument/2006/relationships/hyperlink" Target="https://www.britannica.com/topic/judiciar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nstats.un.org/unsd/demographic-social/Standards-and-Methods/files/Handbooks/gender/Integrating-a-Gender-Perspective-into-Statistics-E.pdf" TargetMode="External"/><Relationship Id="rId22" Type="http://schemas.openxmlformats.org/officeDocument/2006/relationships/hyperlink" Target="https://unstats.un.org/unsd/demographic-social/sconcerns/disability/statistics/" TargetMode="External"/><Relationship Id="rId27" Type="http://schemas.openxmlformats.org/officeDocument/2006/relationships/hyperlink" Target="http://www.undp.org/content/undp/en/home/librarypage/democratic-governance/access_to_justiceandruleoflaw/rule-of-law-annual-report-2017.html" TargetMode="External"/><Relationship Id="rId30" Type="http://schemas.openxmlformats.org/officeDocument/2006/relationships/hyperlink" Target="http://www.unwomen.org/-/media/headquarters/attachments/sections/library/publications/2011/progressoftheworldswomen-2011-en.pdf?la=en&amp;vs=2835" TargetMode="External"/><Relationship Id="rId35" Type="http://schemas.openxmlformats.org/officeDocument/2006/relationships/hyperlink" Target="https://www.un.org/sg/en/content/sg/statement/2017-09-21/secretary-generals-remarks-youth-peace-and-security-delivered" TargetMode="External"/><Relationship Id="rId43" Type="http://schemas.openxmlformats.org/officeDocument/2006/relationships/hyperlink" Target="https://www.msf.gov.sg/research-and-data/Research-and-Statistics/Pages/Decision-Making-Positions-Judges-Judicial-Officers-Supreme-Court.aspx" TargetMode="External"/><Relationship Id="rId48" Type="http://schemas.openxmlformats.org/officeDocument/2006/relationships/hyperlink" Target="https://sso.agc.gov.sg/SL/SCJA1969-R5?DocDate=20180329" TargetMode="External"/><Relationship Id="rId56" Type="http://schemas.openxmlformats.org/officeDocument/2006/relationships/hyperlink" Target="http://www.ohchr.org/EN/ProfessionalInterest/Pages/RoleOfProsecutors.aspx" TargetMode="External"/><Relationship Id="rId8" Type="http://schemas.openxmlformats.org/officeDocument/2006/relationships/webSettings" Target="webSettings.xml"/><Relationship Id="rId51" Type="http://schemas.openxmlformats.org/officeDocument/2006/relationships/hyperlink" Target="http://www.kenyalaw.org/lex/actview.xql?actid=No.%2027%20of%202015" TargetMode="External"/><Relationship Id="rId3" Type="http://schemas.openxmlformats.org/officeDocument/2006/relationships/customXml" Target="../customXml/item3.xml"/><Relationship Id="rId12" Type="http://schemas.openxmlformats.org/officeDocument/2006/relationships/hyperlink" Target="http://www.washingtongroup-disability.com/washington-group-question-sets/short-set-of-disability-questions/" TargetMode="External"/><Relationship Id="rId17" Type="http://schemas.openxmlformats.org/officeDocument/2006/relationships/hyperlink" Target="http://wbl.worldbank.org" TargetMode="External"/><Relationship Id="rId25" Type="http://schemas.openxmlformats.org/officeDocument/2006/relationships/hyperlink" Target="http://www.un.org/en/development/desa/population/migration/data/estimates2/estimates17.shtml" TargetMode="External"/><Relationship Id="rId33" Type="http://schemas.openxmlformats.org/officeDocument/2006/relationships/hyperlink" Target="https://www.oecd.org/mena/governance/women-in-public-life-mena-brochure.pdf" TargetMode="External"/><Relationship Id="rId38" Type="http://schemas.openxmlformats.org/officeDocument/2006/relationships/hyperlink" Target="https://www.ohchr.org/Documents/Issues/HRIndicators/GuidanceNoteonApproachtoData.pdf" TargetMode="External"/><Relationship Id="rId46" Type="http://schemas.openxmlformats.org/officeDocument/2006/relationships/hyperlink" Target="http://en.african-court.org/images/Protocol-Host%20Agrtmt/Final_Rules_of_Court_for_Publication_after_Harmonization_-_Final__English_7_sept_1_.pdf" TargetMode="External"/><Relationship Id="rId59" Type="http://schemas.openxmlformats.org/officeDocument/2006/relationships/hyperlink" Target="http://siteresources.worldbank.org/FINANCIALSECTOR/Resources/282044-1307652042357/VP329-Setting-out-of-court.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unodc.org/unodc/en/data-and-analysis/United-Nations-Surveys-on-Crime-Trends-and-the-Operations-of-Criminal-Justice-Systems.html" TargetMode="External"/><Relationship Id="rId2" Type="http://schemas.openxmlformats.org/officeDocument/2006/relationships/hyperlink" Target="https://unstats.un.org/sdgs/files/meetings/iaeg-sdgs-meeting-06/2017-10-04_CCSA%20Guiding%20Principles%20data%20flows.pdf" TargetMode="External"/><Relationship Id="rId1" Type="http://schemas.openxmlformats.org/officeDocument/2006/relationships/hyperlink" Target="https://www.idlo.int/publications/women-delivering-justice-contributions-barriers-pathways" TargetMode="External"/><Relationship Id="rId5" Type="http://schemas.openxmlformats.org/officeDocument/2006/relationships/hyperlink" Target="https://www.coe.int/en/web/cepej/cepej-work/evaluation-of-judicial-systems" TargetMode="External"/><Relationship Id="rId4" Type="http://schemas.openxmlformats.org/officeDocument/2006/relationships/hyperlink" Target="https://wbl.worldban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6597A22-7BCB-4E17-AD05-698BA4F6D47D}">
  <ds:schemaRefs>
    <ds:schemaRef ds:uri="http://purl.org/dc/elements/1.1/"/>
    <ds:schemaRef ds:uri="http://schemas.microsoft.com/office/2006/metadata/properties"/>
    <ds:schemaRef ds:uri="http://schemas.microsoft.com/office/2006/documentManagement/types"/>
    <ds:schemaRef ds:uri="http://purl.org/dc/terms/"/>
    <ds:schemaRef ds:uri="http://schemas.microsoft.com/office/infopath/2007/PartnerControls"/>
    <ds:schemaRef ds:uri="http://purl.org/dc/dcmitype/"/>
    <ds:schemaRef ds:uri="http://schemas.openxmlformats.org/package/2006/metadata/core-properties"/>
    <ds:schemaRef ds:uri="f2d2d782-0088-4826-96df-71eba56e6d2e"/>
    <ds:schemaRef ds:uri="d114b01d-ae01-4749-b845-9d88e7ef5c0e"/>
    <ds:schemaRef ds:uri="http://www.w3.org/XML/1998/namespace"/>
  </ds:schemaRefs>
</ds:datastoreItem>
</file>

<file path=customXml/itemProps3.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3030CB-B37C-478E-9017-AAD853B4E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7666</Words>
  <Characters>43699</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51263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2</cp:revision>
  <cp:lastPrinted>2016-07-16T14:25:00Z</cp:lastPrinted>
  <dcterms:created xsi:type="dcterms:W3CDTF">2021-07-05T07:03:00Z</dcterms:created>
  <dcterms:modified xsi:type="dcterms:W3CDTF">2021-07-05T07:03:00Z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