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E901" w14:textId="77777777" w:rsidR="00F6388D" w:rsidRPr="00C61867" w:rsidRDefault="00F6388D" w:rsidP="00C61867">
      <w:pPr>
        <w:shd w:val="clear" w:color="auto" w:fill="F5F5F5"/>
        <w:spacing w:after="0"/>
        <w:outlineLvl w:val="4"/>
        <w:rPr>
          <w:rFonts w:eastAsia="Times New Roman" w:cs="Times New Roman"/>
          <w:color w:val="333333"/>
          <w:lang w:eastAsia="en-GB"/>
        </w:rPr>
      </w:pPr>
      <w:r w:rsidRPr="00C61867">
        <w:rPr>
          <w:rFonts w:eastAsia="Times New Roman" w:cs="Times New Roman"/>
          <w:color w:val="333333"/>
          <w:lang w:eastAsia="en-GB"/>
        </w:rPr>
        <w:t>Goal 17: Strengthen the means of implementation and revitalize the Global Partnership for Sustainable Development</w:t>
      </w:r>
    </w:p>
    <w:p w14:paraId="73A6E902" w14:textId="77777777" w:rsidR="00F6388D" w:rsidRPr="00AB71FF" w:rsidRDefault="00F6388D" w:rsidP="00AB71FF">
      <w:pPr>
        <w:shd w:val="clear" w:color="auto" w:fill="F5F5F5"/>
        <w:spacing w:after="0"/>
        <w:outlineLvl w:val="4"/>
        <w:rPr>
          <w:rFonts w:eastAsia="Times New Roman" w:cs="Times New Roman"/>
          <w:color w:val="333333"/>
          <w:sz w:val="21"/>
          <w:szCs w:val="21"/>
          <w:lang w:eastAsia="en-GB"/>
        </w:rPr>
      </w:pPr>
      <w:r w:rsidRPr="00AB71FF">
        <w:rPr>
          <w:rFonts w:eastAsia="Times New Roman" w:cs="Times New Roman"/>
          <w:color w:val="333333"/>
          <w:sz w:val="21"/>
          <w:szCs w:val="21"/>
          <w:lang w:eastAsia="en-GB"/>
        </w:rPr>
        <w:t>Target 17.10: Promote a universal, rules-based, open, non-discriminatory and equitable multilateral trading system under the World Trade Organization, including through the conclusion of negotiations under its Doha Development Agenda</w:t>
      </w:r>
    </w:p>
    <w:p w14:paraId="73A6E904" w14:textId="775EB869" w:rsidR="00F6388D" w:rsidRPr="00AB71FF" w:rsidRDefault="00F6388D" w:rsidP="001C4866">
      <w:pPr>
        <w:shd w:val="clear" w:color="auto" w:fill="F5F5F5"/>
        <w:spacing w:after="0"/>
        <w:outlineLvl w:val="1"/>
        <w:rPr>
          <w:rFonts w:eastAsia="Times New Roman" w:cs="Times New Roman"/>
          <w:color w:val="1C75BC"/>
          <w:lang w:eastAsia="en-GB"/>
        </w:rPr>
      </w:pPr>
      <w:r w:rsidRPr="00AB71FF">
        <w:rPr>
          <w:rFonts w:eastAsia="Times New Roman" w:cs="Times New Roman"/>
          <w:color w:val="1C75BC"/>
          <w:lang w:eastAsia="en-GB"/>
        </w:rPr>
        <w:t>Indicator 17.10.1:</w:t>
      </w:r>
      <w:r w:rsidR="00AB71FF">
        <w:rPr>
          <w:rFonts w:eastAsia="Times New Roman" w:cs="Times New Roman"/>
          <w:color w:val="1C75BC"/>
          <w:lang w:eastAsia="en-GB"/>
        </w:rPr>
        <w:t xml:space="preserve"> </w:t>
      </w:r>
      <w:r w:rsidRPr="00AB71FF">
        <w:rPr>
          <w:rFonts w:eastAsia="Times New Roman" w:cs="Times New Roman"/>
          <w:color w:val="1C75BC"/>
          <w:lang w:eastAsia="en-GB"/>
        </w:rPr>
        <w:t>Worldwide weighted tariff-average</w:t>
      </w:r>
    </w:p>
    <w:p w14:paraId="26B49726" w14:textId="77777777" w:rsidR="001C4866" w:rsidRPr="001C4866" w:rsidRDefault="001C4866" w:rsidP="00AB71FF">
      <w:pPr>
        <w:pBdr>
          <w:bottom w:val="single" w:sz="12" w:space="4" w:color="DDDDDD"/>
        </w:pBdr>
        <w:shd w:val="clear" w:color="auto" w:fill="FFFFFF"/>
        <w:spacing w:after="0"/>
        <w:outlineLvl w:val="2"/>
        <w:rPr>
          <w:rFonts w:eastAsia="Times New Roman" w:cs="Times New Roman"/>
          <w:color w:val="1C75BC"/>
          <w:sz w:val="14"/>
          <w:szCs w:val="14"/>
          <w:lang w:eastAsia="en-GB"/>
        </w:rPr>
      </w:pPr>
    </w:p>
    <w:p w14:paraId="73A6E905" w14:textId="07D58DFB"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Institutional information</w:t>
      </w:r>
    </w:p>
    <w:p w14:paraId="73A6E906" w14:textId="77777777" w:rsidR="00F6388D" w:rsidRPr="00AB71FF" w:rsidRDefault="00F6388D" w:rsidP="00AB71FF">
      <w:pPr>
        <w:shd w:val="clear" w:color="auto" w:fill="FFFFFF"/>
        <w:spacing w:after="0"/>
        <w:rPr>
          <w:rFonts w:eastAsia="Times New Roman" w:cs="Times New Roman"/>
          <w:b/>
          <w:bCs/>
          <w:color w:val="4A4A4A"/>
          <w:sz w:val="21"/>
          <w:szCs w:val="21"/>
          <w:lang w:eastAsia="en-GB"/>
        </w:rPr>
      </w:pPr>
    </w:p>
    <w:p w14:paraId="73A6E907"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Organization(s):</w:t>
      </w:r>
    </w:p>
    <w:p w14:paraId="73A6E908"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09"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International Trade Centre (ITC)</w:t>
      </w:r>
    </w:p>
    <w:p w14:paraId="73A6E90A" w14:textId="77777777" w:rsidR="00F6388D" w:rsidRPr="00AB71FF" w:rsidRDefault="00F6388D" w:rsidP="00AB71FF">
      <w:pPr>
        <w:shd w:val="clear" w:color="auto" w:fill="FFFFFF"/>
        <w:spacing w:after="0"/>
        <w:rPr>
          <w:rFonts w:eastAsia="Times New Roman" w:cs="Times New Roman"/>
          <w:color w:val="4A4A4A"/>
          <w:sz w:val="21"/>
          <w:szCs w:val="21"/>
          <w:lang w:eastAsia="en-GB"/>
        </w:rPr>
      </w:pPr>
      <w:bookmarkStart w:id="0" w:name="_GoBack"/>
      <w:bookmarkEnd w:id="0"/>
    </w:p>
    <w:p w14:paraId="73A6E90B"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United Nations Conference on Trade and Development (UNCTAD)</w:t>
      </w:r>
    </w:p>
    <w:p w14:paraId="73A6E90C"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0D"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The World Trade Organization (WTO)</w:t>
      </w:r>
    </w:p>
    <w:p w14:paraId="73A6E90E"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0F"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Concepts and definitions</w:t>
      </w:r>
    </w:p>
    <w:p w14:paraId="73A6E910" w14:textId="77777777" w:rsidR="00F6388D" w:rsidRPr="00AB71FF" w:rsidRDefault="00F6388D" w:rsidP="00AB71FF">
      <w:pPr>
        <w:shd w:val="clear" w:color="auto" w:fill="FFFFFF"/>
        <w:spacing w:after="0"/>
        <w:rPr>
          <w:rFonts w:eastAsia="Times New Roman" w:cs="Times New Roman"/>
          <w:b/>
          <w:bCs/>
          <w:color w:val="4A4A4A"/>
          <w:sz w:val="21"/>
          <w:szCs w:val="21"/>
          <w:lang w:eastAsia="en-GB"/>
        </w:rPr>
      </w:pPr>
    </w:p>
    <w:p w14:paraId="73A6E911"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Definition:</w:t>
      </w:r>
    </w:p>
    <w:p w14:paraId="73A6E912"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3"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Value in percentage of weighted average tariffs applied to the imports of goods in HS chapter 01-97.</w:t>
      </w:r>
    </w:p>
    <w:p w14:paraId="73A6E914"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5"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Rationale:</w:t>
      </w:r>
    </w:p>
    <w:p w14:paraId="73A6E916"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7"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The average level of customs tariff rates applied worldwide can be used as an indicator of the degree of success achieved by multilateral negotiations and regional trade agreements.</w:t>
      </w:r>
    </w:p>
    <w:p w14:paraId="73A6E918"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9"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Concepts:</w:t>
      </w:r>
    </w:p>
    <w:p w14:paraId="73A6E91A"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B"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Weighted average: In order to aggregate tariff value for country groups it is recommended to make use of a weighting methodology based on the value of goods imported.</w:t>
      </w:r>
    </w:p>
    <w:p w14:paraId="73A6E91C"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D"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w:t>
      </w:r>
    </w:p>
    <w:p w14:paraId="73A6E91E"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1F"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Comments and limitations:</w:t>
      </w:r>
    </w:p>
    <w:p w14:paraId="73A6E920"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21"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Tariffs are only part of the factors that can explain the degree of openness and transparency in the international trade arena. However, accurate estimates on non-tariff measures or of transparency indicator do not exist.</w:t>
      </w:r>
    </w:p>
    <w:p w14:paraId="73A6E922"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23"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lastRenderedPageBreak/>
        <w:t>To further refine the quality of the information, additional sub-measurements could be calculated including: a) Tariff peaks (i.e. % of tariffs on some products that are considerably higher than usual, defined as above 15 per cent) and b) Tariff escalation (i.e. wherein a country applies a higher tariff rate to products at the later stages of production). These calculations were already provided by ITC as part of the MDG Gap Task Force Report. See the report for further information on the methodology at http://www.un.org/en/development/desa/policy/mdg_gap/mdg_gap2014/2014GAP_FULL_EN.pdf</w:t>
      </w:r>
    </w:p>
    <w:p w14:paraId="73A6E924"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25" w14:textId="77777777" w:rsidR="00F6388D" w:rsidRPr="00AB71FF" w:rsidRDefault="00F6388D" w:rsidP="00AB71FF">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Methodology</w:t>
      </w:r>
    </w:p>
    <w:p w14:paraId="73A6E926" w14:textId="77777777" w:rsidR="00F6388D" w:rsidRPr="00AB71FF" w:rsidRDefault="00F6388D" w:rsidP="00AB71FF">
      <w:pPr>
        <w:keepNext/>
        <w:keepLines/>
        <w:shd w:val="clear" w:color="auto" w:fill="FFFFFF"/>
        <w:spacing w:after="0"/>
        <w:rPr>
          <w:rFonts w:eastAsia="Times New Roman" w:cs="Times New Roman"/>
          <w:b/>
          <w:bCs/>
          <w:color w:val="4A4A4A"/>
          <w:sz w:val="21"/>
          <w:szCs w:val="21"/>
          <w:lang w:eastAsia="en-GB"/>
        </w:rPr>
      </w:pPr>
    </w:p>
    <w:p w14:paraId="73A6E927"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Computation Method:</w:t>
      </w:r>
    </w:p>
    <w:p w14:paraId="73A6E928"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p>
    <w:p w14:paraId="73A6E929"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proofErr w:type="gramStart"/>
      <w:r w:rsidRPr="00AB71FF">
        <w:rPr>
          <w:rFonts w:eastAsia="Times New Roman" w:cs="Times New Roman"/>
          <w:color w:val="4A4A4A"/>
          <w:sz w:val="21"/>
          <w:szCs w:val="21"/>
          <w:lang w:eastAsia="en-GB"/>
        </w:rPr>
        <w:t>In order to</w:t>
      </w:r>
      <w:proofErr w:type="gramEnd"/>
      <w:r w:rsidRPr="00AB71FF">
        <w:rPr>
          <w:rFonts w:eastAsia="Times New Roman" w:cs="Times New Roman"/>
          <w:color w:val="4A4A4A"/>
          <w:sz w:val="21"/>
          <w:szCs w:val="21"/>
          <w:lang w:eastAsia="en-GB"/>
        </w:rPr>
        <w:t xml:space="preserve"> include all tariffs into the calculation, some rates which are not expressed in ad valorem form (e.g., specific duties) are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r>
    </w:p>
    <w:p w14:paraId="73A6E92A"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2B"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Disaggregation:</w:t>
      </w:r>
    </w:p>
    <w:p w14:paraId="73A6E92C"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2D"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Disaggregation is available by product sector (e.g. Agriculture, Textile, Environmental goods), geographical regions and country income level (e.g. Developed, Developing, LDCs)</w:t>
      </w:r>
    </w:p>
    <w:p w14:paraId="73A6E92E"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2F"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Treatment of missing values:</w:t>
      </w:r>
    </w:p>
    <w:p w14:paraId="73A6E930"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31" w14:textId="77777777" w:rsidR="00F6388D" w:rsidRPr="00AB71FF" w:rsidRDefault="00F6388D" w:rsidP="00AB71F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AB71FF">
        <w:rPr>
          <w:rFonts w:eastAsia="Times New Roman" w:cs="Times New Roman"/>
          <w:color w:val="1C75BC"/>
          <w:sz w:val="21"/>
          <w:szCs w:val="21"/>
          <w:lang w:eastAsia="en-GB"/>
        </w:rPr>
        <w:t>At country level</w:t>
      </w:r>
    </w:p>
    <w:p w14:paraId="73A6E932" w14:textId="77777777" w:rsidR="00F6388D" w:rsidRPr="00AB71FF" w:rsidRDefault="00F6388D" w:rsidP="00AB71FF">
      <w:pPr>
        <w:shd w:val="clear" w:color="auto" w:fill="FFFFFF"/>
        <w:spacing w:after="0"/>
        <w:ind w:left="495"/>
        <w:rPr>
          <w:rFonts w:eastAsia="Times New Roman" w:cs="Times New Roman"/>
          <w:color w:val="4A4A4A"/>
          <w:sz w:val="21"/>
          <w:szCs w:val="21"/>
          <w:lang w:eastAsia="en-GB"/>
        </w:rPr>
      </w:pPr>
    </w:p>
    <w:p w14:paraId="73A6E933" w14:textId="77777777" w:rsidR="00F6388D" w:rsidRPr="00AB71FF" w:rsidRDefault="00F6388D" w:rsidP="00AB71FF">
      <w:pPr>
        <w:shd w:val="clear" w:color="auto" w:fill="FFFFFF"/>
        <w:spacing w:after="0"/>
        <w:ind w:left="495"/>
        <w:rPr>
          <w:rFonts w:eastAsia="Times New Roman" w:cs="Times New Roman"/>
          <w:color w:val="4A4A4A"/>
          <w:sz w:val="21"/>
          <w:szCs w:val="21"/>
          <w:lang w:eastAsia="en-GB"/>
        </w:rPr>
      </w:pPr>
      <w:r w:rsidRPr="00AB71FF">
        <w:rPr>
          <w:rFonts w:eastAsia="Times New Roman" w:cs="Times New Roman"/>
          <w:color w:val="4A4A4A"/>
          <w:sz w:val="21"/>
          <w:szCs w:val="21"/>
          <w:lang w:eastAsia="en-GB"/>
        </w:rPr>
        <w:t>Missing values are calculated using the most recent year available.</w:t>
      </w:r>
    </w:p>
    <w:p w14:paraId="73A6E934" w14:textId="77777777" w:rsidR="00F6388D" w:rsidRPr="00AB71FF" w:rsidRDefault="00F6388D" w:rsidP="00AB71FF">
      <w:pPr>
        <w:shd w:val="clear" w:color="auto" w:fill="FFFFFF"/>
        <w:spacing w:after="0"/>
        <w:ind w:left="495"/>
        <w:rPr>
          <w:rFonts w:eastAsia="Times New Roman" w:cs="Times New Roman"/>
          <w:color w:val="4A4A4A"/>
          <w:sz w:val="21"/>
          <w:szCs w:val="21"/>
          <w:lang w:eastAsia="en-GB"/>
        </w:rPr>
      </w:pPr>
    </w:p>
    <w:p w14:paraId="73A6E935" w14:textId="77777777" w:rsidR="00F6388D" w:rsidRPr="00AB71FF" w:rsidRDefault="00F6388D" w:rsidP="00AB71F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AB71FF">
        <w:rPr>
          <w:rFonts w:eastAsia="Times New Roman" w:cs="Times New Roman"/>
          <w:color w:val="1C75BC"/>
          <w:sz w:val="21"/>
          <w:szCs w:val="21"/>
          <w:lang w:eastAsia="en-GB"/>
        </w:rPr>
        <w:t>At regional and global levels</w:t>
      </w:r>
    </w:p>
    <w:p w14:paraId="73A6E936" w14:textId="77777777" w:rsidR="00F6388D" w:rsidRPr="00AB71FF" w:rsidRDefault="00F6388D" w:rsidP="00AB71FF">
      <w:pPr>
        <w:shd w:val="clear" w:color="auto" w:fill="FFFFFF"/>
        <w:spacing w:after="0"/>
        <w:ind w:left="495"/>
        <w:rPr>
          <w:rFonts w:eastAsia="Times New Roman" w:cs="Times New Roman"/>
          <w:color w:val="4A4A4A"/>
          <w:sz w:val="21"/>
          <w:szCs w:val="21"/>
          <w:lang w:eastAsia="en-GB"/>
        </w:rPr>
      </w:pPr>
    </w:p>
    <w:p w14:paraId="73A6E937" w14:textId="77777777" w:rsidR="00F6388D" w:rsidRPr="00AB71FF" w:rsidRDefault="00F6388D" w:rsidP="00AB71FF">
      <w:pPr>
        <w:shd w:val="clear" w:color="auto" w:fill="FFFFFF"/>
        <w:spacing w:after="0"/>
        <w:ind w:left="495"/>
        <w:rPr>
          <w:rFonts w:eastAsia="Times New Roman" w:cs="Times New Roman"/>
          <w:color w:val="4A4A4A"/>
          <w:sz w:val="21"/>
          <w:szCs w:val="21"/>
          <w:lang w:eastAsia="en-GB"/>
        </w:rPr>
      </w:pPr>
      <w:r w:rsidRPr="00AB71FF">
        <w:rPr>
          <w:rFonts w:eastAsia="Times New Roman" w:cs="Times New Roman"/>
          <w:color w:val="4A4A4A"/>
          <w:sz w:val="21"/>
          <w:szCs w:val="21"/>
          <w:lang w:eastAsia="en-GB"/>
        </w:rPr>
        <w:t>Missing values are calculated using the most recent year available.</w:t>
      </w:r>
    </w:p>
    <w:p w14:paraId="73A6E938" w14:textId="77777777" w:rsidR="00F6388D" w:rsidRPr="00AB71FF" w:rsidRDefault="00F6388D" w:rsidP="00AB71FF">
      <w:pPr>
        <w:shd w:val="clear" w:color="auto" w:fill="FFFFFF"/>
        <w:spacing w:after="0"/>
        <w:ind w:left="495"/>
        <w:rPr>
          <w:rFonts w:eastAsia="Times New Roman" w:cs="Times New Roman"/>
          <w:color w:val="4A4A4A"/>
          <w:sz w:val="21"/>
          <w:szCs w:val="21"/>
          <w:lang w:eastAsia="en-GB"/>
        </w:rPr>
      </w:pPr>
    </w:p>
    <w:p w14:paraId="73A6E939"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Regional aggregates:</w:t>
      </w:r>
    </w:p>
    <w:p w14:paraId="73A6E93A"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3B"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HS 6-digit tariff averages weighted with HS 6-digit bilateral import flows for traded national tariff lines.</w:t>
      </w:r>
    </w:p>
    <w:p w14:paraId="73A6E93C"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3D"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Sources of discrepancies:</w:t>
      </w:r>
    </w:p>
    <w:p w14:paraId="73A6E93E"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3F"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Not applicable</w:t>
      </w:r>
    </w:p>
    <w:p w14:paraId="73A6E940"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41"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Data Sources</w:t>
      </w:r>
    </w:p>
    <w:p w14:paraId="73A6E942" w14:textId="77777777" w:rsidR="00F6388D" w:rsidRPr="00AB71FF" w:rsidRDefault="00F6388D" w:rsidP="00AB71FF">
      <w:pPr>
        <w:shd w:val="clear" w:color="auto" w:fill="FFFFFF"/>
        <w:spacing w:after="0"/>
        <w:rPr>
          <w:rFonts w:eastAsia="Times New Roman" w:cs="Times New Roman"/>
          <w:b/>
          <w:bCs/>
          <w:color w:val="4A4A4A"/>
          <w:sz w:val="21"/>
          <w:szCs w:val="21"/>
          <w:lang w:eastAsia="en-GB"/>
        </w:rPr>
      </w:pPr>
    </w:p>
    <w:p w14:paraId="73A6E943"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 xml:space="preserve">The main information used to calculate indicators 17.10.1 is import tariff data. Information on import tariffs might be retrieved by contacting directly National statistical offices, permanent country missions </w:t>
      </w:r>
      <w:r w:rsidRPr="00AB71FF">
        <w:rPr>
          <w:rFonts w:eastAsia="Times New Roman" w:cs="Times New Roman"/>
          <w:color w:val="4A4A4A"/>
          <w:sz w:val="21"/>
          <w:szCs w:val="21"/>
          <w:lang w:eastAsia="en-GB"/>
        </w:rPr>
        <w:lastRenderedPageBreak/>
        <w:t>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AB71FF">
        <w:rPr>
          <w:rFonts w:eastAsia="Times New Roman" w:cs="Times New Roman"/>
          <w:color w:val="4A4A4A"/>
          <w:sz w:val="21"/>
          <w:szCs w:val="21"/>
          <w:lang w:eastAsia="en-GB"/>
        </w:rPr>
        <w:t>MAcMap</w:t>
      </w:r>
      <w:proofErr w:type="spellEnd"/>
      <w:r w:rsidRPr="00AB71FF">
        <w:rPr>
          <w:rFonts w:eastAsia="Times New Roman" w:cs="Times New Roman"/>
          <w:color w:val="4A4A4A"/>
          <w:sz w:val="21"/>
          <w:szCs w:val="21"/>
          <w:lang w:eastAsia="en-GB"/>
        </w:rPr>
        <w:t>) - http://www.macmap.org/ - WTO (IDB) - http://tao.wto.org - and UNCTAD (TRAINS) databases. Import tariff data included in the ITC (</w:t>
      </w:r>
      <w:proofErr w:type="spellStart"/>
      <w:r w:rsidRPr="00AB71FF">
        <w:rPr>
          <w:rFonts w:eastAsia="Times New Roman" w:cs="Times New Roman"/>
          <w:color w:val="4A4A4A"/>
          <w:sz w:val="21"/>
          <w:szCs w:val="21"/>
          <w:lang w:eastAsia="en-GB"/>
        </w:rPr>
        <w:t>MAcMap</w:t>
      </w:r>
      <w:proofErr w:type="spellEnd"/>
      <w:r w:rsidRPr="00AB71FF">
        <w:rPr>
          <w:rFonts w:eastAsia="Times New Roman" w:cs="Times New Roman"/>
          <w:color w:val="4A4A4A"/>
          <w:sz w:val="21"/>
          <w:szCs w:val="21"/>
          <w:lang w:eastAsia="en-GB"/>
        </w:rPr>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p w14:paraId="73A6E944"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45" w14:textId="77777777" w:rsidR="00F6388D" w:rsidRPr="00AB71FF" w:rsidRDefault="00F6388D" w:rsidP="00AB71FF">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Data Availability</w:t>
      </w:r>
    </w:p>
    <w:p w14:paraId="73A6E946" w14:textId="77777777" w:rsidR="00F6388D" w:rsidRPr="00AB71FF" w:rsidRDefault="00F6388D" w:rsidP="00AB71FF">
      <w:pPr>
        <w:keepNext/>
        <w:keepLines/>
        <w:shd w:val="clear" w:color="auto" w:fill="FFFFFF"/>
        <w:spacing w:after="0"/>
        <w:rPr>
          <w:rFonts w:eastAsia="Times New Roman" w:cs="Times New Roman"/>
          <w:b/>
          <w:bCs/>
          <w:color w:val="4A4A4A"/>
          <w:sz w:val="21"/>
          <w:szCs w:val="21"/>
          <w:lang w:eastAsia="en-GB"/>
        </w:rPr>
      </w:pPr>
    </w:p>
    <w:p w14:paraId="73A6E947"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Description:</w:t>
      </w:r>
    </w:p>
    <w:p w14:paraId="73A6E948"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p>
    <w:p w14:paraId="73A6E949"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Asia and Pacific: 42</w:t>
      </w:r>
    </w:p>
    <w:p w14:paraId="73A6E94A" w14:textId="77777777" w:rsidR="00F6388D" w:rsidRPr="00AB71FF" w:rsidRDefault="00F6388D" w:rsidP="00AB71FF">
      <w:pPr>
        <w:keepNext/>
        <w:keepLines/>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Africa: 49</w:t>
      </w:r>
    </w:p>
    <w:p w14:paraId="73A6E94B"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Latin America and the Caribbean: 34</w:t>
      </w:r>
    </w:p>
    <w:p w14:paraId="73A6E94C"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Europe, North America, Australia, New Zealand and Japan: 48</w:t>
      </w:r>
    </w:p>
    <w:p w14:paraId="73A6E94D"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4E"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Time series:</w:t>
      </w:r>
    </w:p>
    <w:p w14:paraId="73A6E94F"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50"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 xml:space="preserve">Yearly data from 2005 to latest year </w:t>
      </w:r>
    </w:p>
    <w:p w14:paraId="73A6E951"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52"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Calendar</w:t>
      </w:r>
    </w:p>
    <w:p w14:paraId="73A6E953" w14:textId="77777777" w:rsidR="00F6388D" w:rsidRPr="00AB71FF" w:rsidRDefault="00F6388D" w:rsidP="00AB71FF">
      <w:pPr>
        <w:shd w:val="clear" w:color="auto" w:fill="FFFFFF"/>
        <w:spacing w:after="0"/>
        <w:rPr>
          <w:rFonts w:eastAsia="Times New Roman" w:cs="Times New Roman"/>
          <w:b/>
          <w:bCs/>
          <w:color w:val="4A4A4A"/>
          <w:sz w:val="21"/>
          <w:szCs w:val="21"/>
          <w:lang w:eastAsia="en-GB"/>
        </w:rPr>
      </w:pPr>
    </w:p>
    <w:p w14:paraId="73A6E954"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Data collection:</w:t>
      </w:r>
    </w:p>
    <w:p w14:paraId="73A6E955"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56"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 xml:space="preserve">Continuously update all year round </w:t>
      </w:r>
    </w:p>
    <w:p w14:paraId="73A6E957"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58"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Data release:</w:t>
      </w:r>
    </w:p>
    <w:p w14:paraId="73A6E959"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5A"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Indicatively the indicators calculations can be ready by March every year. However, the date of release will depend on the period envisaged for the launching of the SDG monitoring report.</w:t>
      </w:r>
    </w:p>
    <w:p w14:paraId="73A6E95B"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5C"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Data providers</w:t>
      </w:r>
    </w:p>
    <w:p w14:paraId="73A6E95D" w14:textId="77777777" w:rsidR="00F6388D" w:rsidRPr="00AB71FF" w:rsidRDefault="00F6388D" w:rsidP="00AB71FF">
      <w:pPr>
        <w:shd w:val="clear" w:color="auto" w:fill="FFFFFF"/>
        <w:spacing w:after="0"/>
        <w:rPr>
          <w:rFonts w:eastAsia="Times New Roman" w:cs="Times New Roman"/>
          <w:b/>
          <w:bCs/>
          <w:color w:val="4A4A4A"/>
          <w:sz w:val="21"/>
          <w:szCs w:val="21"/>
          <w:lang w:eastAsia="en-GB"/>
        </w:rPr>
      </w:pPr>
    </w:p>
    <w:p w14:paraId="73A6E95E"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Already answered above.</w:t>
      </w:r>
    </w:p>
    <w:p w14:paraId="73A6E95F"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0"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Data compilers</w:t>
      </w:r>
    </w:p>
    <w:p w14:paraId="73A6E961"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2"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ITC, WTO and UNCTAD will jointly report on this indicator</w:t>
      </w:r>
    </w:p>
    <w:p w14:paraId="73A6E963"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4"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lastRenderedPageBreak/>
        <w:t>References</w:t>
      </w:r>
    </w:p>
    <w:p w14:paraId="73A6E965" w14:textId="77777777" w:rsidR="00F6388D" w:rsidRPr="00AB71FF" w:rsidRDefault="00F6388D" w:rsidP="00AB71FF">
      <w:pPr>
        <w:shd w:val="clear" w:color="auto" w:fill="FFFFFF"/>
        <w:spacing w:after="0"/>
        <w:rPr>
          <w:rFonts w:eastAsia="Times New Roman" w:cs="Times New Roman"/>
          <w:b/>
          <w:bCs/>
          <w:color w:val="4A4A4A"/>
          <w:sz w:val="21"/>
          <w:szCs w:val="21"/>
          <w:lang w:eastAsia="en-GB"/>
        </w:rPr>
      </w:pPr>
    </w:p>
    <w:p w14:paraId="73A6E966"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URL:</w:t>
      </w:r>
    </w:p>
    <w:p w14:paraId="73A6E967"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8"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http://www.intracen.org / www.wto.org / http://unctad.org/en/Pages/Home.aspx</w:t>
      </w:r>
    </w:p>
    <w:p w14:paraId="73A6E969"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A"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b/>
          <w:bCs/>
          <w:color w:val="4A4A4A"/>
          <w:sz w:val="21"/>
          <w:szCs w:val="21"/>
          <w:lang w:eastAsia="en-GB"/>
        </w:rPr>
        <w:t>References:</w:t>
      </w:r>
    </w:p>
    <w:p w14:paraId="73A6E96B"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C" w14:textId="77777777" w:rsidR="00F6388D" w:rsidRPr="00AB71FF"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Not references</w:t>
      </w:r>
    </w:p>
    <w:p w14:paraId="73A6E96D" w14:textId="77777777" w:rsidR="00F6388D" w:rsidRPr="00AB71FF" w:rsidRDefault="00F6388D" w:rsidP="00AB71FF">
      <w:pPr>
        <w:shd w:val="clear" w:color="auto" w:fill="FFFFFF"/>
        <w:spacing w:after="0"/>
        <w:rPr>
          <w:rFonts w:eastAsia="Times New Roman" w:cs="Times New Roman"/>
          <w:color w:val="4A4A4A"/>
          <w:sz w:val="21"/>
          <w:szCs w:val="21"/>
          <w:lang w:eastAsia="en-GB"/>
        </w:rPr>
      </w:pPr>
    </w:p>
    <w:p w14:paraId="73A6E96E" w14:textId="77777777" w:rsidR="00F6388D" w:rsidRPr="00AB71FF" w:rsidRDefault="00F6388D" w:rsidP="00AB71F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B71FF">
        <w:rPr>
          <w:rFonts w:eastAsia="Times New Roman" w:cs="Times New Roman"/>
          <w:color w:val="1C75BC"/>
          <w:sz w:val="36"/>
          <w:szCs w:val="36"/>
          <w:lang w:eastAsia="en-GB"/>
        </w:rPr>
        <w:t>Related indicators as of February 2020</w:t>
      </w:r>
    </w:p>
    <w:p w14:paraId="73A6E96F" w14:textId="77777777" w:rsidR="00F6388D" w:rsidRPr="00AB71FF" w:rsidRDefault="00F6388D" w:rsidP="00AB71FF">
      <w:pPr>
        <w:shd w:val="clear" w:color="auto" w:fill="FFFFFF"/>
        <w:spacing w:after="0"/>
        <w:outlineLvl w:val="4"/>
        <w:rPr>
          <w:rFonts w:eastAsia="Times New Roman" w:cs="Times New Roman"/>
          <w:color w:val="1C75BC"/>
          <w:sz w:val="21"/>
          <w:szCs w:val="21"/>
          <w:lang w:eastAsia="en-GB"/>
        </w:rPr>
      </w:pPr>
    </w:p>
    <w:p w14:paraId="73A6E970" w14:textId="77777777" w:rsidR="00071F07" w:rsidRPr="00F6388D" w:rsidRDefault="00F6388D" w:rsidP="00AB71FF">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Linkages with the decrease of agricultural market distortions (target 2.b), improvements in the transfer of environmental goods and services (target 17.7) and bette</w:t>
      </w:r>
      <w:r w:rsidRPr="009D77E0">
        <w:rPr>
          <w:rFonts w:eastAsia="Times New Roman" w:cs="Times New Roman"/>
          <w:color w:val="4A4A4A"/>
          <w:sz w:val="21"/>
          <w:szCs w:val="21"/>
          <w:lang w:eastAsia="en-GB"/>
        </w:rPr>
        <w:t>r access to essential medicines (3.b).</w:t>
      </w:r>
    </w:p>
    <w:sectPr w:rsidR="00071F07" w:rsidRPr="00F6388D">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77AA" w14:textId="77777777" w:rsidR="00605634" w:rsidRDefault="00605634" w:rsidP="00605634">
      <w:pPr>
        <w:spacing w:after="0" w:line="240" w:lineRule="auto"/>
      </w:pPr>
      <w:r>
        <w:separator/>
      </w:r>
    </w:p>
  </w:endnote>
  <w:endnote w:type="continuationSeparator" w:id="0">
    <w:p w14:paraId="6A737DF3" w14:textId="77777777" w:rsidR="00605634" w:rsidRDefault="00605634" w:rsidP="0060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33B8" w14:textId="77777777" w:rsidR="00605634" w:rsidRDefault="00605634" w:rsidP="00605634">
      <w:pPr>
        <w:spacing w:after="0" w:line="240" w:lineRule="auto"/>
      </w:pPr>
      <w:r>
        <w:separator/>
      </w:r>
    </w:p>
  </w:footnote>
  <w:footnote w:type="continuationSeparator" w:id="0">
    <w:p w14:paraId="0C6233A5" w14:textId="77777777" w:rsidR="00605634" w:rsidRDefault="00605634" w:rsidP="0060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4CC90" w14:textId="77777777" w:rsidR="00605634" w:rsidRPr="00B071C0" w:rsidRDefault="00605634" w:rsidP="00605634">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p>
  <w:bookmarkEnd w:id="1"/>
  <w:p w14:paraId="5388BAB8" w14:textId="77777777" w:rsidR="00605634" w:rsidRDefault="0060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8F"/>
    <w:multiLevelType w:val="multilevel"/>
    <w:tmpl w:val="C62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88D"/>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C4866"/>
    <w:rsid w:val="001D360D"/>
    <w:rsid w:val="00261A8D"/>
    <w:rsid w:val="00283C1C"/>
    <w:rsid w:val="00291A00"/>
    <w:rsid w:val="00291A11"/>
    <w:rsid w:val="002A3342"/>
    <w:rsid w:val="002A64BA"/>
    <w:rsid w:val="002B4989"/>
    <w:rsid w:val="002D714E"/>
    <w:rsid w:val="002E53C3"/>
    <w:rsid w:val="003267D5"/>
    <w:rsid w:val="00343FAA"/>
    <w:rsid w:val="00353C98"/>
    <w:rsid w:val="003A7CEA"/>
    <w:rsid w:val="003F0BD3"/>
    <w:rsid w:val="004B0F1C"/>
    <w:rsid w:val="005040C4"/>
    <w:rsid w:val="00507637"/>
    <w:rsid w:val="00514DBF"/>
    <w:rsid w:val="00550921"/>
    <w:rsid w:val="00597748"/>
    <w:rsid w:val="005D0AF4"/>
    <w:rsid w:val="005F6CCA"/>
    <w:rsid w:val="00605634"/>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B71FF"/>
    <w:rsid w:val="00AF71D6"/>
    <w:rsid w:val="00B3175F"/>
    <w:rsid w:val="00B402D8"/>
    <w:rsid w:val="00B4237C"/>
    <w:rsid w:val="00B52AFD"/>
    <w:rsid w:val="00BB646E"/>
    <w:rsid w:val="00C43F5B"/>
    <w:rsid w:val="00C61867"/>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6388D"/>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E901"/>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88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8D"/>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605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634"/>
  </w:style>
  <w:style w:type="paragraph" w:styleId="Footer">
    <w:name w:val="footer"/>
    <w:basedOn w:val="Normal"/>
    <w:link w:val="FooterChar"/>
    <w:uiPriority w:val="99"/>
    <w:unhideWhenUsed/>
    <w:rsid w:val="00605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6</cp:revision>
  <cp:lastPrinted>2016-07-17T02:10:00Z</cp:lastPrinted>
  <dcterms:created xsi:type="dcterms:W3CDTF">2016-07-15T15:34:00Z</dcterms:created>
  <dcterms:modified xsi:type="dcterms:W3CDTF">2018-12-16T20:51:00Z</dcterms:modified>
</cp:coreProperties>
</file>