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A79EE" w14:textId="77777777" w:rsidR="007C6709" w:rsidRPr="00B9627C" w:rsidRDefault="007C6709" w:rsidP="00B9627C">
      <w:pPr>
        <w:shd w:val="clear" w:color="auto" w:fill="F5F5F5"/>
        <w:spacing w:after="0"/>
        <w:outlineLvl w:val="4"/>
        <w:rPr>
          <w:rFonts w:eastAsia="Times New Roman" w:cs="Times New Roman"/>
          <w:color w:val="333333"/>
          <w:lang w:eastAsia="en-GB"/>
        </w:rPr>
      </w:pPr>
      <w:r w:rsidRPr="00B9627C">
        <w:rPr>
          <w:rFonts w:eastAsia="Times New Roman" w:cs="Times New Roman"/>
          <w:color w:val="333333"/>
          <w:lang w:eastAsia="en-GB"/>
        </w:rPr>
        <w:t>Goal 17: Strengthen the means of implementation and revitalize the Global Partnership for Sustainable Development</w:t>
      </w:r>
    </w:p>
    <w:p w14:paraId="74EA79EF" w14:textId="77777777" w:rsidR="007C6709" w:rsidRPr="00B9627C" w:rsidRDefault="007C6709" w:rsidP="00B9627C">
      <w:pPr>
        <w:shd w:val="clear" w:color="auto" w:fill="F5F5F5"/>
        <w:spacing w:after="0"/>
        <w:outlineLvl w:val="4"/>
        <w:rPr>
          <w:rFonts w:eastAsia="Times New Roman" w:cs="Times New Roman"/>
          <w:color w:val="333333"/>
          <w:sz w:val="21"/>
          <w:szCs w:val="21"/>
          <w:lang w:eastAsia="en-GB"/>
        </w:rPr>
      </w:pPr>
      <w:r w:rsidRPr="00B9627C">
        <w:rPr>
          <w:rFonts w:eastAsia="Times New Roman" w:cs="Times New Roman"/>
          <w:color w:val="333333"/>
          <w:sz w:val="21"/>
          <w:szCs w:val="21"/>
          <w:lang w:eastAsia="en-GB"/>
        </w:rPr>
        <w:t>Target 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14:paraId="74EA79F1" w14:textId="3BAAB224" w:rsidR="007C6709" w:rsidRPr="00B9627C" w:rsidRDefault="007C6709" w:rsidP="00A939CE">
      <w:pPr>
        <w:shd w:val="clear" w:color="auto" w:fill="F5F5F5"/>
        <w:spacing w:after="0"/>
        <w:outlineLvl w:val="1"/>
        <w:rPr>
          <w:rFonts w:eastAsia="Times New Roman" w:cs="Times New Roman"/>
          <w:color w:val="1C75BC"/>
          <w:lang w:eastAsia="en-GB"/>
        </w:rPr>
      </w:pPr>
      <w:r w:rsidRPr="00B9627C">
        <w:rPr>
          <w:rFonts w:eastAsia="Times New Roman" w:cs="Times New Roman"/>
          <w:color w:val="1C75BC"/>
          <w:lang w:eastAsia="en-GB"/>
        </w:rPr>
        <w:t xml:space="preserve">Indicator 17.12.1: </w:t>
      </w:r>
      <w:r w:rsidR="007F2A93" w:rsidRPr="007F2A93">
        <w:rPr>
          <w:rFonts w:eastAsia="Times New Roman" w:cs="Times New Roman"/>
          <w:color w:val="1C75BC"/>
          <w:lang w:eastAsia="en-GB"/>
        </w:rPr>
        <w:t>Weighted average tariffs faced by developing countries, least developed countries and small island developing States</w:t>
      </w:r>
      <w:bookmarkStart w:id="0" w:name="_GoBack"/>
      <w:bookmarkEnd w:id="0"/>
    </w:p>
    <w:p w14:paraId="246578E2" w14:textId="77777777" w:rsidR="00A939CE" w:rsidRPr="00A939CE" w:rsidRDefault="00A939CE" w:rsidP="00B9627C">
      <w:pPr>
        <w:pBdr>
          <w:bottom w:val="single" w:sz="12" w:space="4" w:color="DDDDDD"/>
        </w:pBdr>
        <w:shd w:val="clear" w:color="auto" w:fill="FFFFFF"/>
        <w:spacing w:after="0"/>
        <w:outlineLvl w:val="2"/>
        <w:rPr>
          <w:rFonts w:eastAsia="Times New Roman" w:cs="Times New Roman"/>
          <w:color w:val="1C75BC"/>
          <w:sz w:val="18"/>
          <w:szCs w:val="18"/>
          <w:lang w:eastAsia="en-GB"/>
        </w:rPr>
      </w:pPr>
    </w:p>
    <w:p w14:paraId="74EA79F2" w14:textId="4B840FF8"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Institutional information</w:t>
      </w:r>
    </w:p>
    <w:p w14:paraId="74EA79F3"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9F4"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Organization(s):</w:t>
      </w:r>
    </w:p>
    <w:p w14:paraId="74EA79F5"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9F6"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International Trade Centre (ITC)</w:t>
      </w:r>
    </w:p>
    <w:p w14:paraId="74EA79F7"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9F8"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United Nations Conference on Trade and Development (UNCTAD)</w:t>
      </w:r>
    </w:p>
    <w:p w14:paraId="74EA79F9"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9FA"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The World Trade Organization (WTO)</w:t>
      </w:r>
    </w:p>
    <w:p w14:paraId="74EA79FB"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9FC"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Concepts and definitions</w:t>
      </w:r>
    </w:p>
    <w:p w14:paraId="74EA79FD"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9FE"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Definition:</w:t>
      </w:r>
    </w:p>
    <w:p w14:paraId="74EA79FF"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0"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Average import tariffs (in per cent) faced by products exported from developing countries and least developed countries.</w:t>
      </w:r>
    </w:p>
    <w:p w14:paraId="74EA7A01"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2"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Rationale:</w:t>
      </w:r>
    </w:p>
    <w:p w14:paraId="74EA7A03"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4"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The average level of customs tariff rates faced by developing countries and LDCs allows observing at which pace the multilateral system is advancing toward the implementation of duty-free and quota-free market access.</w:t>
      </w:r>
    </w:p>
    <w:p w14:paraId="74EA7A05"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6"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Concepts:</w:t>
      </w:r>
    </w:p>
    <w:p w14:paraId="74EA7A07"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8"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 Tariff in HS chapters 01-97 is taken into consideration.</w:t>
      </w:r>
    </w:p>
    <w:p w14:paraId="74EA7A09"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A"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Tariff line or National Tariff lines (NTL): National Tariff Line codes refer to the classification codes, applied to merchandise goods by individual countries that are longer than the HS six digit level. Countries are free to introduce national distinctions for tariffs and many other purposes.</w:t>
      </w:r>
    </w:p>
    <w:p w14:paraId="74EA7A0B"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C"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lastRenderedPageBreak/>
        <w:t>The national tariff line codes are based on the HS system but are longer than six digits. For example, the six digit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p w14:paraId="74EA7A0D"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0E"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Comments and limitations:</w:t>
      </w:r>
    </w:p>
    <w:p w14:paraId="74EA7A0F"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0"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"The reduction of average tariffs on key sector as agriculture can represent a proxy of the level of commitment of developed country to improve market access conditions.</w:t>
      </w:r>
    </w:p>
    <w:p w14:paraId="74EA7A11"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2"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In terms of limitations:</w:t>
      </w:r>
    </w:p>
    <w:p w14:paraId="74EA7A13"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Tariffs are only part of the trade limitation factors to the implementation of duty-free and quota-free market access, especially when looking at exports of developing or least developed countries under non-reciprocal preferential treatment that set criteria for eligibility. Accurate estimates on non-tariff measures do not exist, thus the calculations on market access are limited to tariffs only.</w:t>
      </w:r>
    </w:p>
    <w:p w14:paraId="74EA7A14"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5"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A full coverage of preferential schemes of developed countries has been used for the computation, but preferential treatment may not be fully used by developing countries' exporters for different reasons such as the inability of certain exporters to meet eligibility criteria (i.e., complying with rules of origin)."</w:t>
      </w:r>
    </w:p>
    <w:p w14:paraId="74EA7A16"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7"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Methodology</w:t>
      </w:r>
    </w:p>
    <w:p w14:paraId="74EA7A18"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A19"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Computation Method:</w:t>
      </w:r>
    </w:p>
    <w:p w14:paraId="74EA7A1A"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B"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Some tariff rates which are not expressed in ad valorem form (e.g., specific duties) need to be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r>
    </w:p>
    <w:p w14:paraId="74EA7A1C"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D"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Disaggregation:</w:t>
      </w:r>
    </w:p>
    <w:p w14:paraId="74EA7A1E"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1F"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Disaggregation is available by product sector (e.g. Agriculture, Textile, Environmental goods), geographical regions and country income level (e.g. Developed, Developing, LDCs)</w:t>
      </w:r>
    </w:p>
    <w:p w14:paraId="74EA7A20"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21"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Treatment of missing values:</w:t>
      </w:r>
    </w:p>
    <w:p w14:paraId="74EA7A22"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23" w14:textId="77777777" w:rsidR="007C6709" w:rsidRPr="00B9627C" w:rsidRDefault="007C6709" w:rsidP="00B9627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B9627C">
        <w:rPr>
          <w:rFonts w:eastAsia="Times New Roman" w:cs="Times New Roman"/>
          <w:color w:val="1C75BC"/>
          <w:sz w:val="21"/>
          <w:szCs w:val="21"/>
          <w:lang w:eastAsia="en-GB"/>
        </w:rPr>
        <w:t>At country level</w:t>
      </w:r>
    </w:p>
    <w:p w14:paraId="74EA7A24" w14:textId="77777777" w:rsidR="007C6709" w:rsidRPr="00B9627C" w:rsidRDefault="007C6709" w:rsidP="00B9627C">
      <w:pPr>
        <w:shd w:val="clear" w:color="auto" w:fill="FFFFFF"/>
        <w:spacing w:after="0"/>
        <w:ind w:left="495"/>
        <w:rPr>
          <w:rFonts w:eastAsia="Times New Roman" w:cs="Times New Roman"/>
          <w:color w:val="4A4A4A"/>
          <w:sz w:val="21"/>
          <w:szCs w:val="21"/>
          <w:lang w:eastAsia="en-GB"/>
        </w:rPr>
      </w:pPr>
    </w:p>
    <w:p w14:paraId="74EA7A25" w14:textId="77777777" w:rsidR="007C6709" w:rsidRPr="00B9627C" w:rsidRDefault="007C6709" w:rsidP="00B9627C">
      <w:pPr>
        <w:shd w:val="clear" w:color="auto" w:fill="FFFFFF"/>
        <w:spacing w:after="0"/>
        <w:ind w:left="495"/>
        <w:rPr>
          <w:rFonts w:eastAsia="Times New Roman" w:cs="Times New Roman"/>
          <w:color w:val="4A4A4A"/>
          <w:sz w:val="21"/>
          <w:szCs w:val="21"/>
          <w:lang w:eastAsia="en-GB"/>
        </w:rPr>
      </w:pPr>
      <w:r w:rsidRPr="00B9627C">
        <w:rPr>
          <w:rFonts w:eastAsia="Times New Roman" w:cs="Times New Roman"/>
          <w:color w:val="4A4A4A"/>
          <w:sz w:val="21"/>
          <w:szCs w:val="21"/>
          <w:lang w:eastAsia="en-GB"/>
        </w:rPr>
        <w:t>Missing values are calculated using the most recent year available.</w:t>
      </w:r>
    </w:p>
    <w:p w14:paraId="74EA7A26" w14:textId="77777777" w:rsidR="007C6709" w:rsidRPr="00B9627C" w:rsidRDefault="007C6709" w:rsidP="00B9627C">
      <w:pPr>
        <w:shd w:val="clear" w:color="auto" w:fill="FFFFFF"/>
        <w:spacing w:after="0"/>
        <w:ind w:left="495"/>
        <w:rPr>
          <w:rFonts w:eastAsia="Times New Roman" w:cs="Times New Roman"/>
          <w:color w:val="4A4A4A"/>
          <w:sz w:val="21"/>
          <w:szCs w:val="21"/>
          <w:lang w:eastAsia="en-GB"/>
        </w:rPr>
      </w:pPr>
    </w:p>
    <w:p w14:paraId="74EA7A27" w14:textId="77777777" w:rsidR="007C6709" w:rsidRPr="00B9627C" w:rsidRDefault="007C6709" w:rsidP="00B9627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B9627C">
        <w:rPr>
          <w:rFonts w:eastAsia="Times New Roman" w:cs="Times New Roman"/>
          <w:color w:val="1C75BC"/>
          <w:sz w:val="21"/>
          <w:szCs w:val="21"/>
          <w:lang w:eastAsia="en-GB"/>
        </w:rPr>
        <w:t>At regional and global levels</w:t>
      </w:r>
    </w:p>
    <w:p w14:paraId="74EA7A28" w14:textId="77777777" w:rsidR="007C6709" w:rsidRPr="00B9627C" w:rsidRDefault="007C6709" w:rsidP="00B9627C">
      <w:pPr>
        <w:shd w:val="clear" w:color="auto" w:fill="FFFFFF"/>
        <w:spacing w:after="0"/>
        <w:ind w:left="495"/>
        <w:rPr>
          <w:rFonts w:eastAsia="Times New Roman" w:cs="Times New Roman"/>
          <w:color w:val="4A4A4A"/>
          <w:sz w:val="21"/>
          <w:szCs w:val="21"/>
          <w:lang w:eastAsia="en-GB"/>
        </w:rPr>
      </w:pPr>
    </w:p>
    <w:p w14:paraId="74EA7A29" w14:textId="77777777" w:rsidR="007C6709" w:rsidRPr="00B9627C" w:rsidRDefault="007C6709" w:rsidP="00B9627C">
      <w:pPr>
        <w:shd w:val="clear" w:color="auto" w:fill="FFFFFF"/>
        <w:spacing w:after="0"/>
        <w:ind w:left="495"/>
        <w:rPr>
          <w:rFonts w:eastAsia="Times New Roman" w:cs="Times New Roman"/>
          <w:color w:val="4A4A4A"/>
          <w:sz w:val="21"/>
          <w:szCs w:val="21"/>
          <w:lang w:eastAsia="en-GB"/>
        </w:rPr>
      </w:pPr>
      <w:r w:rsidRPr="00B9627C">
        <w:rPr>
          <w:rFonts w:eastAsia="Times New Roman" w:cs="Times New Roman"/>
          <w:color w:val="4A4A4A"/>
          <w:sz w:val="21"/>
          <w:szCs w:val="21"/>
          <w:lang w:eastAsia="en-GB"/>
        </w:rPr>
        <w:t>Answered under question 11.1</w:t>
      </w:r>
    </w:p>
    <w:p w14:paraId="74EA7A2A" w14:textId="77777777" w:rsidR="007C6709" w:rsidRPr="00B9627C" w:rsidRDefault="007C6709" w:rsidP="00B9627C">
      <w:pPr>
        <w:shd w:val="clear" w:color="auto" w:fill="FFFFFF"/>
        <w:spacing w:after="0"/>
        <w:ind w:left="495"/>
        <w:rPr>
          <w:rFonts w:eastAsia="Times New Roman" w:cs="Times New Roman"/>
          <w:color w:val="4A4A4A"/>
          <w:sz w:val="21"/>
          <w:szCs w:val="21"/>
          <w:lang w:eastAsia="en-GB"/>
        </w:rPr>
      </w:pPr>
    </w:p>
    <w:p w14:paraId="74EA7A2B"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lastRenderedPageBreak/>
        <w:t>Regional aggregates:</w:t>
      </w:r>
    </w:p>
    <w:p w14:paraId="74EA7A2C"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2D"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This fixed weighting scheme, referred to as "Standard Import Structure" is the same for all developed market imports originating from developing countries and least developed countries. This structure is calculated at the HS6-digit level by averaging total imports of Developed countries from Developing countries and least developed countries.</w:t>
      </w:r>
    </w:p>
    <w:p w14:paraId="74EA7A2E"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2F"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Sources of discrepancies:</w:t>
      </w:r>
    </w:p>
    <w:p w14:paraId="74EA7A30"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31"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Not applicable. The same national data are used at the global level.</w:t>
      </w:r>
    </w:p>
    <w:p w14:paraId="74EA7A32"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33"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Data Sources</w:t>
      </w:r>
    </w:p>
    <w:p w14:paraId="74EA7A34"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A35"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Description:</w:t>
      </w:r>
    </w:p>
    <w:p w14:paraId="74EA7A36"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37"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The main information used to calculate indicators 17.12.1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B9627C">
        <w:rPr>
          <w:rFonts w:eastAsia="Times New Roman" w:cs="Times New Roman"/>
          <w:color w:val="4A4A4A"/>
          <w:sz w:val="21"/>
          <w:szCs w:val="21"/>
          <w:lang w:eastAsia="en-GB"/>
        </w:rPr>
        <w:t>MAcMap</w:t>
      </w:r>
      <w:proofErr w:type="spellEnd"/>
      <w:r w:rsidRPr="00B9627C">
        <w:rPr>
          <w:rFonts w:eastAsia="Times New Roman" w:cs="Times New Roman"/>
          <w:color w:val="4A4A4A"/>
          <w:sz w:val="21"/>
          <w:szCs w:val="21"/>
          <w:lang w:eastAsia="en-GB"/>
        </w:rPr>
        <w:t>) - http://www.macmap.org/ - WTO (IDB) - http://tao.wto.org - and UNCTAD (TRAINS) databases. Import tariff data included in the ITC (</w:t>
      </w:r>
      <w:proofErr w:type="spellStart"/>
      <w:r w:rsidRPr="00B9627C">
        <w:rPr>
          <w:rFonts w:eastAsia="Times New Roman" w:cs="Times New Roman"/>
          <w:color w:val="4A4A4A"/>
          <w:sz w:val="21"/>
          <w:szCs w:val="21"/>
          <w:lang w:eastAsia="en-GB"/>
        </w:rPr>
        <w:t>MAcMap</w:t>
      </w:r>
      <w:proofErr w:type="spellEnd"/>
      <w:r w:rsidRPr="00B9627C">
        <w:rPr>
          <w:rFonts w:eastAsia="Times New Roman" w:cs="Times New Roman"/>
          <w:color w:val="4A4A4A"/>
          <w:sz w:val="21"/>
          <w:szCs w:val="21"/>
          <w:lang w:eastAsia="en-GB"/>
        </w:rPr>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p w14:paraId="74EA7A38"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39"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Data Availability</w:t>
      </w:r>
    </w:p>
    <w:p w14:paraId="74EA7A3A"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A3B"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Description:</w:t>
      </w:r>
    </w:p>
    <w:p w14:paraId="74EA7A3C"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3D"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Asia and Pacific: 42</w:t>
      </w:r>
    </w:p>
    <w:p w14:paraId="74EA7A3E"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Africa: 49</w:t>
      </w:r>
    </w:p>
    <w:p w14:paraId="74EA7A3F"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Latin America and the Caribbean: 34</w:t>
      </w:r>
    </w:p>
    <w:p w14:paraId="74EA7A40"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Europe, North America, Australia, New Zealand and Japan: 48</w:t>
      </w:r>
    </w:p>
    <w:p w14:paraId="74EA7A41"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42"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Time series:</w:t>
      </w:r>
    </w:p>
    <w:p w14:paraId="74EA7A43"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44"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 xml:space="preserve">Yearly data from 2005 to latest year </w:t>
      </w:r>
    </w:p>
    <w:p w14:paraId="74EA7A45"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46" w14:textId="77777777" w:rsidR="007C6709" w:rsidRPr="00B9627C" w:rsidRDefault="007C6709" w:rsidP="00B9627C">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lastRenderedPageBreak/>
        <w:t>Calendar</w:t>
      </w:r>
    </w:p>
    <w:p w14:paraId="74EA7A47" w14:textId="77777777" w:rsidR="007C6709" w:rsidRPr="00B9627C" w:rsidRDefault="007C6709" w:rsidP="00B9627C">
      <w:pPr>
        <w:keepNext/>
        <w:keepLines/>
        <w:shd w:val="clear" w:color="auto" w:fill="FFFFFF"/>
        <w:spacing w:after="0"/>
        <w:rPr>
          <w:rFonts w:eastAsia="Times New Roman" w:cs="Times New Roman"/>
          <w:b/>
          <w:bCs/>
          <w:color w:val="4A4A4A"/>
          <w:sz w:val="21"/>
          <w:szCs w:val="21"/>
          <w:lang w:eastAsia="en-GB"/>
        </w:rPr>
      </w:pPr>
    </w:p>
    <w:p w14:paraId="74EA7A48"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Data collection:</w:t>
      </w:r>
    </w:p>
    <w:p w14:paraId="74EA7A49"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p>
    <w:p w14:paraId="74EA7A4A"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Continuously updated all year round</w:t>
      </w:r>
    </w:p>
    <w:p w14:paraId="74EA7A4B"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p>
    <w:p w14:paraId="74EA7A4C"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Data release:</w:t>
      </w:r>
    </w:p>
    <w:p w14:paraId="74EA7A4D"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4E"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 xml:space="preserve">Indicatively the indicator’s calculations can be ready by March every year. However, the date of release will depend on the period envisaged for the launching of the SDG monitoring report.  </w:t>
      </w:r>
    </w:p>
    <w:p w14:paraId="74EA7A4F"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50"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Data providers</w:t>
      </w:r>
    </w:p>
    <w:p w14:paraId="74EA7A51"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A52"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Already under sources.</w:t>
      </w:r>
    </w:p>
    <w:p w14:paraId="74EA7A53"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54"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Data compilers</w:t>
      </w:r>
    </w:p>
    <w:p w14:paraId="74EA7A55" w14:textId="77777777" w:rsidR="007C6709" w:rsidRPr="00B9627C" w:rsidRDefault="007C6709" w:rsidP="00B9627C">
      <w:pPr>
        <w:shd w:val="clear" w:color="auto" w:fill="FFFFFF"/>
        <w:spacing w:after="0"/>
        <w:rPr>
          <w:rFonts w:eastAsia="Times New Roman" w:cs="Times New Roman"/>
          <w:b/>
          <w:bCs/>
          <w:color w:val="4A4A4A"/>
          <w:sz w:val="21"/>
          <w:szCs w:val="21"/>
          <w:lang w:eastAsia="en-GB"/>
        </w:rPr>
      </w:pPr>
    </w:p>
    <w:p w14:paraId="74EA7A56"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Name:</w:t>
      </w:r>
    </w:p>
    <w:p w14:paraId="74EA7A57"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58"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ITC, WTO and UNCTAD</w:t>
      </w:r>
    </w:p>
    <w:p w14:paraId="74EA7A59"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5A"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Description:</w:t>
      </w:r>
    </w:p>
    <w:p w14:paraId="74EA7A5B"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5C"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ITC, WTO and UNCTAD will jointly report on this indicator</w:t>
      </w:r>
    </w:p>
    <w:p w14:paraId="74EA7A5D"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5E"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References</w:t>
      </w:r>
    </w:p>
    <w:p w14:paraId="74EA7A5F" w14:textId="77777777" w:rsidR="007C6709" w:rsidRPr="00B9627C" w:rsidRDefault="007C6709" w:rsidP="00B9627C">
      <w:pPr>
        <w:keepNext/>
        <w:keepLines/>
        <w:shd w:val="clear" w:color="auto" w:fill="FFFFFF"/>
        <w:spacing w:after="0"/>
        <w:rPr>
          <w:rFonts w:eastAsia="Times New Roman" w:cs="Times New Roman"/>
          <w:b/>
          <w:bCs/>
          <w:color w:val="4A4A4A"/>
          <w:sz w:val="21"/>
          <w:szCs w:val="21"/>
          <w:lang w:eastAsia="en-GB"/>
        </w:rPr>
      </w:pPr>
    </w:p>
    <w:p w14:paraId="74EA7A60"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URL:</w:t>
      </w:r>
    </w:p>
    <w:p w14:paraId="74EA7A61"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p>
    <w:p w14:paraId="74EA7A62"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http://www.intracen.org; www.wto.org; http://unctad.org/en/Pages/Home.aspx</w:t>
      </w:r>
    </w:p>
    <w:p w14:paraId="74EA7A63"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p>
    <w:p w14:paraId="74EA7A64"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r w:rsidRPr="00B9627C">
        <w:rPr>
          <w:rFonts w:eastAsia="Times New Roman" w:cs="Times New Roman"/>
          <w:b/>
          <w:bCs/>
          <w:color w:val="4A4A4A"/>
          <w:sz w:val="21"/>
          <w:szCs w:val="21"/>
          <w:lang w:eastAsia="en-GB"/>
        </w:rPr>
        <w:t>References:</w:t>
      </w:r>
    </w:p>
    <w:p w14:paraId="74EA7A65" w14:textId="77777777" w:rsidR="007C6709" w:rsidRPr="00B9627C" w:rsidRDefault="007C6709" w:rsidP="00B9627C">
      <w:pPr>
        <w:keepNext/>
        <w:keepLines/>
        <w:shd w:val="clear" w:color="auto" w:fill="FFFFFF"/>
        <w:spacing w:after="0"/>
        <w:rPr>
          <w:rFonts w:eastAsia="Times New Roman" w:cs="Times New Roman"/>
          <w:color w:val="4A4A4A"/>
          <w:sz w:val="21"/>
          <w:szCs w:val="21"/>
          <w:lang w:eastAsia="en-GB"/>
        </w:rPr>
      </w:pPr>
    </w:p>
    <w:p w14:paraId="74EA7A66" w14:textId="77777777" w:rsidR="007C6709" w:rsidRPr="00B9627C" w:rsidRDefault="007C6709" w:rsidP="00B9627C">
      <w:pPr>
        <w:shd w:val="clear" w:color="auto" w:fill="FFFFFF"/>
        <w:spacing w:after="0"/>
        <w:rPr>
          <w:rFonts w:eastAsia="Times New Roman" w:cs="Times New Roman"/>
          <w:color w:val="4A4A4A"/>
          <w:sz w:val="21"/>
          <w:szCs w:val="21"/>
          <w:lang w:eastAsia="en-GB"/>
        </w:rPr>
      </w:pPr>
      <w:r w:rsidRPr="00B9627C">
        <w:rPr>
          <w:rFonts w:eastAsia="Times New Roman" w:cs="Times New Roman"/>
          <w:color w:val="4A4A4A"/>
          <w:sz w:val="21"/>
          <w:szCs w:val="21"/>
          <w:lang w:eastAsia="en-GB"/>
        </w:rPr>
        <w:t>This indicator was already calculated under MDG Target 8.A (Indicator 8.7). For reference purposes see The Millennium Development Goals Report 2015 available at http://www.un.org/millenniumgoals/2015_MDG_Report/pdf/MDG%202015%20rev%20(July%201).pdf (p. 64)</w:t>
      </w:r>
    </w:p>
    <w:p w14:paraId="74EA7A67" w14:textId="77777777" w:rsidR="007C6709" w:rsidRPr="00B9627C" w:rsidRDefault="007C6709" w:rsidP="00B9627C">
      <w:pPr>
        <w:shd w:val="clear" w:color="auto" w:fill="FFFFFF"/>
        <w:spacing w:after="0"/>
        <w:rPr>
          <w:rFonts w:eastAsia="Times New Roman" w:cs="Times New Roman"/>
          <w:color w:val="4A4A4A"/>
          <w:sz w:val="21"/>
          <w:szCs w:val="21"/>
          <w:lang w:eastAsia="en-GB"/>
        </w:rPr>
      </w:pPr>
    </w:p>
    <w:p w14:paraId="74EA7A68" w14:textId="77777777" w:rsidR="007C6709" w:rsidRPr="00B9627C" w:rsidRDefault="007C6709" w:rsidP="00B962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B9627C">
        <w:rPr>
          <w:rFonts w:eastAsia="Times New Roman" w:cs="Times New Roman"/>
          <w:color w:val="1C75BC"/>
          <w:sz w:val="36"/>
          <w:szCs w:val="36"/>
          <w:lang w:eastAsia="en-GB"/>
        </w:rPr>
        <w:t>Related indicators as of February 2020</w:t>
      </w:r>
    </w:p>
    <w:p w14:paraId="74EA7A69" w14:textId="77777777" w:rsidR="007C6709" w:rsidRPr="00B9627C" w:rsidRDefault="007C6709" w:rsidP="00B9627C">
      <w:pPr>
        <w:shd w:val="clear" w:color="auto" w:fill="FFFFFF"/>
        <w:spacing w:after="0"/>
        <w:outlineLvl w:val="4"/>
        <w:rPr>
          <w:rFonts w:eastAsia="Times New Roman" w:cs="Times New Roman"/>
          <w:color w:val="1C75BC"/>
          <w:sz w:val="21"/>
          <w:szCs w:val="21"/>
          <w:lang w:eastAsia="en-GB"/>
        </w:rPr>
      </w:pPr>
    </w:p>
    <w:p w14:paraId="74EA7A6A" w14:textId="77777777" w:rsidR="00071F07" w:rsidRPr="00B9627C" w:rsidRDefault="007C6709" w:rsidP="00B9627C">
      <w:pPr>
        <w:shd w:val="clear" w:color="auto" w:fill="FFFFFF"/>
        <w:spacing w:after="0"/>
      </w:pPr>
      <w:r w:rsidRPr="00B9627C">
        <w:rPr>
          <w:rFonts w:eastAsia="Times New Roman" w:cs="Times New Roman"/>
          <w:color w:val="4A4A4A"/>
          <w:sz w:val="21"/>
          <w:szCs w:val="21"/>
          <w:lang w:eastAsia="en-GB"/>
        </w:rPr>
        <w:t>Linkages with the decrease of agricultural market distortions (target 2.b), improvements in the transfer of environmental goods and services (target 17.7) and better access to essential medicines (3.b).</w:t>
      </w:r>
    </w:p>
    <w:sectPr w:rsidR="00071F07" w:rsidRPr="00B9627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A0FAC" w14:textId="77777777" w:rsidR="00A939CE" w:rsidRDefault="00A939CE" w:rsidP="00A939CE">
      <w:pPr>
        <w:spacing w:after="0" w:line="240" w:lineRule="auto"/>
      </w:pPr>
      <w:r>
        <w:separator/>
      </w:r>
    </w:p>
  </w:endnote>
  <w:endnote w:type="continuationSeparator" w:id="0">
    <w:p w14:paraId="7D3128BA" w14:textId="77777777" w:rsidR="00A939CE" w:rsidRDefault="00A939CE" w:rsidP="00A9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12D62" w14:textId="77777777" w:rsidR="00A939CE" w:rsidRDefault="00A939CE" w:rsidP="00A939CE">
      <w:pPr>
        <w:spacing w:after="0" w:line="240" w:lineRule="auto"/>
      </w:pPr>
      <w:r>
        <w:separator/>
      </w:r>
    </w:p>
  </w:footnote>
  <w:footnote w:type="continuationSeparator" w:id="0">
    <w:p w14:paraId="05BACA8A" w14:textId="77777777" w:rsidR="00A939CE" w:rsidRDefault="00A939CE" w:rsidP="00A93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680D0" w14:textId="77777777" w:rsidR="00A939CE" w:rsidRPr="00B071C0" w:rsidRDefault="00A939CE" w:rsidP="00A939CE">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p>
  <w:bookmarkEnd w:id="1"/>
  <w:p w14:paraId="170DB439" w14:textId="77777777" w:rsidR="00A939CE" w:rsidRDefault="00A93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23B58"/>
    <w:multiLevelType w:val="multilevel"/>
    <w:tmpl w:val="BA1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DY2NbAwNDM2MjNS0lEKTi0uzszPAykwrAUAml9vJywAAAA="/>
  </w:docVars>
  <w:rsids>
    <w:rsidRoot w:val="007C6709"/>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C6709"/>
    <w:rsid w:val="007D0981"/>
    <w:rsid w:val="007D1929"/>
    <w:rsid w:val="007F2A93"/>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939CE"/>
    <w:rsid w:val="00AF71D6"/>
    <w:rsid w:val="00B3175F"/>
    <w:rsid w:val="00B402D8"/>
    <w:rsid w:val="00B4237C"/>
    <w:rsid w:val="00B52AFD"/>
    <w:rsid w:val="00B9627C"/>
    <w:rsid w:val="00BB646E"/>
    <w:rsid w:val="00C43F5B"/>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79EE"/>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70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0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A93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9CE"/>
  </w:style>
  <w:style w:type="paragraph" w:styleId="Footer">
    <w:name w:val="footer"/>
    <w:basedOn w:val="Normal"/>
    <w:link w:val="FooterChar"/>
    <w:uiPriority w:val="99"/>
    <w:unhideWhenUsed/>
    <w:rsid w:val="00A93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Kyaw Lin</cp:lastModifiedBy>
  <cp:revision>4</cp:revision>
  <cp:lastPrinted>2018-12-16T20:46:00Z</cp:lastPrinted>
  <dcterms:created xsi:type="dcterms:W3CDTF">2016-07-15T17:40:00Z</dcterms:created>
  <dcterms:modified xsi:type="dcterms:W3CDTF">2020-03-30T00:56:00Z</dcterms:modified>
</cp:coreProperties>
</file>