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DB9B1D0" w:rsidR="00D24330" w:rsidRPr="00A96255" w:rsidRDefault="007B38F4" w:rsidP="002F5F0C">
      <w:pPr>
        <w:pStyle w:val="MGTHeader"/>
      </w:pPr>
      <w:r w:rsidRPr="007B38F4">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0.b. Target</w:t>
      </w:r>
    </w:p>
    <w:p w14:paraId="0D7F1B46" w14:textId="697D2A3F" w:rsidR="00D24330" w:rsidRPr="00A96255" w:rsidRDefault="007B38F4" w:rsidP="00D24330">
      <w:pPr>
        <w:pStyle w:val="MGTHeader"/>
      </w:pPr>
      <w:r w:rsidRPr="007B38F4">
        <w:t>Target 17.14: Enhance policy coherence for sustainable development</w:t>
      </w:r>
    </w:p>
    <w:p w14:paraId="3E67E7E0" w14:textId="77777777" w:rsidR="00D24330" w:rsidRPr="00A96255" w:rsidRDefault="00D24330" w:rsidP="00D24330">
      <w:pPr>
        <w:pStyle w:val="MIndHeader"/>
      </w:pPr>
      <w:r w:rsidRPr="00A96255">
        <w:t>0.c. Indicator</w:t>
      </w:r>
    </w:p>
    <w:p w14:paraId="6045F6C3" w14:textId="3126B77D" w:rsidR="00D24330" w:rsidRPr="00A96255" w:rsidRDefault="007B38F4" w:rsidP="00D24330">
      <w:pPr>
        <w:pStyle w:val="MGTHeader"/>
      </w:pPr>
      <w:r w:rsidRPr="007B38F4">
        <w:t>Indicator 17.14.1. Mechanisms in place to enhance policy coherence of sustainable development</w:t>
      </w:r>
    </w:p>
    <w:p w14:paraId="37E5E4F6" w14:textId="77777777" w:rsidR="00D24330" w:rsidRPr="00A96255" w:rsidRDefault="00D24330" w:rsidP="00D24330">
      <w:pPr>
        <w:pStyle w:val="MIndHeader"/>
      </w:pPr>
      <w:r w:rsidRPr="00A96255">
        <w:t>0.d. Series</w:t>
      </w:r>
    </w:p>
    <w:p w14:paraId="771888BA" w14:textId="05766AF6"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77D5B6EC" w:rsidR="00D24330" w:rsidRPr="00A96255" w:rsidRDefault="007B5848" w:rsidP="00D24330">
      <w:pPr>
        <w:pStyle w:val="MGTHeader"/>
      </w:pPr>
      <w:r>
        <w:t>March 2021</w:t>
      </w:r>
      <w:bookmarkStart w:id="0" w:name="_GoBack"/>
      <w:bookmarkEnd w:id="0"/>
    </w:p>
    <w:p w14:paraId="415C9FF1" w14:textId="77777777" w:rsidR="00D24330" w:rsidRPr="00A96255" w:rsidRDefault="00D24330" w:rsidP="00D24330">
      <w:pPr>
        <w:pStyle w:val="MIndHeader"/>
      </w:pPr>
      <w:r w:rsidRPr="00A96255">
        <w:t>0.f. Related indicators</w:t>
      </w:r>
    </w:p>
    <w:p w14:paraId="21524279" w14:textId="2B334F8B" w:rsidR="00D24330" w:rsidRPr="00A96255" w:rsidRDefault="007B38F4" w:rsidP="00D24330">
      <w:pPr>
        <w:pStyle w:val="MGTHeader"/>
      </w:pPr>
      <w:r w:rsidRPr="007B38F4">
        <w:t>N/A</w:t>
      </w:r>
    </w:p>
    <w:p w14:paraId="077BC49E" w14:textId="77777777" w:rsidR="00D24330" w:rsidRPr="00A96255" w:rsidRDefault="00D24330" w:rsidP="00D24330">
      <w:pPr>
        <w:pStyle w:val="MIndHeader"/>
      </w:pPr>
      <w:r w:rsidRPr="00A96255">
        <w:t>0.g. International organisations(s) responsible for global monitoring</w:t>
      </w:r>
    </w:p>
    <w:p w14:paraId="0393368E" w14:textId="23C11A88" w:rsidR="00621893" w:rsidRPr="00A96255" w:rsidRDefault="007B38F4" w:rsidP="00D24330">
      <w:pPr>
        <w:pStyle w:val="MGTHeader"/>
        <w:rPr>
          <w:color w:val="4A4A4A"/>
        </w:rPr>
      </w:pPr>
      <w:r w:rsidRPr="007B38F4">
        <w:t>United Nations Environment Programme</w:t>
      </w:r>
      <w:r w:rsidR="00661FD3">
        <w:t xml:space="preserv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69C36935" w:rsidR="00576CFA" w:rsidRDefault="007B38F4" w:rsidP="00576CFA">
      <w:pPr>
        <w:pStyle w:val="MText"/>
      </w:pPr>
      <w:r w:rsidRPr="007B38F4">
        <w:t>United Nations Environment Programme</w:t>
      </w:r>
      <w:r w:rsidR="00661FD3">
        <w:t xml:space="preserv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4B2D58D" w14:textId="77777777" w:rsidR="007B38F4" w:rsidRDefault="007B38F4" w:rsidP="007B38F4">
      <w:pPr>
        <w:pStyle w:val="GHFeaturedlist"/>
        <w:numPr>
          <w:ilvl w:val="0"/>
          <w:numId w:val="0"/>
        </w:numPr>
        <w:tabs>
          <w:tab w:val="left" w:pos="720"/>
        </w:tabs>
        <w:spacing w:after="0" w:line="240" w:lineRule="auto"/>
        <w:rPr>
          <w:rFonts w:asciiTheme="minorHAnsi" w:eastAsia="Times New Roman" w:hAnsiTheme="minorHAnsi"/>
          <w:b/>
          <w:bCs/>
          <w:color w:val="4A4A4A"/>
          <w:sz w:val="21"/>
          <w:szCs w:val="21"/>
          <w:lang w:eastAsia="en-GB"/>
        </w:rPr>
      </w:pPr>
      <w:r>
        <w:rPr>
          <w:rFonts w:asciiTheme="minorHAnsi" w:eastAsia="Times New Roman" w:hAnsiTheme="minorHAnsi"/>
          <w:b/>
          <w:bCs/>
          <w:color w:val="4A4A4A"/>
          <w:sz w:val="21"/>
          <w:szCs w:val="21"/>
          <w:lang w:eastAsia="en-GB"/>
        </w:rPr>
        <w:t xml:space="preserve">Definition: </w:t>
      </w:r>
    </w:p>
    <w:p w14:paraId="5BB745BB" w14:textId="77777777" w:rsidR="007B38F4" w:rsidRDefault="007B38F4" w:rsidP="007B38F4">
      <w:pPr>
        <w:shd w:val="clear" w:color="auto" w:fill="FFFFFF"/>
        <w:spacing w:after="0"/>
        <w:rPr>
          <w:rFonts w:eastAsia="Times New Roman" w:cs="Times New Roman"/>
          <w:color w:val="4A4A4A"/>
          <w:sz w:val="21"/>
          <w:szCs w:val="21"/>
          <w:lang w:eastAsia="en-GB"/>
        </w:rPr>
      </w:pPr>
      <w:proofErr w:type="gramStart"/>
      <w:r>
        <w:rPr>
          <w:rFonts w:eastAsia="Times New Roman" w:cs="Times New Roman"/>
          <w:color w:val="4A4A4A"/>
          <w:sz w:val="21"/>
          <w:szCs w:val="21"/>
          <w:lang w:eastAsia="en-GB"/>
        </w:rPr>
        <w:t>For the purpose of</w:t>
      </w:r>
      <w:proofErr w:type="gramEnd"/>
      <w:r>
        <w:rPr>
          <w:rFonts w:eastAsia="Times New Roman" w:cs="Times New Roman"/>
          <w:color w:val="4A4A4A"/>
          <w:sz w:val="21"/>
          <w:szCs w:val="21"/>
          <w:lang w:eastAsia="en-GB"/>
        </w:rPr>
        <w:t xml:space="preserve"> this methodology ‘policy coherence of sustainable development’ has been interpreted as the coherence between policies in general that cover the dimensions of sustainable development.</w:t>
      </w:r>
      <w:r>
        <w:rPr>
          <w:rFonts w:ascii="Calibri" w:hAnsi="Calibri"/>
          <w:color w:val="595959" w:themeColor="text1" w:themeTint="A6"/>
          <w:sz w:val="21"/>
        </w:rPr>
        <w:t xml:space="preserve"> This indicator </w:t>
      </w:r>
      <w:r>
        <w:rPr>
          <w:rFonts w:eastAsia="Times New Roman" w:cs="Times New Roman"/>
          <w:color w:val="4A4A4A"/>
          <w:sz w:val="21"/>
          <w:szCs w:val="21"/>
          <w:lang w:eastAsia="en-GB"/>
        </w:rPr>
        <w:t xml:space="preserve">is a composite indicator which covers mechanisms related to </w:t>
      </w:r>
    </w:p>
    <w:p w14:paraId="20FB0A07"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Institutionalization of Political Commitment </w:t>
      </w:r>
      <w:r>
        <w:rPr>
          <w:rFonts w:eastAsia="Times New Roman" w:cs="Times New Roman"/>
          <w:color w:val="4A4A4A"/>
          <w:sz w:val="21"/>
          <w:szCs w:val="21"/>
          <w:lang w:eastAsia="en-GB"/>
        </w:rPr>
        <w:tab/>
      </w:r>
    </w:p>
    <w:p w14:paraId="59BC6204"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Long-term considerations in decision-making</w:t>
      </w:r>
    </w:p>
    <w:p w14:paraId="2B092B7D"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Inter-ministerial and cross-sectoral coordination</w:t>
      </w:r>
      <w:r>
        <w:rPr>
          <w:rFonts w:eastAsia="Times New Roman" w:cs="Times New Roman"/>
          <w:color w:val="4A4A4A"/>
          <w:sz w:val="21"/>
          <w:szCs w:val="21"/>
          <w:lang w:eastAsia="en-GB"/>
        </w:rPr>
        <w:tab/>
      </w:r>
    </w:p>
    <w:p w14:paraId="19D633CD"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Participatory processes</w:t>
      </w:r>
    </w:p>
    <w:p w14:paraId="498E0DB3"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Policy linkages</w:t>
      </w:r>
    </w:p>
    <w:p w14:paraId="69B057C7"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Alignment across government levels</w:t>
      </w:r>
    </w:p>
    <w:p w14:paraId="2D245FA3"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Monitoring and reporting for policy coherence</w:t>
      </w:r>
    </w:p>
    <w:p w14:paraId="6775AABB" w14:textId="77777777" w:rsidR="007B38F4" w:rsidRDefault="007B38F4" w:rsidP="007B38F4">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Financing for policy coherence</w:t>
      </w:r>
    </w:p>
    <w:p w14:paraId="2823C2D1" w14:textId="77777777" w:rsidR="007B38F4" w:rsidRDefault="007B38F4" w:rsidP="007B38F4">
      <w:pPr>
        <w:shd w:val="clear" w:color="auto" w:fill="FFFFFF"/>
        <w:spacing w:after="0"/>
        <w:rPr>
          <w:rFonts w:eastAsia="Times New Roman" w:cs="Times New Roman"/>
          <w:b/>
          <w:bCs/>
          <w:color w:val="4A4A4A"/>
          <w:sz w:val="21"/>
          <w:szCs w:val="21"/>
          <w:lang w:eastAsia="en-GB"/>
        </w:rPr>
      </w:pPr>
    </w:p>
    <w:p w14:paraId="710F019E" w14:textId="67924BB7" w:rsidR="007B38F4" w:rsidRPr="007B38F4" w:rsidRDefault="007B38F4" w:rsidP="007B38F4">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lastRenderedPageBreak/>
        <w:t>Concepts:</w:t>
      </w:r>
    </w:p>
    <w:p w14:paraId="67BE038E" w14:textId="77777777" w:rsidR="007B38F4" w:rsidRDefault="007B38F4" w:rsidP="007B38F4">
      <w:pPr>
        <w:shd w:val="clear" w:color="auto" w:fill="FFFFFF"/>
        <w:spacing w:after="0"/>
        <w:rPr>
          <w:rFonts w:eastAsia="Times New Roman" w:cs="Times New Roman"/>
          <w:i/>
          <w:iCs/>
          <w:color w:val="4A4A4A"/>
          <w:sz w:val="21"/>
          <w:szCs w:val="21"/>
          <w:lang w:eastAsia="en-GB"/>
        </w:rPr>
      </w:pPr>
      <w:r>
        <w:rPr>
          <w:rFonts w:eastAsia="Times New Roman" w:cs="Times New Roman"/>
          <w:i/>
          <w:iCs/>
          <w:color w:val="4A4A4A"/>
          <w:sz w:val="21"/>
          <w:szCs w:val="21"/>
          <w:lang w:eastAsia="en-GB"/>
        </w:rPr>
        <w:t xml:space="preserve">Scope of “Sustainable Development” </w:t>
      </w:r>
      <w:r>
        <w:rPr>
          <w:rFonts w:eastAsia="Times New Roman" w:cs="Times New Roman"/>
          <w:color w:val="4A4A4A"/>
          <w:sz w:val="21"/>
          <w:szCs w:val="21"/>
          <w:lang w:eastAsia="en-GB"/>
        </w:rPr>
        <w:t xml:space="preserve">For the purpose of this methodology ‘policy coherence of sustainable development’ has been interpreted as the coherence between policies in general that cover the dimensions of sustainable development, rather than adopting a narrower definition of mechanisms put in place to support the coherent implementation of Agenda 2030 and the SDGs, so as to promote coherent policy for sustainable development well beyond the current </w:t>
      </w:r>
      <w:proofErr w:type="gramStart"/>
      <w:r>
        <w:rPr>
          <w:rFonts w:eastAsia="Times New Roman" w:cs="Times New Roman"/>
          <w:color w:val="4A4A4A"/>
          <w:sz w:val="21"/>
          <w:szCs w:val="21"/>
          <w:lang w:eastAsia="en-GB"/>
        </w:rPr>
        <w:t>agenda’s  timeframe</w:t>
      </w:r>
      <w:proofErr w:type="gramEnd"/>
      <w:r>
        <w:rPr>
          <w:rFonts w:eastAsia="Times New Roman" w:cs="Times New Roman"/>
          <w:color w:val="4A4A4A"/>
          <w:sz w:val="21"/>
          <w:szCs w:val="21"/>
          <w:lang w:eastAsia="en-GB"/>
        </w:rPr>
        <w:t xml:space="preserve">. The policy coherence mechanisms set out in this methodology may therefore include mechanisms already in place before the adoption of the 2030 Agenda in 2015, and any mechanisms established during the next decade leading up to 2030 should aim to continue well beyond that timeframe. However, given the role of Agenda 2030 and the individual goals in defining the specific parameters of sustainable development, it is likely that governments will focus, in implementing this methodology, on bringing coherence in their policy approaches to implement the goals. </w:t>
      </w:r>
    </w:p>
    <w:p w14:paraId="7F9B53D8" w14:textId="77777777" w:rsidR="007B38F4" w:rsidRDefault="007B38F4" w:rsidP="007B38F4">
      <w:pPr>
        <w:shd w:val="clear" w:color="auto" w:fill="FFFFFF"/>
        <w:spacing w:after="0"/>
        <w:rPr>
          <w:rFonts w:eastAsia="Times New Roman" w:cs="Times New Roman"/>
          <w:color w:val="4A4A4A"/>
          <w:sz w:val="21"/>
          <w:szCs w:val="21"/>
          <w:lang w:eastAsia="en-GB"/>
        </w:rPr>
      </w:pPr>
    </w:p>
    <w:p w14:paraId="04EC8FF1" w14:textId="77777777" w:rsidR="007B38F4" w:rsidRDefault="007B38F4" w:rsidP="007B38F4">
      <w:pPr>
        <w:shd w:val="clear" w:color="auto" w:fill="FFFFFF"/>
        <w:spacing w:after="0"/>
        <w:rPr>
          <w:rFonts w:eastAsia="Times New Roman" w:cs="Times New Roman"/>
          <w:i/>
          <w:iCs/>
          <w:color w:val="4A4A4A"/>
          <w:sz w:val="21"/>
          <w:szCs w:val="21"/>
          <w:lang w:eastAsia="en-GB"/>
        </w:rPr>
      </w:pPr>
      <w:r>
        <w:rPr>
          <w:rFonts w:eastAsia="Times New Roman" w:cs="Times New Roman"/>
          <w:i/>
          <w:iCs/>
          <w:color w:val="4A4A4A"/>
          <w:sz w:val="21"/>
          <w:szCs w:val="21"/>
          <w:lang w:eastAsia="en-GB"/>
        </w:rPr>
        <w:t xml:space="preserve">The concept of Policy Coherence: </w:t>
      </w:r>
      <w:r>
        <w:rPr>
          <w:rFonts w:eastAsia="Times New Roman" w:cs="Times New Roman"/>
          <w:color w:val="4A4A4A"/>
          <w:sz w:val="21"/>
          <w:szCs w:val="21"/>
          <w:lang w:eastAsia="en-GB"/>
        </w:rPr>
        <w:t xml:space="preserve">The textual formulation of the indicator covers “policy coherence”.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make the indicator universally applicable and adaptable to various national contexts, the mechanisms measured by the methodology cover a wide range of mechanisms that, although aiming to achieve the same objective, use slightly different language. </w:t>
      </w:r>
      <w:proofErr w:type="gramStart"/>
      <w:r>
        <w:rPr>
          <w:rFonts w:eastAsia="Times New Roman" w:cs="Times New Roman"/>
          <w:color w:val="4A4A4A"/>
          <w:sz w:val="21"/>
          <w:szCs w:val="21"/>
          <w:lang w:eastAsia="en-GB"/>
        </w:rPr>
        <w:t>In order to</w:t>
      </w:r>
      <w:proofErr w:type="gramEnd"/>
      <w:r>
        <w:rPr>
          <w:rFonts w:eastAsia="Times New Roman" w:cs="Times New Roman"/>
          <w:color w:val="4A4A4A"/>
          <w:sz w:val="21"/>
          <w:szCs w:val="21"/>
          <w:lang w:eastAsia="en-GB"/>
        </w:rPr>
        <w:t xml:space="preserve"> properly assess and report on this indicator similar concepts such as “whole of government approach or “integrated approach” will be interpreted in the same spirit as the concept of “policy coherence”. However, it is important that the used concept considers policies that cover the various dimensions of sustainable development. Hence, a mechanism focusing solely on the concept of policy coherence for development (which is often limited to coherence between Official Development Assistance (ODA) and other policies, in the spirit of the Millennium Development Goals) will not be considered by this framework.  </w:t>
      </w:r>
    </w:p>
    <w:p w14:paraId="007036D6" w14:textId="37D523BE" w:rsidR="007B38F4" w:rsidRPr="00A96255" w:rsidRDefault="007B38F4"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07076B93" w14:textId="133CABB9" w:rsidR="00661FD3" w:rsidRDefault="00661FD3" w:rsidP="00576CFA">
      <w:pPr>
        <w:pStyle w:val="MText"/>
      </w:pPr>
      <w:r>
        <w:t>Percent</w:t>
      </w:r>
    </w:p>
    <w:p w14:paraId="19948EFB" w14:textId="0D9B3356" w:rsidR="00661FD3" w:rsidRPr="00A96255" w:rsidRDefault="00661FD3" w:rsidP="00576CFA">
      <w:pPr>
        <w:pStyle w:val="MText"/>
      </w:pPr>
      <w:r>
        <w:t>Number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41E388EB" w:rsidR="00576CFA" w:rsidRPr="00A96255" w:rsidRDefault="007B38F4" w:rsidP="00576CFA">
      <w:pPr>
        <w:pStyle w:val="MText"/>
      </w:pPr>
      <w:r>
        <w:rPr>
          <w:rFonts w:ascii="Calibri" w:eastAsia="MS PGothic" w:hAnsi="Calibri"/>
          <w:color w:val="595959" w:themeColor="text1" w:themeTint="A6"/>
          <w:szCs w:val="24"/>
          <w:lang w:eastAsia="en-US"/>
        </w:rPr>
        <w:t>Data provided by national governments, including entities responsible for SDG implementation</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514E12B0" w:rsidR="00576CFA" w:rsidRPr="00A96255" w:rsidRDefault="007B38F4" w:rsidP="00576CFA">
      <w:pPr>
        <w:pStyle w:val="MText"/>
      </w:pPr>
      <w:r>
        <w:rPr>
          <w:rFonts w:ascii="Calibri" w:eastAsia="MS PGothic" w:hAnsi="Calibri"/>
          <w:color w:val="595959" w:themeColor="text1" w:themeTint="A6"/>
          <w:szCs w:val="24"/>
          <w:lang w:eastAsia="en-US"/>
        </w:rPr>
        <w:t>Through a Government Survey (self-scoring by Governments according to the above table).</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4388D8F1" w:rsidR="00576CFA" w:rsidRPr="00A96255" w:rsidRDefault="007B38F4" w:rsidP="00576CFA">
      <w:pPr>
        <w:pStyle w:val="MText"/>
      </w:pPr>
      <w:r>
        <w:t>First data collection: Expected in early 202</w:t>
      </w:r>
      <w:r w:rsidR="00661FD3">
        <w:t>1</w:t>
      </w:r>
      <w:r>
        <w:t xml:space="preserve">.  </w:t>
      </w:r>
      <w:r w:rsidR="00661FD3">
        <w:t>B</w:t>
      </w:r>
      <w:r w:rsidR="00661FD3" w:rsidRPr="00661FD3">
        <w:t>iennially</w:t>
      </w:r>
      <w:r>
        <w:t xml:space="preserve"> thereafter.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5F358FAB" w:rsidR="00576CFA" w:rsidRPr="009F0E44" w:rsidRDefault="007B38F4" w:rsidP="00546099">
      <w:pPr>
        <w:keepNext/>
        <w:keepLines/>
        <w:shd w:val="clear" w:color="auto" w:fill="FFFFFF"/>
        <w:spacing w:after="0"/>
        <w:jc w:val="both"/>
      </w:pPr>
      <w:r>
        <w:rPr>
          <w:rFonts w:eastAsia="Times New Roman" w:cs="Times New Roman"/>
          <w:color w:val="4A4A4A"/>
          <w:sz w:val="21"/>
          <w:szCs w:val="21"/>
          <w:lang w:eastAsia="en-GB"/>
        </w:rPr>
        <w:lastRenderedPageBreak/>
        <w:t>First reporting cycle: 2021.</w:t>
      </w:r>
      <w:r w:rsidR="009F0E44">
        <w:rPr>
          <w:rFonts w:eastAsia="Times New Roman" w:cs="Times New Roman"/>
          <w:color w:val="4A4A4A"/>
          <w:sz w:val="21"/>
          <w:szCs w:val="21"/>
          <w:lang w:eastAsia="en-GB"/>
        </w:rPr>
        <w:t xml:space="preserve"> </w:t>
      </w:r>
      <w:r w:rsidR="00661FD3" w:rsidRPr="009F0E44">
        <w:rPr>
          <w:rFonts w:eastAsia="Times New Roman" w:cs="Times New Roman"/>
          <w:color w:val="4A4A4A"/>
          <w:sz w:val="21"/>
          <w:szCs w:val="21"/>
          <w:lang w:eastAsia="en-GB"/>
        </w:rPr>
        <w:t>Biennially</w:t>
      </w:r>
      <w:r w:rsidRPr="009F0E44">
        <w:rPr>
          <w:rFonts w:eastAsia="Times New Roman" w:cs="Times New Roman"/>
          <w:color w:val="4A4A4A"/>
          <w:sz w:val="21"/>
          <w:szCs w:val="21"/>
          <w:lang w:eastAsia="en-GB"/>
        </w:rPr>
        <w:t xml:space="preserve"> thereafter.</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0869A77F" w:rsidR="00576CFA" w:rsidRPr="00A96255" w:rsidRDefault="007B38F4" w:rsidP="00576CFA">
      <w:pPr>
        <w:pStyle w:val="MText"/>
      </w:pPr>
      <w:r>
        <w:t>Data will be provided by countries.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2C73F783" w:rsidR="00576CFA" w:rsidRPr="00A96255" w:rsidRDefault="007B38F4" w:rsidP="00576CFA">
      <w:pPr>
        <w:pStyle w:val="MText"/>
      </w:pPr>
      <w:r>
        <w:rPr>
          <w:lang w:val="en-US"/>
        </w:rPr>
        <w:t xml:space="preserve">United Nations Environment </w:t>
      </w:r>
      <w:proofErr w:type="spellStart"/>
      <w:r>
        <w:rPr>
          <w:lang w:val="en-US"/>
        </w:rPr>
        <w:t>Programme</w:t>
      </w:r>
      <w:proofErr w:type="spellEnd"/>
      <w:r w:rsidR="00661FD3">
        <w:rPr>
          <w:lang w:val="en-US"/>
        </w:rPr>
        <w:t xml:space="preserve"> (UNEP)</w:t>
      </w:r>
      <w:r>
        <w:rPr>
          <w:lang w:val="en-US"/>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7376858" w14:textId="77777777" w:rsidR="007B38F4" w:rsidRDefault="007B38F4" w:rsidP="007B38F4">
      <w:pPr>
        <w:pStyle w:val="MText"/>
      </w:pPr>
      <w:r>
        <w:t xml:space="preserve">Enhancing policy coherence for sustainable development is important for achieving sustainable development in its three dimensions (economic, social and environmental) in a balanced and integrated manner; for ensuring coherence between policies at various levels of government; and for ensuring that policies in different sectors are mutually supportive and do not work against each other. It is also important in addressing the impacts of domestic policy internationally. </w:t>
      </w:r>
    </w:p>
    <w:p w14:paraId="43AABE7A" w14:textId="77777777" w:rsidR="007B38F4" w:rsidRDefault="007B38F4" w:rsidP="007B38F4">
      <w:pPr>
        <w:pStyle w:val="MText"/>
      </w:pPr>
    </w:p>
    <w:p w14:paraId="085A253E" w14:textId="77777777" w:rsidR="007B38F4" w:rsidRDefault="007B38F4" w:rsidP="007B38F4">
      <w:pPr>
        <w:pStyle w:val="MText"/>
      </w:pPr>
      <w:r>
        <w:t xml:space="preserve">Policy coherence aims, as a minimum, to identify trade-offs and mitigate negative impacts between policies. At a more ambitious level, it should also aim to foster synergies and produce policies that mutually reinforce each other. </w:t>
      </w:r>
    </w:p>
    <w:p w14:paraId="0AD7EEA2" w14:textId="0553639D" w:rsidR="00576CFA" w:rsidRPr="00A96255" w:rsidRDefault="007B38F4" w:rsidP="007B38F4">
      <w:pPr>
        <w:pStyle w:val="MText"/>
      </w:pPr>
      <w:r>
        <w:t>At a more ambitious level, it should also aim to foster synergies and produce policies that mutually reinforce each other, and to ensure that policies put in place are implementable and sustainable as they are inclusive of the concerned stakeholders’ perspectives.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0E143D56" w:rsidR="00576CFA" w:rsidRPr="00A96255" w:rsidRDefault="007B38F4" w:rsidP="00576CFA">
      <w:pPr>
        <w:pStyle w:val="MText"/>
      </w:pPr>
      <w:r w:rsidRPr="007B38F4">
        <w:t xml:space="preserve">There are many mechanisms that could be useful to assess at the national level which would be relevant to enhance policy coherence for sustainable development. This methodology aims to provide a basis for countries to engage in discussions around what policy coherence means at the national level and how it could be improved. Such discussions and strategies to improve policy coherence that may results from it </w:t>
      </w:r>
      <w:proofErr w:type="gramStart"/>
      <w:r w:rsidRPr="007B38F4">
        <w:t>could  feed</w:t>
      </w:r>
      <w:proofErr w:type="gramEnd"/>
      <w:r w:rsidRPr="007B38F4">
        <w:t xml:space="preserve"> into a country Voluntary National Review (VNR) or National Development Strategy or Plan development, to inform further efforts by the country to improve its ability to implement Agenda 2030 through better policy coherence. This document should be considered a living document which is regularly updated with the country experiences in putting in place and assessing mechanisms for policy coherence. These experiences, and related challenges, lessons learned and solutions, can be shared so that UNEP as custodian agency, with partners, can further refine this methodology and disseminated it not only as a tool to enable effective reporting but also to support national efforts toward policy coherence.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CBF666B" w14:textId="77777777" w:rsidR="007B38F4" w:rsidRDefault="007B38F4" w:rsidP="007B38F4">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UNEP has developed a composite indicator framework for SDG 17.14.1 based on initial research on existing work, literature, partners and existing indicators on similar issues. This indicator includes 8 </w:t>
      </w:r>
      <w:r>
        <w:rPr>
          <w:rFonts w:eastAsia="Times New Roman" w:cs="Times New Roman"/>
          <w:color w:val="4A4A4A"/>
          <w:sz w:val="21"/>
          <w:szCs w:val="21"/>
          <w:lang w:eastAsia="en-GB"/>
        </w:rPr>
        <w:lastRenderedPageBreak/>
        <w:t xml:space="preserve">domains. Each is scored on a </w:t>
      </w:r>
      <w:proofErr w:type="gramStart"/>
      <w:r>
        <w:rPr>
          <w:rFonts w:eastAsia="Times New Roman" w:cs="Times New Roman"/>
          <w:color w:val="4A4A4A"/>
          <w:sz w:val="21"/>
          <w:szCs w:val="21"/>
          <w:lang w:eastAsia="en-GB"/>
        </w:rPr>
        <w:t>0-10 point</w:t>
      </w:r>
      <w:proofErr w:type="gramEnd"/>
      <w:r>
        <w:rPr>
          <w:rFonts w:eastAsia="Times New Roman" w:cs="Times New Roman"/>
          <w:color w:val="4A4A4A"/>
          <w:sz w:val="21"/>
          <w:szCs w:val="21"/>
          <w:lang w:eastAsia="en-GB"/>
        </w:rPr>
        <w:t xml:space="preserve"> scale. The percentage of points out of the total 80 points is then computed for each country. It is recommended that Governments convene a stakeholder group for self-scoring. The below table can be used for scoring.  Full details are in the document “Methodology for SDG-indicator 17.14.1: Mechanisms in place to enhance policy coherence for sustainable development”.</w:t>
      </w:r>
    </w:p>
    <w:tbl>
      <w:tblPr>
        <w:tblpPr w:leftFromText="180" w:rightFromText="180" w:bottomFromText="200" w:vertAnchor="text" w:horzAnchor="margin" w:tblpY="22"/>
        <w:tblOverlap w:val="never"/>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6753"/>
        <w:gridCol w:w="810"/>
        <w:gridCol w:w="810"/>
      </w:tblGrid>
      <w:tr w:rsidR="009F0E44" w14:paraId="7DAE9D81" w14:textId="77777777" w:rsidTr="009F0E44">
        <w:trPr>
          <w:trHeight w:val="77"/>
        </w:trPr>
        <w:tc>
          <w:tcPr>
            <w:tcW w:w="1617" w:type="dxa"/>
            <w:tcBorders>
              <w:top w:val="single" w:sz="4" w:space="0" w:color="auto"/>
              <w:left w:val="single" w:sz="4" w:space="0" w:color="auto"/>
              <w:bottom w:val="single" w:sz="4" w:space="0" w:color="auto"/>
              <w:right w:val="single" w:sz="4" w:space="0" w:color="auto"/>
            </w:tcBorders>
            <w:noWrap/>
            <w:vAlign w:val="bottom"/>
            <w:hideMark/>
          </w:tcPr>
          <w:p w14:paraId="0FF473BE" w14:textId="77777777" w:rsidR="009F0E44" w:rsidRDefault="009F0E44" w:rsidP="009F0E44">
            <w:pPr>
              <w:spacing w:after="0"/>
              <w:rPr>
                <w:rFonts w:ascii="Roboto" w:eastAsia="Times New Roman" w:hAnsi="Roboto" w:cstheme="minorHAnsi"/>
                <w:b/>
                <w:bCs/>
                <w:color w:val="000000"/>
                <w:sz w:val="16"/>
                <w:szCs w:val="16"/>
              </w:rPr>
            </w:pPr>
            <w:r>
              <w:rPr>
                <w:rFonts w:ascii="Roboto" w:eastAsia="Times New Roman" w:hAnsi="Roboto" w:cstheme="minorHAnsi"/>
                <w:b/>
                <w:bCs/>
                <w:color w:val="000000"/>
                <w:sz w:val="16"/>
                <w:szCs w:val="16"/>
              </w:rPr>
              <w:t>T</w:t>
            </w:r>
            <w:r>
              <w:rPr>
                <w:rFonts w:ascii="Roboto" w:eastAsia="Times New Roman" w:hAnsi="Roboto" w:cstheme="minorHAnsi"/>
                <w:b/>
                <w:bCs/>
                <w:sz w:val="16"/>
                <w:szCs w:val="16"/>
              </w:rPr>
              <w:t xml:space="preserve">heme </w:t>
            </w:r>
          </w:p>
        </w:tc>
        <w:tc>
          <w:tcPr>
            <w:tcW w:w="6753" w:type="dxa"/>
            <w:tcBorders>
              <w:top w:val="single" w:sz="4" w:space="0" w:color="auto"/>
              <w:left w:val="single" w:sz="4" w:space="0" w:color="auto"/>
              <w:bottom w:val="single" w:sz="4" w:space="0" w:color="auto"/>
              <w:right w:val="single" w:sz="4" w:space="0" w:color="auto"/>
            </w:tcBorders>
            <w:hideMark/>
          </w:tcPr>
          <w:p w14:paraId="3008F3A6" w14:textId="77777777" w:rsidR="009F0E44" w:rsidRDefault="009F0E44" w:rsidP="009F0E44">
            <w:pPr>
              <w:spacing w:after="0"/>
              <w:rPr>
                <w:rFonts w:ascii="Roboto" w:eastAsia="Times New Roman" w:hAnsi="Roboto" w:cstheme="minorHAnsi"/>
                <w:b/>
                <w:bCs/>
                <w:color w:val="000000"/>
                <w:sz w:val="16"/>
                <w:szCs w:val="16"/>
              </w:rPr>
            </w:pPr>
            <w:r>
              <w:rPr>
                <w:rFonts w:ascii="Roboto" w:eastAsia="Times New Roman" w:hAnsi="Roboto" w:cstheme="minorHAnsi"/>
                <w:b/>
                <w:bCs/>
                <w:color w:val="000000"/>
                <w:sz w:val="16"/>
                <w:szCs w:val="16"/>
              </w:rPr>
              <w:t>Domain</w:t>
            </w:r>
          </w:p>
        </w:tc>
        <w:tc>
          <w:tcPr>
            <w:tcW w:w="810" w:type="dxa"/>
            <w:tcBorders>
              <w:top w:val="single" w:sz="4" w:space="0" w:color="auto"/>
              <w:left w:val="single" w:sz="4" w:space="0" w:color="auto"/>
              <w:bottom w:val="single" w:sz="4" w:space="0" w:color="auto"/>
              <w:right w:val="single" w:sz="4" w:space="0" w:color="auto"/>
            </w:tcBorders>
            <w:hideMark/>
          </w:tcPr>
          <w:p w14:paraId="627806E9" w14:textId="77777777" w:rsidR="009F0E44" w:rsidRDefault="009F0E44" w:rsidP="009F0E44">
            <w:pPr>
              <w:spacing w:after="0"/>
              <w:jc w:val="center"/>
              <w:rPr>
                <w:rFonts w:ascii="Roboto" w:eastAsia="Times New Roman" w:hAnsi="Roboto" w:cstheme="minorHAnsi"/>
                <w:b/>
                <w:bCs/>
                <w:color w:val="000000"/>
                <w:sz w:val="16"/>
                <w:szCs w:val="16"/>
              </w:rPr>
            </w:pPr>
            <w:r>
              <w:rPr>
                <w:rFonts w:ascii="Roboto" w:eastAsia="Times New Roman" w:hAnsi="Roboto" w:cstheme="minorHAnsi"/>
                <w:b/>
                <w:bCs/>
                <w:color w:val="000000"/>
                <w:sz w:val="16"/>
                <w:szCs w:val="16"/>
              </w:rPr>
              <w:t xml:space="preserve">Points </w:t>
            </w:r>
          </w:p>
        </w:tc>
        <w:tc>
          <w:tcPr>
            <w:tcW w:w="810" w:type="dxa"/>
            <w:tcBorders>
              <w:top w:val="single" w:sz="4" w:space="0" w:color="auto"/>
              <w:left w:val="single" w:sz="4" w:space="0" w:color="auto"/>
              <w:bottom w:val="single" w:sz="4" w:space="0" w:color="auto"/>
              <w:right w:val="single" w:sz="4" w:space="0" w:color="auto"/>
            </w:tcBorders>
            <w:hideMark/>
          </w:tcPr>
          <w:p w14:paraId="31AE1028" w14:textId="77777777" w:rsidR="009F0E44" w:rsidRDefault="009F0E44" w:rsidP="009F0E44">
            <w:pPr>
              <w:spacing w:after="0"/>
              <w:jc w:val="center"/>
              <w:rPr>
                <w:rFonts w:ascii="Roboto" w:eastAsia="Times New Roman" w:hAnsi="Roboto" w:cstheme="minorHAnsi"/>
                <w:b/>
                <w:bCs/>
                <w:color w:val="000000"/>
                <w:sz w:val="16"/>
                <w:szCs w:val="16"/>
              </w:rPr>
            </w:pPr>
            <w:r>
              <w:rPr>
                <w:rFonts w:ascii="Roboto" w:eastAsia="Times New Roman" w:hAnsi="Roboto" w:cstheme="minorHAnsi"/>
                <w:b/>
                <w:bCs/>
                <w:color w:val="000000"/>
                <w:sz w:val="16"/>
                <w:szCs w:val="16"/>
              </w:rPr>
              <w:t>Score</w:t>
            </w:r>
          </w:p>
        </w:tc>
      </w:tr>
      <w:tr w:rsidR="009F0E44" w14:paraId="0CA603BA" w14:textId="77777777" w:rsidTr="009F0E44">
        <w:trPr>
          <w:trHeight w:val="150"/>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2EDD48F0" w14:textId="77777777" w:rsidR="009F0E44" w:rsidRDefault="009F0E44" w:rsidP="009F0E44">
            <w:pPr>
              <w:spacing w:after="0"/>
              <w:rPr>
                <w:rFonts w:ascii="Roboto" w:eastAsia="Times New Roman" w:hAnsi="Roboto" w:cstheme="minorHAnsi"/>
                <w:bCs/>
                <w:i/>
                <w:iCs/>
                <w:color w:val="244061" w:themeColor="accent1" w:themeShade="80"/>
                <w:sz w:val="16"/>
                <w:szCs w:val="16"/>
              </w:rPr>
            </w:pPr>
            <w:r>
              <w:rPr>
                <w:rStyle w:val="Heading4Char"/>
                <w:rFonts w:ascii="Roboto" w:hAnsi="Roboto" w:cstheme="minorHAnsi"/>
                <w:bCs/>
                <w:i w:val="0"/>
                <w:iCs w:val="0"/>
                <w:color w:val="244061" w:themeColor="accent1" w:themeShade="80"/>
                <w:sz w:val="16"/>
                <w:szCs w:val="16"/>
              </w:rPr>
              <w:t>1. Institutionalized political commitment</w:t>
            </w:r>
          </w:p>
        </w:tc>
        <w:tc>
          <w:tcPr>
            <w:tcW w:w="6753" w:type="dxa"/>
            <w:tcBorders>
              <w:top w:val="single" w:sz="4" w:space="0" w:color="auto"/>
              <w:left w:val="single" w:sz="4" w:space="0" w:color="auto"/>
              <w:bottom w:val="single" w:sz="4" w:space="0" w:color="auto"/>
              <w:right w:val="single" w:sz="4" w:space="0" w:color="auto"/>
            </w:tcBorders>
            <w:hideMark/>
          </w:tcPr>
          <w:p w14:paraId="7A43E864" w14:textId="77777777" w:rsidR="009F0E44" w:rsidRDefault="009F0E44" w:rsidP="009F0E44">
            <w:pPr>
              <w:spacing w:after="0"/>
              <w:rPr>
                <w:rFonts w:ascii="Roboto" w:eastAsia="Times New Roman" w:hAnsi="Roboto" w:cstheme="minorHAnsi"/>
                <w:bCs/>
                <w:i/>
                <w:iCs/>
                <w:color w:val="244061" w:themeColor="accent1" w:themeShade="80"/>
                <w:sz w:val="16"/>
                <w:szCs w:val="16"/>
              </w:rPr>
            </w:pPr>
            <w:r>
              <w:rPr>
                <w:rStyle w:val="Heading4Char"/>
                <w:rFonts w:ascii="Roboto" w:hAnsi="Roboto" w:cstheme="minorHAnsi"/>
                <w:bCs/>
                <w:i w:val="0"/>
                <w:iCs w:val="0"/>
                <w:color w:val="244061" w:themeColor="accent1" w:themeShade="80"/>
                <w:sz w:val="16"/>
                <w:szCs w:val="16"/>
              </w:rPr>
              <w:t>Political commitment expressed/endorsed by the highest level</w:t>
            </w:r>
          </w:p>
        </w:tc>
        <w:tc>
          <w:tcPr>
            <w:tcW w:w="810" w:type="dxa"/>
            <w:tcBorders>
              <w:top w:val="single" w:sz="4" w:space="0" w:color="auto"/>
              <w:left w:val="single" w:sz="4" w:space="0" w:color="auto"/>
              <w:bottom w:val="single" w:sz="4" w:space="0" w:color="auto"/>
              <w:right w:val="single" w:sz="4" w:space="0" w:color="auto"/>
            </w:tcBorders>
            <w:hideMark/>
          </w:tcPr>
          <w:p w14:paraId="1A372FEE"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52366AA4"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2E3783CC" w14:textId="77777777" w:rsidTr="009F0E44">
        <w:trPr>
          <w:trHeight w:val="150"/>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57E9AA7F" w14:textId="77777777" w:rsidR="009F0E44" w:rsidRDefault="009F0E44" w:rsidP="009F0E44">
            <w:pPr>
              <w:spacing w:after="0"/>
              <w:rPr>
                <w:rFonts w:ascii="Roboto" w:eastAsia="Times New Roman" w:hAnsi="Roboto" w:cstheme="minorHAnsi"/>
                <w:bCs/>
                <w:i/>
                <w:iCs/>
                <w:color w:val="244061" w:themeColor="accent1" w:themeShade="80"/>
                <w:sz w:val="16"/>
                <w:szCs w:val="16"/>
              </w:rPr>
            </w:pPr>
          </w:p>
        </w:tc>
        <w:tc>
          <w:tcPr>
            <w:tcW w:w="6753" w:type="dxa"/>
            <w:tcBorders>
              <w:top w:val="single" w:sz="4" w:space="0" w:color="auto"/>
              <w:left w:val="single" w:sz="4" w:space="0" w:color="auto"/>
              <w:bottom w:val="single" w:sz="4" w:space="0" w:color="auto"/>
              <w:right w:val="single" w:sz="4" w:space="0" w:color="auto"/>
            </w:tcBorders>
            <w:hideMark/>
          </w:tcPr>
          <w:p w14:paraId="3A3E9F42"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Additional specific commitments (1 point each, maximum of 5 points): </w:t>
            </w:r>
          </w:p>
          <w:p w14:paraId="0F7067A5"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Set timelines for the achievement of policy coherence objectives;</w:t>
            </w:r>
          </w:p>
          <w:p w14:paraId="6644CF0D"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A dedicated budget;</w:t>
            </w:r>
          </w:p>
          <w:p w14:paraId="78C802B5"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Defined roles and responsibilities;</w:t>
            </w:r>
          </w:p>
          <w:p w14:paraId="2C1CC38E"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Regular reporting mechanism;</w:t>
            </w:r>
          </w:p>
          <w:p w14:paraId="6686E458"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Explicit consideration of international commitments; </w:t>
            </w:r>
          </w:p>
          <w:p w14:paraId="5FF2E1ED" w14:textId="77777777" w:rsidR="009F0E44" w:rsidRDefault="009F0E44" w:rsidP="009F0E44">
            <w:pPr>
              <w:spacing w:after="0"/>
              <w:rPr>
                <w:rFonts w:eastAsia="Times New Roman"/>
              </w:rPr>
            </w:pPr>
            <w:r>
              <w:rPr>
                <w:rStyle w:val="Heading4Char"/>
                <w:rFonts w:ascii="Roboto" w:hAnsi="Roboto" w:cstheme="minorHAnsi"/>
                <w:bCs/>
                <w:i w:val="0"/>
                <w:iCs w:val="0"/>
                <w:color w:val="244061" w:themeColor="accent1" w:themeShade="80"/>
                <w:sz w:val="16"/>
                <w:szCs w:val="16"/>
              </w:rPr>
              <w:t>• Other nationally relevant commitment.</w:t>
            </w:r>
          </w:p>
        </w:tc>
        <w:tc>
          <w:tcPr>
            <w:tcW w:w="810" w:type="dxa"/>
            <w:tcBorders>
              <w:top w:val="single" w:sz="4" w:space="0" w:color="auto"/>
              <w:left w:val="single" w:sz="4" w:space="0" w:color="auto"/>
              <w:bottom w:val="single" w:sz="4" w:space="0" w:color="auto"/>
              <w:right w:val="single" w:sz="4" w:space="0" w:color="auto"/>
            </w:tcBorders>
            <w:hideMark/>
          </w:tcPr>
          <w:p w14:paraId="03D238C3"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32D84764"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1ADB4A7E" w14:textId="77777777" w:rsidTr="009F0E44">
        <w:trPr>
          <w:trHeight w:val="156"/>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22C7F2FE" w14:textId="77777777" w:rsidR="009F0E44" w:rsidRDefault="009F0E44" w:rsidP="009F0E44">
            <w:pPr>
              <w:spacing w:after="0"/>
              <w:rPr>
                <w:rFonts w:eastAsia="Times New Roman"/>
              </w:rPr>
            </w:pPr>
            <w:r>
              <w:rPr>
                <w:rFonts w:ascii="Roboto" w:hAnsi="Roboto" w:cstheme="minorHAnsi"/>
                <w:bCs/>
                <w:color w:val="244061" w:themeColor="accent1" w:themeShade="80"/>
                <w:sz w:val="16"/>
                <w:szCs w:val="16"/>
              </w:rPr>
              <w:t>2</w:t>
            </w:r>
            <w:r>
              <w:rPr>
                <w:rFonts w:ascii="Roboto" w:hAnsi="Roboto" w:cstheme="minorHAnsi"/>
                <w:sz w:val="16"/>
                <w:szCs w:val="16"/>
              </w:rPr>
              <w:t xml:space="preserve">. </w:t>
            </w:r>
            <w:r>
              <w:rPr>
                <w:rFonts w:ascii="Roboto" w:hAnsi="Roboto" w:cstheme="minorHAnsi"/>
                <w:bCs/>
                <w:color w:val="244061" w:themeColor="accent1" w:themeShade="80"/>
                <w:sz w:val="16"/>
                <w:szCs w:val="16"/>
              </w:rPr>
              <w:t xml:space="preserve">Long-term considerations </w:t>
            </w:r>
          </w:p>
        </w:tc>
        <w:tc>
          <w:tcPr>
            <w:tcW w:w="6753" w:type="dxa"/>
            <w:tcBorders>
              <w:top w:val="single" w:sz="4" w:space="0" w:color="auto"/>
              <w:left w:val="single" w:sz="4" w:space="0" w:color="auto"/>
              <w:bottom w:val="single" w:sz="4" w:space="0" w:color="auto"/>
              <w:right w:val="single" w:sz="4" w:space="0" w:color="auto"/>
            </w:tcBorders>
            <w:hideMark/>
          </w:tcPr>
          <w:p w14:paraId="6BC1B17E" w14:textId="77777777" w:rsidR="009F0E44" w:rsidRDefault="009F0E44" w:rsidP="009F0E44">
            <w:pPr>
              <w:spacing w:after="0"/>
              <w:rPr>
                <w:rFonts w:ascii="Roboto" w:eastAsia="Times New Roman" w:hAnsi="Roboto" w:cstheme="minorHAnsi"/>
                <w:bCs/>
                <w:color w:val="244061" w:themeColor="accent1" w:themeShade="80"/>
                <w:sz w:val="16"/>
                <w:szCs w:val="16"/>
              </w:rPr>
            </w:pPr>
            <w:r>
              <w:rPr>
                <w:rStyle w:val="Heading4Char"/>
                <w:rFonts w:ascii="Roboto" w:hAnsi="Roboto" w:cstheme="minorHAnsi"/>
                <w:bCs/>
                <w:i w:val="0"/>
                <w:iCs w:val="0"/>
                <w:color w:val="244061" w:themeColor="accent1" w:themeShade="80"/>
                <w:sz w:val="16"/>
                <w:szCs w:val="16"/>
              </w:rPr>
              <w:t>Long-term objectives going beyond the current electoral cycle included in national strategies</w:t>
            </w:r>
          </w:p>
        </w:tc>
        <w:tc>
          <w:tcPr>
            <w:tcW w:w="810" w:type="dxa"/>
            <w:tcBorders>
              <w:top w:val="single" w:sz="4" w:space="0" w:color="auto"/>
              <w:left w:val="single" w:sz="4" w:space="0" w:color="auto"/>
              <w:bottom w:val="single" w:sz="4" w:space="0" w:color="auto"/>
              <w:right w:val="single" w:sz="4" w:space="0" w:color="auto"/>
            </w:tcBorders>
            <w:hideMark/>
          </w:tcPr>
          <w:p w14:paraId="00C329F6"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5A2D6728"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68A4A653" w14:textId="77777777" w:rsidTr="009F0E44">
        <w:trPr>
          <w:trHeight w:val="156"/>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69C5845C" w14:textId="77777777" w:rsidR="009F0E44" w:rsidRDefault="009F0E44" w:rsidP="009F0E44">
            <w:pPr>
              <w:spacing w:after="0"/>
              <w:rPr>
                <w:rFonts w:eastAsia="Times New Roman"/>
              </w:rPr>
            </w:pPr>
          </w:p>
        </w:tc>
        <w:tc>
          <w:tcPr>
            <w:tcW w:w="6753" w:type="dxa"/>
            <w:tcBorders>
              <w:top w:val="single" w:sz="4" w:space="0" w:color="auto"/>
              <w:left w:val="single" w:sz="4" w:space="0" w:color="auto"/>
              <w:bottom w:val="single" w:sz="4" w:space="0" w:color="auto"/>
              <w:right w:val="single" w:sz="4" w:space="0" w:color="auto"/>
            </w:tcBorders>
            <w:hideMark/>
          </w:tcPr>
          <w:p w14:paraId="5973AD4A"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Additional specific mechanisms (1 point each, maximum of 5 points): </w:t>
            </w:r>
          </w:p>
          <w:p w14:paraId="45CBD0FD"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A commissioner, council or ombudsperson for future generations; </w:t>
            </w:r>
          </w:p>
          <w:p w14:paraId="371D6356"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Other mechanisms of scrutiny or oversight on possible future effects; </w:t>
            </w:r>
          </w:p>
          <w:p w14:paraId="7D78A385"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Mechanisms for regular appraisal of policies; </w:t>
            </w:r>
          </w:p>
          <w:p w14:paraId="182617E2"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Impact assessment mechanisms; and </w:t>
            </w:r>
          </w:p>
          <w:p w14:paraId="086F089B" w14:textId="77777777" w:rsidR="009F0E44" w:rsidRDefault="009F0E44" w:rsidP="009F0E44">
            <w:pPr>
              <w:spacing w:after="0"/>
              <w:rPr>
                <w:rFonts w:eastAsiaTheme="majorEastAsia"/>
              </w:rPr>
            </w:pPr>
            <w:r>
              <w:rPr>
                <w:rStyle w:val="Heading4Char"/>
                <w:rFonts w:ascii="Roboto" w:hAnsi="Roboto" w:cstheme="minorHAnsi"/>
                <w:bCs/>
                <w:i w:val="0"/>
                <w:iCs w:val="0"/>
                <w:color w:val="244061" w:themeColor="accent1" w:themeShade="80"/>
                <w:sz w:val="16"/>
                <w:szCs w:val="16"/>
              </w:rPr>
              <w:t>• Other nationally relevant factors.</w:t>
            </w:r>
          </w:p>
        </w:tc>
        <w:tc>
          <w:tcPr>
            <w:tcW w:w="810" w:type="dxa"/>
            <w:tcBorders>
              <w:top w:val="single" w:sz="4" w:space="0" w:color="auto"/>
              <w:left w:val="single" w:sz="4" w:space="0" w:color="auto"/>
              <w:bottom w:val="single" w:sz="4" w:space="0" w:color="auto"/>
              <w:right w:val="single" w:sz="4" w:space="0" w:color="auto"/>
            </w:tcBorders>
            <w:hideMark/>
          </w:tcPr>
          <w:p w14:paraId="26A9CB12"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5AE0442F"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169625E5" w14:textId="77777777" w:rsidTr="009F0E44">
        <w:trPr>
          <w:trHeight w:val="77"/>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0F8DA389"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3. Inter-ministerial and cross-sectoral coordination</w:t>
            </w:r>
          </w:p>
        </w:tc>
        <w:tc>
          <w:tcPr>
            <w:tcW w:w="6753" w:type="dxa"/>
            <w:tcBorders>
              <w:top w:val="single" w:sz="4" w:space="0" w:color="auto"/>
              <w:left w:val="single" w:sz="4" w:space="0" w:color="auto"/>
              <w:bottom w:val="single" w:sz="4" w:space="0" w:color="auto"/>
              <w:right w:val="single" w:sz="4" w:space="0" w:color="auto"/>
            </w:tcBorders>
            <w:hideMark/>
          </w:tcPr>
          <w:p w14:paraId="47C76907" w14:textId="77777777" w:rsidR="009F0E44" w:rsidRDefault="009F0E44" w:rsidP="009F0E44">
            <w:pPr>
              <w:spacing w:after="0"/>
              <w:rPr>
                <w:rFonts w:eastAsia="Times New Roman"/>
              </w:rPr>
            </w:pPr>
            <w:r>
              <w:rPr>
                <w:rStyle w:val="Heading4Char"/>
                <w:rFonts w:ascii="Roboto" w:hAnsi="Roboto" w:cstheme="minorHAnsi"/>
                <w:bCs/>
                <w:i w:val="0"/>
                <w:iCs w:val="0"/>
                <w:color w:val="244061" w:themeColor="accent1" w:themeShade="80"/>
                <w:sz w:val="16"/>
                <w:szCs w:val="16"/>
              </w:rPr>
              <w:t xml:space="preserve">National mechanism for regular coordination </w:t>
            </w:r>
          </w:p>
        </w:tc>
        <w:tc>
          <w:tcPr>
            <w:tcW w:w="810" w:type="dxa"/>
            <w:tcBorders>
              <w:top w:val="single" w:sz="4" w:space="0" w:color="auto"/>
              <w:left w:val="single" w:sz="4" w:space="0" w:color="auto"/>
              <w:bottom w:val="single" w:sz="4" w:space="0" w:color="auto"/>
              <w:right w:val="single" w:sz="4" w:space="0" w:color="auto"/>
            </w:tcBorders>
            <w:hideMark/>
          </w:tcPr>
          <w:p w14:paraId="48151C77"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6CF1E2C9"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70CA40DA" w14:textId="77777777" w:rsidTr="009F0E44">
        <w:trPr>
          <w:trHeight w:val="282"/>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193872D3" w14:textId="77777777" w:rsidR="009F0E44" w:rsidRDefault="009F0E44" w:rsidP="009F0E44">
            <w:pPr>
              <w:spacing w:after="0"/>
              <w:rPr>
                <w:rStyle w:val="Heading4Char"/>
                <w:rFonts w:ascii="Roboto" w:hAnsi="Roboto" w:cstheme="minorHAnsi"/>
                <w:bCs/>
                <w:color w:val="244061" w:themeColor="accent1" w:themeShade="80"/>
                <w:sz w:val="16"/>
                <w:szCs w:val="16"/>
              </w:rPr>
            </w:pPr>
          </w:p>
        </w:tc>
        <w:tc>
          <w:tcPr>
            <w:tcW w:w="6753" w:type="dxa"/>
            <w:tcBorders>
              <w:top w:val="single" w:sz="4" w:space="0" w:color="auto"/>
              <w:left w:val="single" w:sz="4" w:space="0" w:color="auto"/>
              <w:bottom w:val="single" w:sz="4" w:space="0" w:color="auto"/>
              <w:right w:val="single" w:sz="4" w:space="0" w:color="auto"/>
            </w:tcBorders>
            <w:hideMark/>
          </w:tcPr>
          <w:p w14:paraId="2599B7B6"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Additional elements (scored as follows): </w:t>
            </w:r>
          </w:p>
          <w:p w14:paraId="1529774B"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A mandate to make decisions regarding trade-offs (2 points);</w:t>
            </w:r>
          </w:p>
          <w:p w14:paraId="72D2383B"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Coordination body is convened by a centralized government body (1 point);</w:t>
            </w:r>
          </w:p>
          <w:p w14:paraId="05C43449"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Coordination at both political level and technical level (1 point);</w:t>
            </w:r>
          </w:p>
          <w:p w14:paraId="531689F1"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Mandate for aligning internal and external policies (1 point).</w:t>
            </w:r>
          </w:p>
        </w:tc>
        <w:tc>
          <w:tcPr>
            <w:tcW w:w="810" w:type="dxa"/>
            <w:tcBorders>
              <w:top w:val="single" w:sz="4" w:space="0" w:color="auto"/>
              <w:left w:val="single" w:sz="4" w:space="0" w:color="auto"/>
              <w:bottom w:val="single" w:sz="4" w:space="0" w:color="auto"/>
              <w:right w:val="single" w:sz="4" w:space="0" w:color="auto"/>
            </w:tcBorders>
            <w:hideMark/>
          </w:tcPr>
          <w:p w14:paraId="22B6CFF3"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5A54583F"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57581AD1" w14:textId="77777777" w:rsidTr="009F0E44">
        <w:trPr>
          <w:trHeight w:val="156"/>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1A26CE7A" w14:textId="77777777" w:rsidR="009F0E44" w:rsidRDefault="009F0E44" w:rsidP="009F0E44">
            <w:pPr>
              <w:spacing w:after="0"/>
              <w:ind w:right="400"/>
              <w:rPr>
                <w:rFonts w:eastAsia="Times New Roman"/>
              </w:rPr>
            </w:pPr>
            <w:r>
              <w:rPr>
                <w:rFonts w:ascii="Roboto" w:hAnsi="Roboto" w:cstheme="minorHAnsi"/>
                <w:bCs/>
                <w:color w:val="244061" w:themeColor="accent1" w:themeShade="80"/>
                <w:sz w:val="16"/>
                <w:szCs w:val="16"/>
              </w:rPr>
              <w:t>4</w:t>
            </w:r>
            <w:r>
              <w:rPr>
                <w:rFonts w:ascii="Roboto" w:hAnsi="Roboto" w:cstheme="minorHAnsi"/>
                <w:sz w:val="16"/>
                <w:szCs w:val="16"/>
              </w:rPr>
              <w:t xml:space="preserve">. </w:t>
            </w:r>
            <w:r>
              <w:rPr>
                <w:rFonts w:ascii="Roboto" w:hAnsi="Roboto" w:cstheme="minorHAnsi"/>
                <w:bCs/>
                <w:color w:val="244061" w:themeColor="accent1" w:themeShade="80"/>
                <w:sz w:val="16"/>
                <w:szCs w:val="16"/>
              </w:rPr>
              <w:t>Participatory processes</w:t>
            </w:r>
          </w:p>
        </w:tc>
        <w:tc>
          <w:tcPr>
            <w:tcW w:w="6753" w:type="dxa"/>
            <w:tcBorders>
              <w:top w:val="single" w:sz="4" w:space="0" w:color="auto"/>
              <w:left w:val="single" w:sz="4" w:space="0" w:color="auto"/>
              <w:bottom w:val="single" w:sz="4" w:space="0" w:color="auto"/>
              <w:right w:val="single" w:sz="4" w:space="0" w:color="auto"/>
            </w:tcBorders>
            <w:hideMark/>
          </w:tcPr>
          <w:p w14:paraId="5DCBEBB8" w14:textId="77777777" w:rsidR="009F0E44" w:rsidRDefault="009F0E44" w:rsidP="009F0E44">
            <w:pPr>
              <w:spacing w:after="0"/>
              <w:rPr>
                <w:rFonts w:ascii="Roboto" w:eastAsia="Times New Roman" w:hAnsi="Roboto" w:cstheme="minorHAnsi"/>
                <w:bCs/>
                <w:color w:val="244061" w:themeColor="accent1" w:themeShade="80"/>
                <w:sz w:val="16"/>
                <w:szCs w:val="16"/>
              </w:rPr>
            </w:pPr>
            <w:r>
              <w:rPr>
                <w:rStyle w:val="Heading4Char"/>
                <w:rFonts w:ascii="Roboto" w:hAnsi="Roboto" w:cstheme="minorHAnsi"/>
                <w:bCs/>
                <w:i w:val="0"/>
                <w:iCs w:val="0"/>
                <w:color w:val="244061" w:themeColor="accent1" w:themeShade="80"/>
                <w:sz w:val="16"/>
                <w:szCs w:val="16"/>
              </w:rPr>
              <w:t>Relevant stakeholders are consulted at the early stages of development of laws, policies, plans, etc.</w:t>
            </w:r>
          </w:p>
        </w:tc>
        <w:tc>
          <w:tcPr>
            <w:tcW w:w="810" w:type="dxa"/>
            <w:tcBorders>
              <w:top w:val="single" w:sz="4" w:space="0" w:color="auto"/>
              <w:left w:val="single" w:sz="4" w:space="0" w:color="auto"/>
              <w:bottom w:val="single" w:sz="4" w:space="0" w:color="auto"/>
              <w:right w:val="single" w:sz="4" w:space="0" w:color="auto"/>
            </w:tcBorders>
            <w:hideMark/>
          </w:tcPr>
          <w:p w14:paraId="731EE408"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031F0038"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4EF346D3" w14:textId="77777777" w:rsidTr="009F0E44">
        <w:trPr>
          <w:trHeight w:val="156"/>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6A099FCA" w14:textId="77777777" w:rsidR="009F0E44" w:rsidRDefault="009F0E44" w:rsidP="009F0E44">
            <w:pPr>
              <w:spacing w:after="0"/>
              <w:rPr>
                <w:rFonts w:eastAsia="Times New Roman"/>
              </w:rPr>
            </w:pPr>
          </w:p>
        </w:tc>
        <w:tc>
          <w:tcPr>
            <w:tcW w:w="6753" w:type="dxa"/>
            <w:tcBorders>
              <w:top w:val="single" w:sz="4" w:space="0" w:color="auto"/>
              <w:left w:val="single" w:sz="4" w:space="0" w:color="auto"/>
              <w:bottom w:val="single" w:sz="4" w:space="0" w:color="auto"/>
              <w:right w:val="single" w:sz="4" w:space="0" w:color="auto"/>
            </w:tcBorders>
            <w:hideMark/>
          </w:tcPr>
          <w:p w14:paraId="0E43ED64"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Additional elements (scored as follows): </w:t>
            </w:r>
          </w:p>
          <w:p w14:paraId="5EF6C31C"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Consultations take place in a comprehensive manner at various stages of the policy cycle (1 point);</w:t>
            </w:r>
          </w:p>
          <w:p w14:paraId="3BA7E256"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Institutions disclose the rationale for not including inputs from consultations (2 points);</w:t>
            </w:r>
          </w:p>
          <w:p w14:paraId="32A2DCED"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An accountability mechanism that allows public intervention (2 points).</w:t>
            </w:r>
          </w:p>
        </w:tc>
        <w:tc>
          <w:tcPr>
            <w:tcW w:w="810" w:type="dxa"/>
            <w:tcBorders>
              <w:top w:val="single" w:sz="4" w:space="0" w:color="auto"/>
              <w:left w:val="single" w:sz="4" w:space="0" w:color="auto"/>
              <w:bottom w:val="single" w:sz="4" w:space="0" w:color="auto"/>
              <w:right w:val="single" w:sz="4" w:space="0" w:color="auto"/>
            </w:tcBorders>
            <w:hideMark/>
          </w:tcPr>
          <w:p w14:paraId="2D024837"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4B9930D5"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3EF51F03" w14:textId="77777777" w:rsidTr="009F0E44">
        <w:trPr>
          <w:trHeight w:val="221"/>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65F0F89F" w14:textId="77777777" w:rsidR="009F0E44" w:rsidRDefault="009F0E44" w:rsidP="009F0E44">
            <w:pPr>
              <w:spacing w:after="0"/>
            </w:pPr>
            <w:r>
              <w:rPr>
                <w:rFonts w:ascii="Roboto" w:hAnsi="Roboto" w:cstheme="minorHAnsi"/>
                <w:bCs/>
                <w:color w:val="244061" w:themeColor="accent1" w:themeShade="80"/>
                <w:sz w:val="16"/>
                <w:szCs w:val="16"/>
              </w:rPr>
              <w:t>5</w:t>
            </w:r>
            <w:r>
              <w:rPr>
                <w:rFonts w:ascii="Roboto" w:hAnsi="Roboto" w:cstheme="minorHAnsi"/>
                <w:sz w:val="16"/>
                <w:szCs w:val="16"/>
              </w:rPr>
              <w:t xml:space="preserve">. </w:t>
            </w:r>
            <w:r>
              <w:rPr>
                <w:rFonts w:ascii="Roboto" w:hAnsi="Roboto" w:cstheme="minorHAnsi"/>
                <w:bCs/>
                <w:color w:val="244061" w:themeColor="accent1" w:themeShade="80"/>
                <w:sz w:val="16"/>
                <w:szCs w:val="16"/>
              </w:rPr>
              <w:t>Integration of the three dimensions of Sustainable Development, assessment of policy effects and linkages</w:t>
            </w:r>
          </w:p>
        </w:tc>
        <w:tc>
          <w:tcPr>
            <w:tcW w:w="6753" w:type="dxa"/>
            <w:tcBorders>
              <w:top w:val="single" w:sz="4" w:space="0" w:color="auto"/>
              <w:left w:val="single" w:sz="4" w:space="0" w:color="auto"/>
              <w:bottom w:val="single" w:sz="4" w:space="0" w:color="auto"/>
              <w:right w:val="single" w:sz="4" w:space="0" w:color="auto"/>
            </w:tcBorders>
            <w:hideMark/>
          </w:tcPr>
          <w:p w14:paraId="687EE225" w14:textId="77777777" w:rsidR="009F0E44" w:rsidRDefault="009F0E44" w:rsidP="009F0E44">
            <w:pPr>
              <w:spacing w:after="0"/>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 xml:space="preserve">A </w:t>
            </w:r>
            <w:proofErr w:type="gramStart"/>
            <w:r>
              <w:rPr>
                <w:rStyle w:val="Heading4Char"/>
                <w:rFonts w:ascii="Roboto" w:hAnsi="Roboto" w:cstheme="minorHAnsi"/>
                <w:bCs/>
                <w:i w:val="0"/>
                <w:iCs w:val="0"/>
                <w:color w:val="244061" w:themeColor="accent1" w:themeShade="80"/>
                <w:sz w:val="16"/>
                <w:szCs w:val="16"/>
              </w:rPr>
              <w:t>mechanism  for</w:t>
            </w:r>
            <w:proofErr w:type="gramEnd"/>
            <w:r>
              <w:rPr>
                <w:rStyle w:val="Heading4Char"/>
                <w:rFonts w:ascii="Roboto" w:hAnsi="Roboto" w:cstheme="minorHAnsi"/>
                <w:bCs/>
                <w:i w:val="0"/>
                <w:iCs w:val="0"/>
                <w:color w:val="244061" w:themeColor="accent1" w:themeShade="80"/>
                <w:sz w:val="16"/>
                <w:szCs w:val="16"/>
              </w:rPr>
              <w:t xml:space="preserve">  assessing and addressing issues in terms of the contribution of a policy (new or existing) to broader sustainable development, including transboundary elements.</w:t>
            </w:r>
          </w:p>
          <w:p w14:paraId="66B6A558" w14:textId="77777777" w:rsidR="009F0E44" w:rsidRDefault="009F0E44" w:rsidP="009F0E44">
            <w:pPr>
              <w:spacing w:after="0"/>
              <w:rPr>
                <w:rFonts w:eastAsia="Times New Roman"/>
              </w:rPr>
            </w:pPr>
            <w:r>
              <w:rPr>
                <w:rStyle w:val="Heading4Char"/>
                <w:rFonts w:ascii="Roboto" w:hAnsi="Roboto" w:cstheme="minorHAnsi"/>
                <w:bCs/>
                <w:i w:val="0"/>
                <w:iCs w:val="0"/>
                <w:color w:val="244061" w:themeColor="accent1" w:themeShade="80"/>
                <w:sz w:val="16"/>
                <w:szCs w:val="16"/>
              </w:rPr>
              <w:t xml:space="preserve"> </w:t>
            </w:r>
          </w:p>
        </w:tc>
        <w:tc>
          <w:tcPr>
            <w:tcW w:w="810" w:type="dxa"/>
            <w:tcBorders>
              <w:top w:val="single" w:sz="4" w:space="0" w:color="auto"/>
              <w:left w:val="single" w:sz="4" w:space="0" w:color="auto"/>
              <w:bottom w:val="single" w:sz="4" w:space="0" w:color="auto"/>
              <w:right w:val="single" w:sz="4" w:space="0" w:color="auto"/>
            </w:tcBorders>
            <w:hideMark/>
          </w:tcPr>
          <w:p w14:paraId="07F1FD22"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6988C4DC"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3647EA61" w14:textId="77777777" w:rsidTr="009F0E44">
        <w:trPr>
          <w:trHeight w:val="1607"/>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5CB38FED" w14:textId="77777777" w:rsidR="009F0E44" w:rsidRDefault="009F0E44" w:rsidP="009F0E44">
            <w:pPr>
              <w:spacing w:after="0"/>
            </w:pPr>
          </w:p>
        </w:tc>
        <w:tc>
          <w:tcPr>
            <w:tcW w:w="6753" w:type="dxa"/>
            <w:tcBorders>
              <w:top w:val="single" w:sz="4" w:space="0" w:color="auto"/>
              <w:left w:val="single" w:sz="4" w:space="0" w:color="auto"/>
              <w:bottom w:val="single" w:sz="4" w:space="0" w:color="auto"/>
              <w:right w:val="single" w:sz="4" w:space="0" w:color="auto"/>
            </w:tcBorders>
            <w:hideMark/>
          </w:tcPr>
          <w:p w14:paraId="6FA56F21"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Additional mechanisms (1 point each, maximum of 5 points): </w:t>
            </w:r>
          </w:p>
          <w:p w14:paraId="38A544BE"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The application of the above mechanisms at all levels of government;</w:t>
            </w:r>
          </w:p>
          <w:p w14:paraId="374AFB53"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An indicator framework for tracking policy effectiveness towards sustainable development; </w:t>
            </w:r>
          </w:p>
          <w:p w14:paraId="529871DF"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Cost-benefit analysis of policy impacts across all sectors;</w:t>
            </w:r>
          </w:p>
          <w:p w14:paraId="3D55663B"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The identification of measures to mitigate potentially negative effects and to optimize synergies as part of policy and planning;</w:t>
            </w:r>
          </w:p>
          <w:p w14:paraId="103FC6B2"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The consideration of international spill-overs, such as cross-border and international impacts; and </w:t>
            </w:r>
          </w:p>
          <w:p w14:paraId="79B6454C"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Other nationally relevant mechanisms.</w:t>
            </w:r>
          </w:p>
        </w:tc>
        <w:tc>
          <w:tcPr>
            <w:tcW w:w="810" w:type="dxa"/>
            <w:tcBorders>
              <w:top w:val="single" w:sz="4" w:space="0" w:color="auto"/>
              <w:left w:val="single" w:sz="4" w:space="0" w:color="auto"/>
              <w:bottom w:val="single" w:sz="4" w:space="0" w:color="auto"/>
              <w:right w:val="single" w:sz="4" w:space="0" w:color="auto"/>
            </w:tcBorders>
            <w:hideMark/>
          </w:tcPr>
          <w:p w14:paraId="608D5C02"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2A0FAC0B"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18A58F1E" w14:textId="77777777" w:rsidTr="009F0E44">
        <w:trPr>
          <w:trHeight w:val="513"/>
        </w:trPr>
        <w:tc>
          <w:tcPr>
            <w:tcW w:w="1617" w:type="dxa"/>
            <w:tcBorders>
              <w:top w:val="single" w:sz="4" w:space="0" w:color="auto"/>
              <w:left w:val="single" w:sz="4" w:space="0" w:color="auto"/>
              <w:bottom w:val="single" w:sz="4" w:space="0" w:color="auto"/>
              <w:right w:val="single" w:sz="4" w:space="0" w:color="auto"/>
            </w:tcBorders>
            <w:noWrap/>
            <w:vAlign w:val="center"/>
            <w:hideMark/>
          </w:tcPr>
          <w:p w14:paraId="7FF7508B" w14:textId="77777777" w:rsidR="009F0E44" w:rsidRDefault="009F0E44" w:rsidP="009F0E44">
            <w:pPr>
              <w:spacing w:after="0"/>
            </w:pPr>
            <w:r>
              <w:rPr>
                <w:rFonts w:ascii="Roboto" w:hAnsi="Roboto" w:cstheme="minorHAnsi"/>
                <w:bCs/>
                <w:color w:val="244061" w:themeColor="accent1" w:themeShade="80"/>
                <w:sz w:val="16"/>
                <w:szCs w:val="16"/>
              </w:rPr>
              <w:t>6</w:t>
            </w:r>
            <w:r>
              <w:rPr>
                <w:rFonts w:ascii="Roboto" w:hAnsi="Roboto" w:cstheme="minorHAnsi"/>
                <w:sz w:val="16"/>
                <w:szCs w:val="16"/>
              </w:rPr>
              <w:t xml:space="preserve">. </w:t>
            </w:r>
            <w:r>
              <w:rPr>
                <w:rFonts w:ascii="Roboto" w:hAnsi="Roboto" w:cstheme="minorHAnsi"/>
                <w:bCs/>
                <w:color w:val="244061" w:themeColor="accent1" w:themeShade="80"/>
                <w:sz w:val="16"/>
                <w:szCs w:val="16"/>
              </w:rPr>
              <w:t>Consultation and coordination across government levels</w:t>
            </w:r>
          </w:p>
        </w:tc>
        <w:tc>
          <w:tcPr>
            <w:tcW w:w="6753" w:type="dxa"/>
            <w:tcBorders>
              <w:top w:val="single" w:sz="4" w:space="0" w:color="auto"/>
              <w:left w:val="single" w:sz="4" w:space="0" w:color="auto"/>
              <w:bottom w:val="single" w:sz="4" w:space="0" w:color="auto"/>
              <w:right w:val="single" w:sz="4" w:space="0" w:color="auto"/>
            </w:tcBorders>
            <w:hideMark/>
          </w:tcPr>
          <w:p w14:paraId="4DD9E55F" w14:textId="77777777" w:rsidR="009F0E44" w:rsidRDefault="009F0E44" w:rsidP="009F0E44">
            <w:pPr>
              <w:spacing w:after="0"/>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 xml:space="preserve">Any of following mechanisms (5 points each, 10 points total – two mechanisms </w:t>
            </w:r>
            <w:proofErr w:type="gramStart"/>
            <w:r>
              <w:rPr>
                <w:rStyle w:val="Heading4Char"/>
                <w:rFonts w:ascii="Roboto" w:hAnsi="Roboto" w:cstheme="minorHAnsi"/>
                <w:bCs/>
                <w:i w:val="0"/>
                <w:iCs w:val="0"/>
                <w:color w:val="244061" w:themeColor="accent1" w:themeShade="80"/>
                <w:sz w:val="16"/>
                <w:szCs w:val="16"/>
              </w:rPr>
              <w:t>is</w:t>
            </w:r>
            <w:proofErr w:type="gramEnd"/>
            <w:r>
              <w:rPr>
                <w:rStyle w:val="Heading4Char"/>
                <w:rFonts w:ascii="Roboto" w:hAnsi="Roboto" w:cstheme="minorHAnsi"/>
                <w:bCs/>
                <w:i w:val="0"/>
                <w:iCs w:val="0"/>
                <w:color w:val="244061" w:themeColor="accent1" w:themeShade="80"/>
                <w:sz w:val="16"/>
                <w:szCs w:val="16"/>
              </w:rPr>
              <w:t xml:space="preserve"> enough for 10 points):</w:t>
            </w:r>
          </w:p>
          <w:p w14:paraId="3B415789"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xml:space="preserve">• Mechanisms to systematically collect the inputs of sub-national government entities; </w:t>
            </w:r>
          </w:p>
          <w:p w14:paraId="54C7FD6F"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Arrangements for regular formal exchange between central government and subnational levels;</w:t>
            </w:r>
          </w:p>
          <w:p w14:paraId="17525CED" w14:textId="77777777" w:rsidR="009F0E44" w:rsidRDefault="009F0E44" w:rsidP="009F0E44">
            <w:pPr>
              <w:spacing w:after="0"/>
              <w:rPr>
                <w:rFonts w:eastAsia="Times New Roman"/>
              </w:rPr>
            </w:pPr>
            <w:r>
              <w:rPr>
                <w:rStyle w:val="Heading4Char"/>
                <w:rFonts w:ascii="Roboto" w:hAnsi="Roboto" w:cstheme="minorHAnsi"/>
                <w:bCs/>
                <w:i w:val="0"/>
                <w:iCs w:val="0"/>
                <w:color w:val="244061" w:themeColor="accent1" w:themeShade="80"/>
                <w:sz w:val="16"/>
                <w:szCs w:val="16"/>
              </w:rPr>
              <w:t>• Mechanisms to ensure enhance substantive coherence (templates &amp; checklists</w:t>
            </w:r>
            <w:proofErr w:type="gramStart"/>
            <w:r>
              <w:rPr>
                <w:rStyle w:val="Heading4Char"/>
                <w:rFonts w:ascii="Roboto" w:hAnsi="Roboto" w:cstheme="minorHAnsi"/>
                <w:bCs/>
                <w:i w:val="0"/>
                <w:iCs w:val="0"/>
                <w:color w:val="244061" w:themeColor="accent1" w:themeShade="80"/>
                <w:sz w:val="16"/>
                <w:szCs w:val="16"/>
              </w:rPr>
              <w:t>);•</w:t>
            </w:r>
            <w:proofErr w:type="gramEnd"/>
            <w:r>
              <w:rPr>
                <w:rStyle w:val="Heading4Char"/>
                <w:rFonts w:ascii="Roboto" w:hAnsi="Roboto" w:cstheme="minorHAnsi"/>
                <w:bCs/>
                <w:i w:val="0"/>
                <w:iCs w:val="0"/>
                <w:color w:val="244061" w:themeColor="accent1" w:themeShade="80"/>
                <w:sz w:val="16"/>
                <w:szCs w:val="16"/>
              </w:rPr>
              <w:t xml:space="preserve"> Planning cycle timeframes that facilitate alignment.</w:t>
            </w:r>
          </w:p>
        </w:tc>
        <w:tc>
          <w:tcPr>
            <w:tcW w:w="810" w:type="dxa"/>
            <w:tcBorders>
              <w:top w:val="single" w:sz="4" w:space="0" w:color="auto"/>
              <w:left w:val="single" w:sz="4" w:space="0" w:color="auto"/>
              <w:bottom w:val="single" w:sz="4" w:space="0" w:color="auto"/>
              <w:right w:val="single" w:sz="4" w:space="0" w:color="auto"/>
            </w:tcBorders>
            <w:hideMark/>
          </w:tcPr>
          <w:p w14:paraId="4DC39C28"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10</w:t>
            </w:r>
          </w:p>
        </w:tc>
        <w:tc>
          <w:tcPr>
            <w:tcW w:w="810" w:type="dxa"/>
            <w:tcBorders>
              <w:top w:val="single" w:sz="4" w:space="0" w:color="auto"/>
              <w:left w:val="single" w:sz="4" w:space="0" w:color="auto"/>
              <w:bottom w:val="single" w:sz="4" w:space="0" w:color="auto"/>
              <w:right w:val="single" w:sz="4" w:space="0" w:color="auto"/>
            </w:tcBorders>
          </w:tcPr>
          <w:p w14:paraId="644A7CE0"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67E71613" w14:textId="77777777" w:rsidTr="009F0E44">
        <w:trPr>
          <w:trHeight w:val="68"/>
        </w:trPr>
        <w:tc>
          <w:tcPr>
            <w:tcW w:w="1617" w:type="dxa"/>
            <w:vMerge w:val="restart"/>
            <w:tcBorders>
              <w:top w:val="single" w:sz="4" w:space="0" w:color="auto"/>
              <w:left w:val="single" w:sz="4" w:space="0" w:color="auto"/>
              <w:bottom w:val="single" w:sz="4" w:space="0" w:color="auto"/>
              <w:right w:val="single" w:sz="4" w:space="0" w:color="auto"/>
            </w:tcBorders>
            <w:noWrap/>
            <w:vAlign w:val="center"/>
            <w:hideMark/>
          </w:tcPr>
          <w:p w14:paraId="22704166" w14:textId="77777777" w:rsidR="009F0E44" w:rsidRDefault="009F0E44" w:rsidP="009F0E44">
            <w:pPr>
              <w:spacing w:after="0"/>
            </w:pPr>
            <w:r>
              <w:rPr>
                <w:rFonts w:ascii="Roboto" w:hAnsi="Roboto" w:cstheme="minorHAnsi"/>
                <w:bCs/>
                <w:color w:val="244061" w:themeColor="accent1" w:themeShade="80"/>
                <w:sz w:val="16"/>
                <w:szCs w:val="16"/>
              </w:rPr>
              <w:t>7</w:t>
            </w:r>
            <w:r>
              <w:rPr>
                <w:rFonts w:ascii="Roboto" w:hAnsi="Roboto" w:cstheme="minorHAnsi"/>
                <w:sz w:val="16"/>
                <w:szCs w:val="16"/>
              </w:rPr>
              <w:t xml:space="preserve">. </w:t>
            </w:r>
            <w:r>
              <w:rPr>
                <w:rFonts w:ascii="Roboto" w:hAnsi="Roboto" w:cstheme="minorHAnsi"/>
                <w:bCs/>
                <w:color w:val="244061" w:themeColor="accent1" w:themeShade="80"/>
                <w:sz w:val="16"/>
                <w:szCs w:val="16"/>
              </w:rPr>
              <w:t>Monitoring and reporting for policy coherence</w:t>
            </w:r>
          </w:p>
        </w:tc>
        <w:tc>
          <w:tcPr>
            <w:tcW w:w="6753" w:type="dxa"/>
            <w:tcBorders>
              <w:top w:val="single" w:sz="4" w:space="0" w:color="auto"/>
              <w:left w:val="single" w:sz="4" w:space="0" w:color="auto"/>
              <w:bottom w:val="single" w:sz="4" w:space="0" w:color="auto"/>
              <w:right w:val="single" w:sz="4" w:space="0" w:color="auto"/>
            </w:tcBorders>
            <w:hideMark/>
          </w:tcPr>
          <w:p w14:paraId="4789B52E" w14:textId="77777777" w:rsidR="009F0E44" w:rsidRDefault="009F0E44" w:rsidP="009F0E44">
            <w:pPr>
              <w:spacing w:after="0"/>
              <w:rPr>
                <w:rFonts w:ascii="Roboto" w:eastAsia="Times New Roman" w:hAnsi="Roboto" w:cstheme="minorHAnsi"/>
                <w:bCs/>
                <w:color w:val="244061" w:themeColor="accent1" w:themeShade="80"/>
                <w:sz w:val="16"/>
                <w:szCs w:val="16"/>
              </w:rPr>
            </w:pPr>
            <w:r>
              <w:rPr>
                <w:rStyle w:val="Heading4Char"/>
                <w:rFonts w:ascii="Roboto" w:hAnsi="Roboto" w:cstheme="minorHAnsi"/>
                <w:bCs/>
                <w:i w:val="0"/>
                <w:iCs w:val="0"/>
                <w:color w:val="244061" w:themeColor="accent1" w:themeShade="80"/>
                <w:sz w:val="16"/>
                <w:szCs w:val="16"/>
              </w:rPr>
              <w:t>Monitoring and evaluation framework for policy coherence for sustainable development.</w:t>
            </w:r>
          </w:p>
        </w:tc>
        <w:tc>
          <w:tcPr>
            <w:tcW w:w="810" w:type="dxa"/>
            <w:tcBorders>
              <w:top w:val="single" w:sz="4" w:space="0" w:color="auto"/>
              <w:left w:val="single" w:sz="4" w:space="0" w:color="auto"/>
              <w:bottom w:val="single" w:sz="4" w:space="0" w:color="auto"/>
              <w:right w:val="single" w:sz="4" w:space="0" w:color="auto"/>
            </w:tcBorders>
            <w:hideMark/>
          </w:tcPr>
          <w:p w14:paraId="08F8785C"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5</w:t>
            </w:r>
          </w:p>
        </w:tc>
        <w:tc>
          <w:tcPr>
            <w:tcW w:w="810" w:type="dxa"/>
            <w:tcBorders>
              <w:top w:val="single" w:sz="4" w:space="0" w:color="auto"/>
              <w:left w:val="single" w:sz="4" w:space="0" w:color="auto"/>
              <w:bottom w:val="single" w:sz="4" w:space="0" w:color="auto"/>
              <w:right w:val="single" w:sz="4" w:space="0" w:color="auto"/>
            </w:tcBorders>
          </w:tcPr>
          <w:p w14:paraId="3F2E224F"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7B4E4E5A" w14:textId="77777777" w:rsidTr="009F0E44">
        <w:trPr>
          <w:trHeight w:val="84"/>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2746CDE4" w14:textId="77777777" w:rsidR="009F0E44" w:rsidRDefault="009F0E44" w:rsidP="009F0E44">
            <w:pPr>
              <w:spacing w:after="0"/>
            </w:pPr>
          </w:p>
        </w:tc>
        <w:tc>
          <w:tcPr>
            <w:tcW w:w="6753" w:type="dxa"/>
            <w:tcBorders>
              <w:top w:val="single" w:sz="4" w:space="0" w:color="auto"/>
              <w:left w:val="single" w:sz="4" w:space="0" w:color="auto"/>
              <w:bottom w:val="single" w:sz="4" w:space="0" w:color="auto"/>
              <w:right w:val="single" w:sz="4" w:space="0" w:color="auto"/>
            </w:tcBorders>
            <w:hideMark/>
          </w:tcPr>
          <w:p w14:paraId="62556863"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Aspects of policy coherence for sustainable development are integrated into reporting processes.</w:t>
            </w:r>
          </w:p>
        </w:tc>
        <w:tc>
          <w:tcPr>
            <w:tcW w:w="810" w:type="dxa"/>
            <w:tcBorders>
              <w:top w:val="single" w:sz="4" w:space="0" w:color="auto"/>
              <w:left w:val="single" w:sz="4" w:space="0" w:color="auto"/>
              <w:bottom w:val="single" w:sz="4" w:space="0" w:color="auto"/>
              <w:right w:val="single" w:sz="4" w:space="0" w:color="auto"/>
            </w:tcBorders>
            <w:hideMark/>
          </w:tcPr>
          <w:p w14:paraId="01927F87"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2</w:t>
            </w:r>
          </w:p>
        </w:tc>
        <w:tc>
          <w:tcPr>
            <w:tcW w:w="810" w:type="dxa"/>
            <w:tcBorders>
              <w:top w:val="single" w:sz="4" w:space="0" w:color="auto"/>
              <w:left w:val="single" w:sz="4" w:space="0" w:color="auto"/>
              <w:bottom w:val="single" w:sz="4" w:space="0" w:color="auto"/>
              <w:right w:val="single" w:sz="4" w:space="0" w:color="auto"/>
            </w:tcBorders>
          </w:tcPr>
          <w:p w14:paraId="6C32FE2F"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46490569" w14:textId="77777777" w:rsidTr="009F0E44">
        <w:trPr>
          <w:trHeight w:val="84"/>
        </w:trPr>
        <w:tc>
          <w:tcPr>
            <w:tcW w:w="1617" w:type="dxa"/>
            <w:vMerge/>
            <w:tcBorders>
              <w:top w:val="single" w:sz="4" w:space="0" w:color="auto"/>
              <w:left w:val="single" w:sz="4" w:space="0" w:color="auto"/>
              <w:bottom w:val="single" w:sz="4" w:space="0" w:color="auto"/>
              <w:right w:val="single" w:sz="4" w:space="0" w:color="auto"/>
            </w:tcBorders>
            <w:vAlign w:val="center"/>
            <w:hideMark/>
          </w:tcPr>
          <w:p w14:paraId="0620D30D" w14:textId="77777777" w:rsidR="009F0E44" w:rsidRDefault="009F0E44" w:rsidP="009F0E44">
            <w:pPr>
              <w:spacing w:after="0"/>
            </w:pPr>
          </w:p>
        </w:tc>
        <w:tc>
          <w:tcPr>
            <w:tcW w:w="6753" w:type="dxa"/>
            <w:tcBorders>
              <w:top w:val="single" w:sz="4" w:space="0" w:color="auto"/>
              <w:left w:val="single" w:sz="4" w:space="0" w:color="auto"/>
              <w:bottom w:val="single" w:sz="4" w:space="0" w:color="auto"/>
              <w:right w:val="single" w:sz="4" w:space="0" w:color="auto"/>
            </w:tcBorders>
            <w:hideMark/>
          </w:tcPr>
          <w:p w14:paraId="344D530B"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Data and information management system for sustainable development data.</w:t>
            </w:r>
          </w:p>
        </w:tc>
        <w:tc>
          <w:tcPr>
            <w:tcW w:w="810" w:type="dxa"/>
            <w:tcBorders>
              <w:top w:val="single" w:sz="4" w:space="0" w:color="auto"/>
              <w:left w:val="single" w:sz="4" w:space="0" w:color="auto"/>
              <w:bottom w:val="single" w:sz="4" w:space="0" w:color="auto"/>
              <w:right w:val="single" w:sz="4" w:space="0" w:color="auto"/>
            </w:tcBorders>
            <w:hideMark/>
          </w:tcPr>
          <w:p w14:paraId="1577A51D"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3</w:t>
            </w:r>
          </w:p>
        </w:tc>
        <w:tc>
          <w:tcPr>
            <w:tcW w:w="810" w:type="dxa"/>
            <w:tcBorders>
              <w:top w:val="single" w:sz="4" w:space="0" w:color="auto"/>
              <w:left w:val="single" w:sz="4" w:space="0" w:color="auto"/>
              <w:bottom w:val="single" w:sz="4" w:space="0" w:color="auto"/>
              <w:right w:val="single" w:sz="4" w:space="0" w:color="auto"/>
            </w:tcBorders>
          </w:tcPr>
          <w:p w14:paraId="2A061464"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4186DB78" w14:textId="77777777" w:rsidTr="009F0E44">
        <w:trPr>
          <w:trHeight w:val="846"/>
        </w:trPr>
        <w:tc>
          <w:tcPr>
            <w:tcW w:w="1617" w:type="dxa"/>
            <w:tcBorders>
              <w:top w:val="single" w:sz="4" w:space="0" w:color="auto"/>
              <w:left w:val="single" w:sz="4" w:space="0" w:color="auto"/>
              <w:bottom w:val="single" w:sz="4" w:space="0" w:color="auto"/>
              <w:right w:val="single" w:sz="4" w:space="0" w:color="auto"/>
            </w:tcBorders>
            <w:noWrap/>
            <w:vAlign w:val="center"/>
            <w:hideMark/>
          </w:tcPr>
          <w:p w14:paraId="7A61791D" w14:textId="77777777" w:rsidR="009F0E44" w:rsidRDefault="009F0E44" w:rsidP="009F0E44">
            <w:pPr>
              <w:spacing w:after="0"/>
            </w:pPr>
            <w:r>
              <w:rPr>
                <w:rFonts w:ascii="Roboto" w:hAnsi="Roboto" w:cstheme="minorHAnsi"/>
                <w:bCs/>
                <w:color w:val="244061" w:themeColor="accent1" w:themeShade="80"/>
                <w:sz w:val="16"/>
                <w:szCs w:val="16"/>
              </w:rPr>
              <w:lastRenderedPageBreak/>
              <w:t>8</w:t>
            </w:r>
            <w:r>
              <w:rPr>
                <w:rFonts w:ascii="Roboto" w:hAnsi="Roboto" w:cstheme="minorHAnsi"/>
                <w:sz w:val="16"/>
                <w:szCs w:val="16"/>
              </w:rPr>
              <w:t xml:space="preserve">. </w:t>
            </w:r>
            <w:r>
              <w:rPr>
                <w:rFonts w:ascii="Roboto" w:hAnsi="Roboto" w:cstheme="minorHAnsi"/>
                <w:bCs/>
                <w:color w:val="244061" w:themeColor="accent1" w:themeShade="80"/>
                <w:sz w:val="16"/>
                <w:szCs w:val="16"/>
              </w:rPr>
              <w:t>Financial resources and tools</w:t>
            </w:r>
          </w:p>
        </w:tc>
        <w:tc>
          <w:tcPr>
            <w:tcW w:w="6753" w:type="dxa"/>
            <w:tcBorders>
              <w:top w:val="single" w:sz="4" w:space="0" w:color="auto"/>
              <w:left w:val="single" w:sz="4" w:space="0" w:color="auto"/>
              <w:bottom w:val="single" w:sz="4" w:space="0" w:color="auto"/>
              <w:right w:val="single" w:sz="4" w:space="0" w:color="auto"/>
            </w:tcBorders>
            <w:hideMark/>
          </w:tcPr>
          <w:p w14:paraId="087043ED" w14:textId="77777777" w:rsidR="009F0E44" w:rsidRDefault="009F0E44" w:rsidP="009F0E44">
            <w:pPr>
              <w:spacing w:after="0"/>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Any of following (5 points each, 10 points total):</w:t>
            </w:r>
          </w:p>
          <w:p w14:paraId="55EA8E46"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Check-lists to ensure that plans and budgets reflect policy coherence for sustainable development;</w:t>
            </w:r>
          </w:p>
          <w:p w14:paraId="2260EF98"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 Integrated financial information systems.</w:t>
            </w:r>
          </w:p>
          <w:p w14:paraId="7BD45DBA" w14:textId="77777777" w:rsidR="009F0E44" w:rsidRDefault="009F0E44" w:rsidP="009F0E44">
            <w:pPr>
              <w:spacing w:after="0"/>
              <w:rPr>
                <w:rFonts w:eastAsia="Times New Roman"/>
              </w:rPr>
            </w:pPr>
            <w:r>
              <w:rPr>
                <w:rStyle w:val="Heading4Char"/>
                <w:rFonts w:ascii="Roboto" w:hAnsi="Roboto" w:cstheme="minorHAnsi"/>
                <w:bCs/>
                <w:i w:val="0"/>
                <w:iCs w:val="0"/>
                <w:color w:val="244061" w:themeColor="accent1" w:themeShade="80"/>
                <w:sz w:val="16"/>
                <w:szCs w:val="16"/>
              </w:rPr>
              <w:t xml:space="preserve">• </w:t>
            </w:r>
            <w:r>
              <w:rPr>
                <w:rFonts w:ascii="Roboto" w:eastAsia="Times New Roman" w:hAnsi="Roboto" w:cstheme="minorHAnsi"/>
                <w:bCs/>
                <w:color w:val="244061" w:themeColor="accent1" w:themeShade="80"/>
                <w:sz w:val="16"/>
                <w:szCs w:val="16"/>
              </w:rPr>
              <w:t>Mechanisms to ensure that cooperation funds are aligned with national policies and priorities.</w:t>
            </w:r>
          </w:p>
        </w:tc>
        <w:tc>
          <w:tcPr>
            <w:tcW w:w="810" w:type="dxa"/>
            <w:tcBorders>
              <w:top w:val="single" w:sz="4" w:space="0" w:color="auto"/>
              <w:left w:val="single" w:sz="4" w:space="0" w:color="auto"/>
              <w:bottom w:val="single" w:sz="4" w:space="0" w:color="auto"/>
              <w:right w:val="single" w:sz="4" w:space="0" w:color="auto"/>
            </w:tcBorders>
            <w:hideMark/>
          </w:tcPr>
          <w:p w14:paraId="1D1C9BAA" w14:textId="77777777" w:rsidR="009F0E44" w:rsidRDefault="009F0E44" w:rsidP="009F0E44">
            <w:pPr>
              <w:spacing w:after="0"/>
              <w:jc w:val="center"/>
              <w:rPr>
                <w:rStyle w:val="Heading4Char"/>
                <w:rFonts w:ascii="Roboto" w:hAnsi="Roboto" w:cstheme="minorHAnsi"/>
                <w:color w:val="244061" w:themeColor="accent1" w:themeShade="80"/>
              </w:rPr>
            </w:pPr>
            <w:r>
              <w:rPr>
                <w:rStyle w:val="Heading4Char"/>
                <w:rFonts w:ascii="Roboto" w:hAnsi="Roboto" w:cstheme="minorHAnsi"/>
                <w:bCs/>
                <w:i w:val="0"/>
                <w:iCs w:val="0"/>
                <w:color w:val="244061" w:themeColor="accent1" w:themeShade="80"/>
                <w:sz w:val="16"/>
                <w:szCs w:val="16"/>
              </w:rPr>
              <w:t>10</w:t>
            </w:r>
          </w:p>
        </w:tc>
        <w:tc>
          <w:tcPr>
            <w:tcW w:w="810" w:type="dxa"/>
            <w:tcBorders>
              <w:top w:val="single" w:sz="4" w:space="0" w:color="auto"/>
              <w:left w:val="single" w:sz="4" w:space="0" w:color="auto"/>
              <w:bottom w:val="single" w:sz="4" w:space="0" w:color="auto"/>
              <w:right w:val="single" w:sz="4" w:space="0" w:color="auto"/>
            </w:tcBorders>
          </w:tcPr>
          <w:p w14:paraId="6D8C7C3B"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r>
      <w:tr w:rsidR="009F0E44" w14:paraId="270D68C6" w14:textId="77777777" w:rsidTr="009F0E44">
        <w:trPr>
          <w:trHeight w:val="347"/>
        </w:trPr>
        <w:tc>
          <w:tcPr>
            <w:tcW w:w="8370" w:type="dxa"/>
            <w:gridSpan w:val="2"/>
            <w:tcBorders>
              <w:top w:val="single" w:sz="4" w:space="0" w:color="auto"/>
              <w:left w:val="single" w:sz="4" w:space="0" w:color="auto"/>
              <w:bottom w:val="single" w:sz="4" w:space="0" w:color="auto"/>
              <w:right w:val="single" w:sz="4" w:space="0" w:color="auto"/>
            </w:tcBorders>
            <w:noWrap/>
            <w:vAlign w:val="bottom"/>
            <w:hideMark/>
          </w:tcPr>
          <w:p w14:paraId="6D9E6421" w14:textId="77777777" w:rsidR="009F0E44" w:rsidRDefault="009F0E44" w:rsidP="009F0E44">
            <w:pPr>
              <w:spacing w:after="0"/>
              <w:rPr>
                <w:rStyle w:val="Heading4Char"/>
                <w:rFonts w:ascii="Roboto" w:hAnsi="Roboto" w:cstheme="minorHAnsi"/>
                <w:bCs/>
                <w:i w:val="0"/>
                <w:iCs w:val="0"/>
                <w:color w:val="244061" w:themeColor="accent1" w:themeShade="80"/>
                <w:sz w:val="16"/>
                <w:szCs w:val="16"/>
              </w:rPr>
            </w:pPr>
            <w:r>
              <w:rPr>
                <w:rFonts w:ascii="Roboto" w:eastAsia="Times New Roman" w:hAnsi="Roboto" w:cstheme="minorHAnsi"/>
                <w:b/>
                <w:color w:val="244061" w:themeColor="accent1" w:themeShade="80"/>
                <w:sz w:val="16"/>
                <w:szCs w:val="16"/>
              </w:rPr>
              <w:t>TOTAL</w:t>
            </w:r>
          </w:p>
        </w:tc>
        <w:tc>
          <w:tcPr>
            <w:tcW w:w="810" w:type="dxa"/>
            <w:tcBorders>
              <w:top w:val="single" w:sz="4" w:space="0" w:color="auto"/>
              <w:left w:val="single" w:sz="4" w:space="0" w:color="auto"/>
              <w:bottom w:val="single" w:sz="4" w:space="0" w:color="auto"/>
              <w:right w:val="single" w:sz="4" w:space="0" w:color="auto"/>
            </w:tcBorders>
            <w:hideMark/>
          </w:tcPr>
          <w:p w14:paraId="70744883"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r>
              <w:rPr>
                <w:rStyle w:val="Heading4Char"/>
                <w:rFonts w:ascii="Roboto" w:hAnsi="Roboto" w:cstheme="minorHAnsi"/>
                <w:bCs/>
                <w:i w:val="0"/>
                <w:iCs w:val="0"/>
                <w:color w:val="244061" w:themeColor="accent1" w:themeShade="80"/>
                <w:sz w:val="16"/>
                <w:szCs w:val="16"/>
              </w:rPr>
              <w:t>80</w:t>
            </w:r>
          </w:p>
        </w:tc>
        <w:tc>
          <w:tcPr>
            <w:tcW w:w="810" w:type="dxa"/>
            <w:tcBorders>
              <w:top w:val="single" w:sz="4" w:space="0" w:color="auto"/>
              <w:left w:val="single" w:sz="4" w:space="0" w:color="auto"/>
              <w:bottom w:val="single" w:sz="4" w:space="0" w:color="auto"/>
              <w:right w:val="single" w:sz="4" w:space="0" w:color="auto"/>
            </w:tcBorders>
            <w:hideMark/>
          </w:tcPr>
          <w:p w14:paraId="380EB39D" w14:textId="77777777" w:rsidR="009F0E44" w:rsidRDefault="009F0E44" w:rsidP="009F0E44">
            <w:pPr>
              <w:spacing w:after="0"/>
              <w:jc w:val="center"/>
              <w:rPr>
                <w:rStyle w:val="Heading4Char"/>
                <w:rFonts w:ascii="Roboto" w:hAnsi="Roboto" w:cstheme="minorHAnsi"/>
                <w:i w:val="0"/>
                <w:iCs w:val="0"/>
                <w:color w:val="244061" w:themeColor="accent1" w:themeShade="80"/>
                <w:sz w:val="16"/>
                <w:szCs w:val="16"/>
              </w:rPr>
            </w:pPr>
            <w:r>
              <w:rPr>
                <w:rStyle w:val="Heading4Char"/>
                <w:rFonts w:ascii="Roboto" w:hAnsi="Roboto" w:cstheme="minorHAnsi"/>
                <w:i w:val="0"/>
                <w:iCs w:val="0"/>
                <w:color w:val="244061" w:themeColor="accent1" w:themeShade="80"/>
                <w:sz w:val="16"/>
                <w:szCs w:val="16"/>
              </w:rPr>
              <w:t>Sum</w:t>
            </w:r>
          </w:p>
        </w:tc>
      </w:tr>
      <w:tr w:rsidR="009F0E44" w14:paraId="229B5501" w14:textId="77777777" w:rsidTr="009F0E44">
        <w:trPr>
          <w:trHeight w:val="347"/>
        </w:trPr>
        <w:tc>
          <w:tcPr>
            <w:tcW w:w="8370" w:type="dxa"/>
            <w:gridSpan w:val="2"/>
            <w:tcBorders>
              <w:top w:val="single" w:sz="4" w:space="0" w:color="auto"/>
              <w:left w:val="single" w:sz="4" w:space="0" w:color="auto"/>
              <w:bottom w:val="single" w:sz="4" w:space="0" w:color="auto"/>
              <w:right w:val="single" w:sz="4" w:space="0" w:color="auto"/>
            </w:tcBorders>
            <w:noWrap/>
            <w:vAlign w:val="bottom"/>
            <w:hideMark/>
          </w:tcPr>
          <w:p w14:paraId="48794C7F" w14:textId="77777777" w:rsidR="009F0E44" w:rsidRDefault="009F0E44" w:rsidP="009F0E44">
            <w:pPr>
              <w:spacing w:after="0"/>
              <w:rPr>
                <w:rStyle w:val="Heading4Char"/>
                <w:rFonts w:ascii="Roboto" w:hAnsi="Roboto" w:cstheme="minorHAnsi"/>
                <w:b/>
                <w:bCs/>
                <w:i w:val="0"/>
                <w:iCs w:val="0"/>
                <w:color w:val="244061" w:themeColor="accent1" w:themeShade="80"/>
                <w:sz w:val="16"/>
                <w:szCs w:val="16"/>
              </w:rPr>
            </w:pPr>
            <w:r>
              <w:rPr>
                <w:rFonts w:ascii="Roboto" w:eastAsia="Times New Roman" w:hAnsi="Roboto" w:cstheme="minorHAnsi"/>
                <w:b/>
                <w:color w:val="244061" w:themeColor="accent1" w:themeShade="80"/>
                <w:sz w:val="16"/>
                <w:szCs w:val="16"/>
              </w:rPr>
              <w:t>Mechanisms in place to enhance policy coherence for sustainable development (%)</w:t>
            </w:r>
          </w:p>
        </w:tc>
        <w:tc>
          <w:tcPr>
            <w:tcW w:w="810" w:type="dxa"/>
            <w:tcBorders>
              <w:top w:val="single" w:sz="4" w:space="0" w:color="auto"/>
              <w:left w:val="single" w:sz="4" w:space="0" w:color="auto"/>
              <w:bottom w:val="single" w:sz="4" w:space="0" w:color="auto"/>
              <w:right w:val="single" w:sz="4" w:space="0" w:color="auto"/>
            </w:tcBorders>
          </w:tcPr>
          <w:p w14:paraId="7078726F" w14:textId="77777777" w:rsidR="009F0E44" w:rsidRDefault="009F0E44" w:rsidP="009F0E44">
            <w:pPr>
              <w:spacing w:after="0"/>
              <w:jc w:val="center"/>
              <w:rPr>
                <w:rStyle w:val="Heading4Char"/>
                <w:rFonts w:ascii="Roboto" w:hAnsi="Roboto" w:cstheme="minorHAnsi"/>
                <w:bCs/>
                <w:i w:val="0"/>
                <w:iCs w:val="0"/>
                <w:color w:val="244061" w:themeColor="accent1" w:themeShade="80"/>
                <w:sz w:val="16"/>
                <w:szCs w:val="16"/>
              </w:rPr>
            </w:pPr>
          </w:p>
        </w:tc>
        <w:tc>
          <w:tcPr>
            <w:tcW w:w="810" w:type="dxa"/>
            <w:tcBorders>
              <w:top w:val="single" w:sz="4" w:space="0" w:color="auto"/>
              <w:left w:val="single" w:sz="4" w:space="0" w:color="auto"/>
              <w:bottom w:val="single" w:sz="4" w:space="0" w:color="auto"/>
              <w:right w:val="single" w:sz="4" w:space="0" w:color="auto"/>
            </w:tcBorders>
            <w:hideMark/>
          </w:tcPr>
          <w:p w14:paraId="57CB0568" w14:textId="77777777" w:rsidR="009F0E44" w:rsidRDefault="009F0E44" w:rsidP="009F0E44">
            <w:pPr>
              <w:spacing w:after="0"/>
              <w:jc w:val="center"/>
              <w:rPr>
                <w:rStyle w:val="Heading4Char"/>
                <w:rFonts w:ascii="Roboto" w:hAnsi="Roboto" w:cstheme="minorHAnsi"/>
                <w:i w:val="0"/>
                <w:iCs w:val="0"/>
                <w:color w:val="244061" w:themeColor="accent1" w:themeShade="80"/>
                <w:sz w:val="16"/>
                <w:szCs w:val="16"/>
              </w:rPr>
            </w:pPr>
            <w:r>
              <w:rPr>
                <w:rStyle w:val="Heading4Char"/>
                <w:rFonts w:ascii="Roboto" w:hAnsi="Roboto" w:cstheme="minorHAnsi"/>
                <w:i w:val="0"/>
                <w:iCs w:val="0"/>
                <w:color w:val="244061" w:themeColor="accent1" w:themeShade="80"/>
                <w:sz w:val="16"/>
                <w:szCs w:val="16"/>
              </w:rPr>
              <w:t>100* Sum/80</w:t>
            </w:r>
          </w:p>
        </w:tc>
      </w:tr>
    </w:tbl>
    <w:p w14:paraId="35C8ECE4" w14:textId="6D6AE160" w:rsidR="007B38F4" w:rsidRDefault="007B38F4" w:rsidP="007B38F4">
      <w:pPr>
        <w:spacing w:after="0"/>
      </w:pPr>
    </w:p>
    <w:p w14:paraId="514CE3C0" w14:textId="3F3F7A53" w:rsidR="00E1050F" w:rsidRPr="00A96255" w:rsidRDefault="00576CFA" w:rsidP="00F719A8">
      <w:pPr>
        <w:pStyle w:val="MHeader2"/>
      </w:pPr>
      <w:r w:rsidRPr="00A96255">
        <w:t>4.d. 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8DCB865" w14:textId="77777777" w:rsidR="00D51E7C" w:rsidRPr="00546099" w:rsidRDefault="00D51E7C" w:rsidP="00D51E7C">
      <w:pPr>
        <w:pStyle w:val="MText"/>
      </w:pPr>
      <w:r w:rsidRPr="00546099">
        <w:t>•</w:t>
      </w:r>
      <w:r w:rsidRPr="00546099">
        <w:tab/>
        <w:t>At country level</w:t>
      </w:r>
    </w:p>
    <w:p w14:paraId="1B6182A5" w14:textId="54983DC5" w:rsidR="00D51E7C" w:rsidRPr="00546099" w:rsidRDefault="00D51E7C" w:rsidP="00D51E7C">
      <w:pPr>
        <w:pStyle w:val="MText"/>
      </w:pPr>
    </w:p>
    <w:p w14:paraId="06DDC253" w14:textId="77777777" w:rsidR="00D51E7C" w:rsidRDefault="00D51E7C" w:rsidP="00D51E7C">
      <w:pPr>
        <w:pStyle w:val="MText"/>
      </w:pPr>
      <w:r w:rsidRPr="00546099">
        <w:t>•</w:t>
      </w:r>
      <w:r w:rsidRPr="00546099">
        <w:tab/>
        <w:t>At regional and global levels</w:t>
      </w:r>
    </w:p>
    <w:p w14:paraId="04748E1F" w14:textId="77777777" w:rsidR="00D51E7C" w:rsidRDefault="00D51E7C" w:rsidP="00D51E7C">
      <w:pPr>
        <w:pStyle w:val="MText"/>
      </w:pPr>
    </w:p>
    <w:p w14:paraId="51FCD280" w14:textId="0DAB30E3" w:rsidR="00E1050F" w:rsidRPr="00A96255" w:rsidRDefault="00E1050F" w:rsidP="00F719A8">
      <w:pPr>
        <w:pStyle w:val="MHeader2"/>
      </w:pPr>
      <w:r w:rsidRPr="00A96255">
        <w:t>4.g. Regional aggregations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9F0E44">
      <w:pPr>
        <w:pStyle w:val="MText"/>
      </w:pPr>
    </w:p>
    <w:p w14:paraId="17B979CA" w14:textId="449C0153"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7B38F4" w:rsidRDefault="00D51E7C" w:rsidP="00576CFA">
      <w:pPr>
        <w:pStyle w:val="MText"/>
      </w:pPr>
      <w:r w:rsidRPr="007B38F4">
        <w:t>Data availability:</w:t>
      </w:r>
    </w:p>
    <w:p w14:paraId="016E1A1B" w14:textId="77777777" w:rsidR="007B38F4" w:rsidRDefault="007B38F4" w:rsidP="007B38F4">
      <w:pPr>
        <w:pStyle w:val="MText"/>
      </w:pPr>
      <w:r>
        <w:t>Data will be made available for all member states that report data.</w:t>
      </w:r>
    </w:p>
    <w:p w14:paraId="77EC3986" w14:textId="77777777" w:rsidR="007B38F4" w:rsidRDefault="007B38F4" w:rsidP="007B38F4">
      <w:pPr>
        <w:pStyle w:val="MText"/>
      </w:pPr>
    </w:p>
    <w:p w14:paraId="3C67C0F8" w14:textId="77777777" w:rsidR="007B38F4" w:rsidRDefault="007B38F4" w:rsidP="007B38F4">
      <w:pPr>
        <w:pStyle w:val="MText"/>
      </w:pPr>
      <w:r>
        <w:t>Time series:</w:t>
      </w:r>
    </w:p>
    <w:p w14:paraId="7362AFB3" w14:textId="341705B9" w:rsidR="007B38F4" w:rsidRDefault="007B38F4" w:rsidP="007B38F4">
      <w:pPr>
        <w:pStyle w:val="MText"/>
      </w:pPr>
      <w:r>
        <w:t xml:space="preserve">The reporting on this indicator will be </w:t>
      </w:r>
      <w:r w:rsidR="00645E40" w:rsidRPr="00645E40">
        <w:t>biennial</w:t>
      </w:r>
      <w:r>
        <w:t>.</w:t>
      </w:r>
    </w:p>
    <w:p w14:paraId="760C013A" w14:textId="4597FCBD" w:rsidR="00D51E7C" w:rsidRPr="00C019E5" w:rsidRDefault="00D51E7C" w:rsidP="00576CFA">
      <w:pPr>
        <w:pStyle w:val="MText"/>
        <w:rPr>
          <w:highlight w:val="cyan"/>
        </w:rPr>
      </w:pPr>
    </w:p>
    <w:p w14:paraId="72C7C370" w14:textId="7CA3CA69" w:rsidR="00D51E7C" w:rsidRDefault="00D51E7C" w:rsidP="00576CFA">
      <w:pPr>
        <w:pStyle w:val="MText"/>
      </w:pPr>
      <w:r w:rsidRPr="00546099">
        <w:t>Disaggregation: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lastRenderedPageBreak/>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546099">
        <w:t>Sources of discrepancies: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8E913AE" w14:textId="27EA319D" w:rsidR="00576CFA" w:rsidRPr="00A96255" w:rsidRDefault="007B38F4" w:rsidP="00576CFA">
      <w:pPr>
        <w:pStyle w:val="MText"/>
      </w:pPr>
      <w:r>
        <w:t xml:space="preserve">Methodology for </w:t>
      </w:r>
      <w:r w:rsidRPr="00D77842">
        <w:t>SDG-indicator 17.14.1: Mechanisms in place to enhance policy coherence for sustainable development, UNEP (forthcoming)</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7ABFB" w14:textId="77777777" w:rsidR="00971CD0" w:rsidRDefault="00971CD0" w:rsidP="00573C0B">
      <w:pPr>
        <w:spacing w:after="0" w:line="240" w:lineRule="auto"/>
      </w:pPr>
      <w:r>
        <w:separator/>
      </w:r>
    </w:p>
  </w:endnote>
  <w:endnote w:type="continuationSeparator" w:id="0">
    <w:p w14:paraId="74CC1398" w14:textId="77777777" w:rsidR="00971CD0" w:rsidRDefault="00971CD0" w:rsidP="00573C0B">
      <w:pPr>
        <w:spacing w:after="0" w:line="240" w:lineRule="auto"/>
      </w:pPr>
      <w:r>
        <w:continuationSeparator/>
      </w:r>
    </w:p>
  </w:endnote>
  <w:endnote w:type="continuationNotice" w:id="1">
    <w:p w14:paraId="5027CB28" w14:textId="77777777" w:rsidR="00971CD0" w:rsidRDefault="00971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DD267" w14:textId="77777777" w:rsidR="00971CD0" w:rsidRDefault="00971CD0" w:rsidP="00573C0B">
      <w:pPr>
        <w:spacing w:after="0" w:line="240" w:lineRule="auto"/>
      </w:pPr>
      <w:r>
        <w:separator/>
      </w:r>
    </w:p>
  </w:footnote>
  <w:footnote w:type="continuationSeparator" w:id="0">
    <w:p w14:paraId="0347335B" w14:textId="77777777" w:rsidR="00971CD0" w:rsidRDefault="00971CD0" w:rsidP="00573C0B">
      <w:pPr>
        <w:spacing w:after="0" w:line="240" w:lineRule="auto"/>
      </w:pPr>
      <w:r>
        <w:continuationSeparator/>
      </w:r>
    </w:p>
  </w:footnote>
  <w:footnote w:type="continuationNotice" w:id="1">
    <w:p w14:paraId="0F7A2620" w14:textId="77777777" w:rsidR="00971CD0" w:rsidRDefault="00971C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CD771F8"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7B5848">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15pt" o:bullet="t">
        <v:imagedata r:id="rId1" o:title="clip_image001"/>
      </v:shape>
    </w:pict>
  </w:numPicBullet>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cs="Times New Roman" w:hint="default"/>
      </w:rPr>
    </w:lvl>
    <w:lvl w:ilvl="2" w:tplc="04464938">
      <w:start w:val="1"/>
      <w:numFmt w:val="bullet"/>
      <w:lvlText w:val=""/>
      <w:lvlJc w:val="left"/>
      <w:pPr>
        <w:ind w:left="2160" w:hanging="360"/>
      </w:pPr>
      <w:rPr>
        <w:rFonts w:ascii="Wingdings" w:hAnsi="Wingdings" w:hint="default"/>
      </w:rPr>
    </w:lvl>
    <w:lvl w:ilvl="3" w:tplc="56149B08">
      <w:start w:val="1"/>
      <w:numFmt w:val="bullet"/>
      <w:lvlText w:val=""/>
      <w:lvlJc w:val="left"/>
      <w:pPr>
        <w:ind w:left="2880" w:hanging="360"/>
      </w:pPr>
      <w:rPr>
        <w:rFonts w:ascii="Symbol" w:hAnsi="Symbol" w:hint="default"/>
      </w:rPr>
    </w:lvl>
    <w:lvl w:ilvl="4" w:tplc="EBCC9F9E">
      <w:start w:val="1"/>
      <w:numFmt w:val="bullet"/>
      <w:lvlText w:val="o"/>
      <w:lvlJc w:val="left"/>
      <w:pPr>
        <w:ind w:left="3600" w:hanging="360"/>
      </w:pPr>
      <w:rPr>
        <w:rFonts w:ascii="Courier New" w:hAnsi="Courier New" w:cs="Times New Roman" w:hint="default"/>
      </w:rPr>
    </w:lvl>
    <w:lvl w:ilvl="5" w:tplc="EC041288">
      <w:start w:val="1"/>
      <w:numFmt w:val="bullet"/>
      <w:lvlText w:val=""/>
      <w:lvlJc w:val="left"/>
      <w:pPr>
        <w:ind w:left="4320" w:hanging="360"/>
      </w:pPr>
      <w:rPr>
        <w:rFonts w:ascii="Wingdings" w:hAnsi="Wingdings" w:hint="default"/>
      </w:rPr>
    </w:lvl>
    <w:lvl w:ilvl="6" w:tplc="6818DA3C">
      <w:start w:val="1"/>
      <w:numFmt w:val="bullet"/>
      <w:lvlText w:val=""/>
      <w:lvlJc w:val="left"/>
      <w:pPr>
        <w:ind w:left="5040" w:hanging="360"/>
      </w:pPr>
      <w:rPr>
        <w:rFonts w:ascii="Symbol" w:hAnsi="Symbol" w:hint="default"/>
      </w:rPr>
    </w:lvl>
    <w:lvl w:ilvl="7" w:tplc="EA80E482">
      <w:start w:val="1"/>
      <w:numFmt w:val="bullet"/>
      <w:lvlText w:val="o"/>
      <w:lvlJc w:val="left"/>
      <w:pPr>
        <w:ind w:left="5760" w:hanging="360"/>
      </w:pPr>
      <w:rPr>
        <w:rFonts w:ascii="Courier New" w:hAnsi="Courier New" w:cs="Times New Roman" w:hint="default"/>
      </w:rPr>
    </w:lvl>
    <w:lvl w:ilvl="8" w:tplc="E25216FC">
      <w:start w:val="1"/>
      <w:numFmt w:val="bullet"/>
      <w:lvlText w:val=""/>
      <w:lvlJc w:val="left"/>
      <w:pPr>
        <w:ind w:left="6480" w:hanging="360"/>
      </w:pPr>
      <w:rPr>
        <w:rFonts w:ascii="Wingdings" w:hAnsi="Wingdings" w:hint="default"/>
      </w:rPr>
    </w:lvl>
  </w:abstractNum>
  <w:abstractNum w:abstractNumId="3" w15:restartNumberingAfterBreak="0">
    <w:nsid w:val="46C004C2"/>
    <w:multiLevelType w:val="hybridMultilevel"/>
    <w:tmpl w:val="727ECF22"/>
    <w:lvl w:ilvl="0" w:tplc="F3E6755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B7BD8"/>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006FA"/>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46099"/>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45E40"/>
    <w:rsid w:val="00661FD3"/>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B38F4"/>
    <w:rsid w:val="007B5848"/>
    <w:rsid w:val="007D0981"/>
    <w:rsid w:val="007D1929"/>
    <w:rsid w:val="00803CF1"/>
    <w:rsid w:val="008104BB"/>
    <w:rsid w:val="008249C5"/>
    <w:rsid w:val="008526F9"/>
    <w:rsid w:val="0085285E"/>
    <w:rsid w:val="00853023"/>
    <w:rsid w:val="008534D4"/>
    <w:rsid w:val="008711E9"/>
    <w:rsid w:val="00881E28"/>
    <w:rsid w:val="00894C4B"/>
    <w:rsid w:val="008A12E3"/>
    <w:rsid w:val="008A42FA"/>
    <w:rsid w:val="008B0AC7"/>
    <w:rsid w:val="008C2335"/>
    <w:rsid w:val="008C67C1"/>
    <w:rsid w:val="008D1D39"/>
    <w:rsid w:val="008F07D2"/>
    <w:rsid w:val="00917851"/>
    <w:rsid w:val="00917F65"/>
    <w:rsid w:val="009311E7"/>
    <w:rsid w:val="00942694"/>
    <w:rsid w:val="00971CD0"/>
    <w:rsid w:val="009A7E3A"/>
    <w:rsid w:val="009B1265"/>
    <w:rsid w:val="009B4A15"/>
    <w:rsid w:val="009B5693"/>
    <w:rsid w:val="009C61A2"/>
    <w:rsid w:val="009C78E4"/>
    <w:rsid w:val="009D687E"/>
    <w:rsid w:val="009F0E44"/>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65647"/>
    <w:rsid w:val="00CB4371"/>
    <w:rsid w:val="00CC516D"/>
    <w:rsid w:val="00D24330"/>
    <w:rsid w:val="00D40056"/>
    <w:rsid w:val="00D51E7C"/>
    <w:rsid w:val="00D54F29"/>
    <w:rsid w:val="00D7020C"/>
    <w:rsid w:val="00D70AD9"/>
    <w:rsid w:val="00D72152"/>
    <w:rsid w:val="00D77842"/>
    <w:rsid w:val="00D94BA5"/>
    <w:rsid w:val="00D9510F"/>
    <w:rsid w:val="00DA615C"/>
    <w:rsid w:val="00DD1BC6"/>
    <w:rsid w:val="00DE5DC3"/>
    <w:rsid w:val="00E00271"/>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7B38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locked/>
    <w:rsid w:val="007B38F4"/>
  </w:style>
  <w:style w:type="paragraph" w:customStyle="1" w:styleId="GHFeaturedlist">
    <w:name w:val="GH_Featured list"/>
    <w:basedOn w:val="Normal"/>
    <w:qFormat/>
    <w:rsid w:val="007B38F4"/>
    <w:pPr>
      <w:numPr>
        <w:numId w:val="5"/>
      </w:numPr>
      <w:spacing w:after="180" w:line="360" w:lineRule="auto"/>
      <w:contextualSpacing/>
      <w:jc w:val="both"/>
    </w:pPr>
    <w:rPr>
      <w:rFonts w:ascii="Arial" w:eastAsia="MS PGothic" w:hAnsi="Arial" w:cs="Times New Roman"/>
      <w:sz w:val="18"/>
      <w:szCs w:val="24"/>
      <w:lang w:eastAsia="en-US"/>
    </w:rPr>
  </w:style>
  <w:style w:type="character" w:customStyle="1" w:styleId="Heading4Char">
    <w:name w:val="Heading 4 Char"/>
    <w:basedOn w:val="DefaultParagraphFont"/>
    <w:link w:val="Heading4"/>
    <w:uiPriority w:val="9"/>
    <w:semiHidden/>
    <w:rsid w:val="007B38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049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8814063">
      <w:bodyDiv w:val="1"/>
      <w:marLeft w:val="0"/>
      <w:marRight w:val="0"/>
      <w:marTop w:val="0"/>
      <w:marBottom w:val="0"/>
      <w:divBdr>
        <w:top w:val="none" w:sz="0" w:space="0" w:color="auto"/>
        <w:left w:val="none" w:sz="0" w:space="0" w:color="auto"/>
        <w:bottom w:val="none" w:sz="0" w:space="0" w:color="auto"/>
        <w:right w:val="none" w:sz="0" w:space="0" w:color="auto"/>
      </w:divBdr>
    </w:div>
    <w:div w:id="1563828987">
      <w:bodyDiv w:val="1"/>
      <w:marLeft w:val="0"/>
      <w:marRight w:val="0"/>
      <w:marTop w:val="0"/>
      <w:marBottom w:val="0"/>
      <w:divBdr>
        <w:top w:val="none" w:sz="0" w:space="0" w:color="auto"/>
        <w:left w:val="none" w:sz="0" w:space="0" w:color="auto"/>
        <w:bottom w:val="none" w:sz="0" w:space="0" w:color="auto"/>
        <w:right w:val="none" w:sz="0" w:space="0" w:color="auto"/>
      </w:divBdr>
    </w:div>
    <w:div w:id="16473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f2d2d782-0088-4826-96df-71eba56e6d2e"/>
    <ds:schemaRef ds:uri="d114b01d-ae01-4749-b845-9d88e7ef5c0e"/>
    <ds:schemaRef ds:uri="http://www.w3.org/XML/1998/namespac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18E10A4B-B9CF-4269-83ED-54A38CA4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2016-07-16T14:25:00Z</cp:lastPrinted>
  <dcterms:created xsi:type="dcterms:W3CDTF">2021-03-29T14:27:00Z</dcterms:created>
  <dcterms:modified xsi:type="dcterms:W3CDTF">2021-05-27T17:54:00Z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