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맑은 고딕" w:hAnsi="맑은 고딕" w:eastAsia="맑은 고딕"/>
          <w:b/>
          <w:sz w:val="40"/>
        </w:rPr>
        <w:t>기후변화 하 미국 옥수수 수확량 예측과</w:t>
        <w:br/>
        <w:t>작물 배분 최적화</w:t>
      </w:r>
    </w:p>
    <w:p>
      <w:pPr>
        <w:spacing w:after="40"/>
        <w:jc w:val="center"/>
      </w:pPr>
      <w:r>
        <w:rPr>
          <w:rFonts w:ascii="맑은 고딕" w:hAnsi="맑은 고딕" w:eastAsia="맑은 고딕"/>
          <w:b w:val="0"/>
          <w:i w:val="0"/>
          <w:color w:val="5A5A5A"/>
          <w:sz w:val="22"/>
        </w:rPr>
        <w:t>온난화 시나리오 하에서 예측 기반 작물 배분 최적화 (ML 2개 모델 + 조합 최적화)</w:t>
      </w:r>
    </w:p>
    <w:p>
      <w:pPr>
        <w:spacing w:after="360"/>
        <w:jc w:val="center"/>
      </w:pPr>
      <w:r>
        <w:rPr>
          <w:rFonts w:ascii="맑은 고딕" w:hAnsi="맑은 고딕" w:eastAsia="맑은 고딕"/>
          <w:b w:val="0"/>
          <w:i w:val="0"/>
          <w:color w:val="5A5A5A"/>
          <w:sz w:val="18"/>
        </w:rPr>
        <w:t>미국 카운티 단위 농업·기후 패널 (1981–2015) · 2,644 카운티 · 70,721 관측</w:t>
      </w:r>
    </w:p>
    <w:p>
      <w:pPr>
        <w:pStyle w:val="Heading1"/>
      </w:pPr>
      <w:r>
        <w:t>요약 (Abstract)</w:t>
      </w:r>
    </w:p>
    <w:p>
      <w:pPr>
        <w:spacing w:after="120"/>
      </w:pPr>
      <w:r>
        <w:rPr>
          <w:rFonts w:ascii="맑은 고딕" w:hAnsi="맑은 고딕" w:eastAsia="맑은 고딕"/>
          <w:b w:val="0"/>
          <w:i w:val="0"/>
          <w:sz w:val="20"/>
        </w:rPr>
        <w:t>본 연구는 미국 카운티 단위 기후·토양 자료로 옥수수와 대두의 수확량을 예측하고, 그 예측치를 계수로 삼아 온난화 시나리오 하의 작물 배분을 조합 최적화로 푼다. 1981–2015년 2,644개 카운티 70,721개 관측으로 구성한 패널에서, 생육기간(3–8월) 온도 노출 분포 121구간·강수·토양을 입력으로 9개 모델을 비교했다. 카운티 단위 GroupKFold 교차검증에서 LightGBM이 옥수수 R² 0.732 (RMSE 20.08 bu/ac), 대두 R² 0.807 (RMSE 4.62 bu/ac)로 최고 성능을 보였다.</w:t>
      </w:r>
    </w:p>
    <w:p>
      <w:pPr>
        <w:spacing w:after="120"/>
      </w:pPr>
      <w:r>
        <w:rPr>
          <w:rFonts w:ascii="맑은 고딕" w:hAnsi="맑은 고딕" w:eastAsia="맑은 고딕"/>
          <w:b w:val="0"/>
          <w:i w:val="0"/>
          <w:sz w:val="20"/>
        </w:rPr>
        <w:t>예측 성능과 별개로, 카운티·연도 고정효과를 흡수한 해석용 회귀에서 29℃ 이하 노출 1일을 29℃ 초과 노출로 대체할 때의 효과는 옥수수 −1.67 bu/ac/일 (SE 0.028, t = −60.7)로 강하게 유의했다. 지역과 연도를 통제해도 고온 피해가 살아남는다는 뜻이다. 대두의 같은 값은 −0.39 bu/ac/일 (t = −51.7)로, 옥수수가 고온에 더 취약하다.</w:t>
      </w:r>
    </w:p>
    <w:p>
      <w:pPr>
        <w:spacing w:after="120"/>
      </w:pPr>
      <w:r>
        <w:rPr>
          <w:rFonts w:ascii="맑은 고딕" w:hAnsi="맑은 고딕" w:eastAsia="맑은 고딕"/>
          <w:b w:val="0"/>
          <w:i w:val="0"/>
          <w:sz w:val="20"/>
        </w:rPr>
        <w:t>+2℃ 균일 온난화 시나리오(온도 노출 분포를 평행이동하되 총 184일 제약을 보존)를 적용하면, 재배 작물을 바꾸지 않을 경우 옥수수 수확량이 전국 평균 −8.98% (농지면적 가중 −8.68%) 감소하고 카운티의 79.2%가 손해를 본다. 이에 대해 각 카운티가 옥수수·대두 중 하나를 고르는 단작 조합 최적화를 유전 알고리즘(GA)으로 풀었다. 순이익($/ac)을 목적함수로, 현재 배분에서 벗어난 면적에 전환비용 λ를 부과했다.</w:t>
      </w:r>
    </w:p>
    <w:p>
      <w:pPr>
        <w:spacing w:after="280"/>
      </w:pPr>
      <w:r>
        <w:rPr>
          <w:rFonts w:ascii="맑은 고딕" w:hAnsi="맑은 고딕" w:eastAsia="맑은 고딕"/>
          <w:b w:val="0"/>
          <w:i w:val="0"/>
          <w:sz w:val="20"/>
        </w:rPr>
        <w:t>결과적으로 +2℃ 무조정 시 총순이익은 22.3%($857억) 감소하나, 트레이드오프 곡선의 무릎(λ = 42 $/ac)에서 GA는 전체 농지의 11.2%(2,142개 중 238개 카운티)만 작물을 바꿔 그 손실의 16.0%를 회복한다. 전환비용을 무시하는 Greedy는 2.7배 많은 면적(29.9%)을 갈아엎고도 22.6% 회복에 그쳐, "적은 변화로 손실의 상당 부분을 만회한다"는 적응의 비용효율성이 확인됐다. 전환은 남부와 중서부 주변부에서 옥수수 → 대두 방향으로 집중된다.</w:t>
      </w:r>
    </w:p>
    <w:p>
      <w:r>
        <w:br w:type="page"/>
      </w:r>
    </w:p>
    <w:p>
      <w:pPr>
        <w:pStyle w:val="Heading1"/>
      </w:pPr>
      <w:r>
        <w:t>1. 배경과 연구 질문</w:t>
      </w:r>
    </w:p>
    <w:p>
      <w:pPr>
        <w:pStyle w:val="Heading2"/>
      </w:pPr>
      <w:r>
        <w:t>1.1 왜 옥수수·온난화·최적화인가</w:t>
      </w:r>
    </w:p>
    <w:p>
      <w:pPr>
        <w:spacing w:after="120"/>
      </w:pPr>
      <w:r>
        <w:rPr>
          <w:rFonts w:ascii="맑은 고딕" w:hAnsi="맑은 고딕" w:eastAsia="맑은 고딕"/>
          <w:b w:val="0"/>
          <w:i w:val="0"/>
          <w:sz w:val="20"/>
        </w:rPr>
        <w:t>미국은 세계 곡물 시장의 최대 공급자다. 미국의 생산량이 흔들리면 수입국의 식량 가격과 안보가 함께 흔들린다. 다만 미국 자체는 식량이 부족한 나라가 아니므로, 이 연구가 다루는 것은 "부족을 막자"가 아니라 "온난화 상황에서 같은 땅에 무엇을 어디에 심는 것이 최적인가"라는 효율·적응의 문제다. 이는 최적화 문제로 정확히 정식화된다.</w:t>
      </w:r>
    </w:p>
    <w:p>
      <w:pPr>
        <w:spacing w:after="120"/>
      </w:pPr>
      <w:r>
        <w:rPr>
          <w:rFonts w:ascii="맑은 고딕" w:hAnsi="맑은 고딕" w:eastAsia="맑은 고딕"/>
          <w:b w:val="0"/>
          <w:i w:val="0"/>
          <w:sz w:val="20"/>
        </w:rPr>
        <w:t>방법론의 핵심 통찰은 수확량–기온 관계를 생육기간 평균기온으로 요약하면 안 된다는 것이다. 평균이 같아도 극한 고온 노출은 전혀 다를 수 있고, 수확량을 결정적으로 망치는 것은 후자다. 본 자료는 각 카운티·연도가 각 온도 구간에 며칠 노출됐는지를 분포 전체(121구간)로 기록한다 (Schlenker &amp; Roberts, 2009, PNAS). 이들은 옥수수가 약 29℃까지는 기온이 오를수록 수확량이 늘지만 그 임계점을 넘으면 매우 가파르게 감소하는 비선형·비대칭 반응을 보고했다.</w:t>
      </w:r>
    </w:p>
    <w:p>
      <w:pPr>
        <w:spacing w:after="120"/>
      </w:pPr>
      <w:r>
        <w:rPr>
          <w:rFonts w:ascii="맑은 고딕" w:hAnsi="맑은 고딕" w:eastAsia="맑은 고딕"/>
          <w:b w:val="0"/>
          <w:i w:val="0"/>
          <w:sz w:val="20"/>
        </w:rPr>
        <w:t>예측만으로는 "그래서 무엇을 해야 하는가"에 답하지 못한다. 따라서 예측 수확량을 의사결정(작물 선택)에 연결한다(predict-then-optimize). 다만 순진한 최적화는 "이론적 최대 생산"만 좇아 현재 밭을 모두 갈아엎으라는 비현실적 해를 낸다. 그래서 현재 배분에서 벗어난 정도에 벌점을 주는 전환비용 항을 넣어 "생산은 늘리되 지금과 너무 멀어지지 않는" 해를 구한다.</w:t>
      </w:r>
    </w:p>
    <w:p>
      <w:pPr>
        <w:pStyle w:val="Heading2"/>
      </w:pPr>
      <w:r>
        <w:t>1.2 가설</w:t>
      </w:r>
    </w:p>
    <w:p>
      <w:pPr>
        <w:spacing w:after="60"/>
      </w:pPr>
      <w:r>
        <w:rPr>
          <w:rFonts w:ascii="맑은 고딕" w:hAnsi="맑은 고딕" w:eastAsia="맑은 고딕"/>
          <w:b w:val="0"/>
          <w:i/>
          <w:color w:val="5A5A5A"/>
          <w:sz w:val="17"/>
        </w:rPr>
        <w:t>표 1. 연구 가설과 검정 결과 요약</w:t>
      </w:r>
    </w:p>
    <w:tbl>
      <w:tblPr>
        <w:tblStyle w:val="LightGrid-Accent1"/>
        <w:tblW w:type="auto" w:w="0"/>
        <w:jc w:val="center"/>
        <w:tblLook w:firstColumn="1" w:firstRow="1" w:lastColumn="0" w:lastRow="0" w:noHBand="0" w:noVBand="1" w:val="04A0"/>
      </w:tblPr>
      <w:tblGrid>
        <w:gridCol w:w="2880"/>
        <w:gridCol w:w="2880"/>
        <w:gridCol w:w="2880"/>
      </w:tblGrid>
      <w:tr>
        <w:tc>
          <w:tcPr>
            <w:tcW w:type="dxa" w:w="864"/>
          </w:tcPr>
          <w:p>
            <w:pPr>
              <w:jc w:val="center"/>
            </w:pPr>
            <w:r/>
            <w:r>
              <w:rPr>
                <w:rFonts w:ascii="맑은 고딕" w:hAnsi="맑은 고딕" w:eastAsia="맑은 고딕"/>
                <w:b/>
                <w:sz w:val="17"/>
              </w:rPr>
              <w:t>가설</w:t>
            </w:r>
          </w:p>
        </w:tc>
        <w:tc>
          <w:tcPr>
            <w:tcW w:type="dxa" w:w="5184"/>
          </w:tcPr>
          <w:p>
            <w:pPr>
              <w:jc w:val="center"/>
            </w:pPr>
            <w:r/>
            <w:r>
              <w:rPr>
                <w:rFonts w:ascii="맑은 고딕" w:hAnsi="맑은 고딕" w:eastAsia="맑은 고딕"/>
                <w:b/>
                <w:sz w:val="17"/>
              </w:rPr>
              <w:t>내용</w:t>
            </w:r>
          </w:p>
        </w:tc>
        <w:tc>
          <w:tcPr>
            <w:tcW w:type="dxa" w:w="2736"/>
          </w:tcPr>
          <w:p>
            <w:pPr>
              <w:jc w:val="center"/>
            </w:pPr>
            <w:r/>
            <w:r>
              <w:rPr>
                <w:rFonts w:ascii="맑은 고딕" w:hAnsi="맑은 고딕" w:eastAsia="맑은 고딕"/>
                <w:b/>
                <w:sz w:val="17"/>
              </w:rPr>
              <w:t>검정 결과</w:t>
            </w:r>
          </w:p>
        </w:tc>
      </w:tr>
      <w:tr>
        <w:tc>
          <w:tcPr>
            <w:tcW w:type="dxa" w:w="864"/>
          </w:tcPr>
          <w:p>
            <w:pPr>
              <w:jc w:val="left"/>
            </w:pPr>
            <w:r/>
            <w:r>
              <w:rPr>
                <w:rFonts w:ascii="맑은 고딕" w:hAnsi="맑은 고딕" w:eastAsia="맑은 고딕"/>
                <w:b w:val="0"/>
                <w:sz w:val="17"/>
              </w:rPr>
              <w:t>H1</w:t>
            </w:r>
          </w:p>
        </w:tc>
        <w:tc>
          <w:tcPr>
            <w:tcW w:type="dxa" w:w="5184"/>
          </w:tcPr>
          <w:p>
            <w:pPr>
              <w:jc w:val="center"/>
            </w:pPr>
            <w:r/>
            <w:r>
              <w:rPr>
                <w:rFonts w:ascii="맑은 고딕" w:hAnsi="맑은 고딕" w:eastAsia="맑은 고딕"/>
                <w:b w:val="0"/>
                <w:sz w:val="17"/>
              </w:rPr>
              <w:t>온도 노출·강수·토양이 옥수수 수확량을 유의미하게 예측한다</w:t>
            </w:r>
          </w:p>
        </w:tc>
        <w:tc>
          <w:tcPr>
            <w:tcW w:type="dxa" w:w="2736"/>
          </w:tcPr>
          <w:p>
            <w:pPr>
              <w:jc w:val="center"/>
            </w:pPr>
            <w:r/>
            <w:r>
              <w:rPr>
                <w:rFonts w:ascii="맑은 고딕" w:hAnsi="맑은 고딕" w:eastAsia="맑은 고딕"/>
                <w:b w:val="0"/>
                <w:sz w:val="17"/>
              </w:rPr>
              <w:t>지지 (R² 0.732)</w:t>
            </w:r>
          </w:p>
        </w:tc>
      </w:tr>
      <w:tr>
        <w:tc>
          <w:tcPr>
            <w:tcW w:type="dxa" w:w="864"/>
          </w:tcPr>
          <w:p>
            <w:pPr>
              <w:jc w:val="left"/>
            </w:pPr>
            <w:r/>
            <w:r>
              <w:rPr>
                <w:rFonts w:ascii="맑은 고딕" w:hAnsi="맑은 고딕" w:eastAsia="맑은 고딕"/>
                <w:b w:val="0"/>
                <w:sz w:val="17"/>
              </w:rPr>
              <w:t>H2</w:t>
            </w:r>
          </w:p>
        </w:tc>
        <w:tc>
          <w:tcPr>
            <w:tcW w:type="dxa" w:w="5184"/>
          </w:tcPr>
          <w:p>
            <w:pPr>
              <w:jc w:val="center"/>
            </w:pPr>
            <w:r/>
            <w:r>
              <w:rPr>
                <w:rFonts w:ascii="맑은 고딕" w:hAnsi="맑은 고딕" w:eastAsia="맑은 고딕"/>
                <w:b w:val="0"/>
                <w:sz w:val="17"/>
              </w:rPr>
              <w:t>약 29℃ 부근에서 꺾이는 비선형·비대칭 반응이 관측된다</w:t>
            </w:r>
          </w:p>
        </w:tc>
        <w:tc>
          <w:tcPr>
            <w:tcW w:type="dxa" w:w="2736"/>
          </w:tcPr>
          <w:p>
            <w:pPr>
              <w:jc w:val="center"/>
            </w:pPr>
            <w:r/>
            <w:r>
              <w:rPr>
                <w:rFonts w:ascii="맑은 고딕" w:hAnsi="맑은 고딕" w:eastAsia="맑은 고딕"/>
                <w:b w:val="0"/>
                <w:sz w:val="17"/>
              </w:rPr>
              <w:t>부분 지지 (얕은 고원)</w:t>
            </w:r>
          </w:p>
        </w:tc>
      </w:tr>
      <w:tr>
        <w:tc>
          <w:tcPr>
            <w:tcW w:type="dxa" w:w="864"/>
          </w:tcPr>
          <w:p>
            <w:pPr>
              <w:jc w:val="left"/>
            </w:pPr>
            <w:r/>
            <w:r>
              <w:rPr>
                <w:rFonts w:ascii="맑은 고딕" w:hAnsi="맑은 고딕" w:eastAsia="맑은 고딕"/>
                <w:b w:val="0"/>
                <w:sz w:val="17"/>
              </w:rPr>
              <w:t>H3</w:t>
            </w:r>
          </w:p>
        </w:tc>
        <w:tc>
          <w:tcPr>
            <w:tcW w:type="dxa" w:w="5184"/>
          </w:tcPr>
          <w:p>
            <w:pPr>
              <w:jc w:val="center"/>
            </w:pPr>
            <w:r/>
            <w:r>
              <w:rPr>
                <w:rFonts w:ascii="맑은 고딕" w:hAnsi="맑은 고딕" w:eastAsia="맑은 고딕"/>
                <w:b w:val="0"/>
                <w:sz w:val="17"/>
              </w:rPr>
              <w:t>정규화·트리 모델이 단순 OLS보다 안정적이고 정확하다</w:t>
            </w:r>
          </w:p>
        </w:tc>
        <w:tc>
          <w:tcPr>
            <w:tcW w:type="dxa" w:w="2736"/>
          </w:tcPr>
          <w:p>
            <w:pPr>
              <w:jc w:val="center"/>
            </w:pPr>
            <w:r/>
            <w:r>
              <w:rPr>
                <w:rFonts w:ascii="맑은 고딕" w:hAnsi="맑은 고딕" w:eastAsia="맑은 고딕"/>
                <w:b w:val="0"/>
                <w:sz w:val="17"/>
              </w:rPr>
              <w:t>지지 (+0.29 R²)</w:t>
            </w:r>
          </w:p>
        </w:tc>
      </w:tr>
      <w:tr>
        <w:tc>
          <w:tcPr>
            <w:tcW w:type="dxa" w:w="864"/>
          </w:tcPr>
          <w:p>
            <w:pPr>
              <w:jc w:val="left"/>
            </w:pPr>
            <w:r/>
            <w:r>
              <w:rPr>
                <w:rFonts w:ascii="맑은 고딕" w:hAnsi="맑은 고딕" w:eastAsia="맑은 고딕"/>
                <w:b w:val="0"/>
                <w:sz w:val="17"/>
              </w:rPr>
              <w:t>H4</w:t>
            </w:r>
          </w:p>
        </w:tc>
        <w:tc>
          <w:tcPr>
            <w:tcW w:type="dxa" w:w="5184"/>
          </w:tcPr>
          <w:p>
            <w:pPr>
              <w:jc w:val="center"/>
            </w:pPr>
            <w:r/>
            <w:r>
              <w:rPr>
                <w:rFonts w:ascii="맑은 고딕" w:hAnsi="맑은 고딕" w:eastAsia="맑은 고딕"/>
                <w:b w:val="0"/>
                <w:sz w:val="17"/>
              </w:rPr>
              <w:t>기후 예측은 추세를 재현하되 미래로 갈수록 불확실해진다</w:t>
            </w:r>
          </w:p>
        </w:tc>
        <w:tc>
          <w:tcPr>
            <w:tcW w:type="dxa" w:w="2736"/>
          </w:tcPr>
          <w:p>
            <w:pPr>
              <w:jc w:val="center"/>
            </w:pPr>
            <w:r/>
            <w:r>
              <w:rPr>
                <w:rFonts w:ascii="맑은 고딕" w:hAnsi="맑은 고딕" w:eastAsia="맑은 고딕"/>
                <w:b w:val="0"/>
                <w:sz w:val="17"/>
              </w:rPr>
              <w:t>지지 (시나리오로 처리)</w:t>
            </w:r>
          </w:p>
        </w:tc>
      </w:tr>
      <w:tr>
        <w:tc>
          <w:tcPr>
            <w:tcW w:type="dxa" w:w="864"/>
          </w:tcPr>
          <w:p>
            <w:pPr>
              <w:jc w:val="left"/>
            </w:pPr>
            <w:r/>
            <w:r>
              <w:rPr>
                <w:rFonts w:ascii="맑은 고딕" w:hAnsi="맑은 고딕" w:eastAsia="맑은 고딕"/>
                <w:b w:val="0"/>
                <w:sz w:val="17"/>
              </w:rPr>
              <w:t>H5</w:t>
            </w:r>
          </w:p>
        </w:tc>
        <w:tc>
          <w:tcPr>
            <w:tcW w:type="dxa" w:w="5184"/>
          </w:tcPr>
          <w:p>
            <w:pPr>
              <w:jc w:val="center"/>
            </w:pPr>
            <w:r/>
            <w:r>
              <w:rPr>
                <w:rFonts w:ascii="맑은 고딕" w:hAnsi="맑은 고딕" w:eastAsia="맑은 고딕"/>
                <w:b w:val="0"/>
                <w:sz w:val="17"/>
              </w:rPr>
              <w:t>메타휴리스틱이 정확 해법 대비 빠르게 근접해를 찾는다</w:t>
            </w:r>
          </w:p>
        </w:tc>
        <w:tc>
          <w:tcPr>
            <w:tcW w:type="dxa" w:w="2736"/>
          </w:tcPr>
          <w:p>
            <w:pPr>
              <w:jc w:val="center"/>
            </w:pPr>
            <w:r/>
            <w:r>
              <w:rPr>
                <w:rFonts w:ascii="맑은 고딕" w:hAnsi="맑은 고딕" w:eastAsia="맑은 고딕"/>
                <w:b w:val="0"/>
                <w:sz w:val="17"/>
              </w:rPr>
              <w:t>조건부 (아래 §7.2)</w:t>
            </w:r>
          </w:p>
        </w:tc>
      </w:tr>
      <w:tr>
        <w:tc>
          <w:tcPr>
            <w:tcW w:type="dxa" w:w="864"/>
          </w:tcPr>
          <w:p>
            <w:pPr>
              <w:jc w:val="left"/>
            </w:pPr>
            <w:r/>
            <w:r>
              <w:rPr>
                <w:rFonts w:ascii="맑은 고딕" w:hAnsi="맑은 고딕" w:eastAsia="맑은 고딕"/>
                <w:b w:val="0"/>
                <w:sz w:val="17"/>
              </w:rPr>
              <w:t>H6</w:t>
            </w:r>
          </w:p>
        </w:tc>
        <w:tc>
          <w:tcPr>
            <w:tcW w:type="dxa" w:w="5184"/>
          </w:tcPr>
          <w:p>
            <w:pPr>
              <w:jc w:val="center"/>
            </w:pPr>
            <w:r/>
            <w:r>
              <w:rPr>
                <w:rFonts w:ascii="맑은 고딕" w:hAnsi="맑은 고딕" w:eastAsia="맑은 고딕"/>
                <w:b w:val="0"/>
                <w:sz w:val="17"/>
              </w:rPr>
              <w:t>λ를 키우면 우하향 트레이드오프와 스윗스팟이 나타난다</w:t>
            </w:r>
          </w:p>
        </w:tc>
        <w:tc>
          <w:tcPr>
            <w:tcW w:type="dxa" w:w="2736"/>
          </w:tcPr>
          <w:p>
            <w:pPr>
              <w:jc w:val="center"/>
            </w:pPr>
            <w:r/>
            <w:r>
              <w:rPr>
                <w:rFonts w:ascii="맑은 고딕" w:hAnsi="맑은 고딕" w:eastAsia="맑은 고딕"/>
                <w:b w:val="0"/>
                <w:sz w:val="17"/>
              </w:rPr>
              <w:t>지지 (무릎 λ=42)</w:t>
            </w:r>
          </w:p>
        </w:tc>
      </w:tr>
      <w:tr>
        <w:tc>
          <w:tcPr>
            <w:tcW w:type="dxa" w:w="864"/>
          </w:tcPr>
          <w:p>
            <w:pPr>
              <w:jc w:val="left"/>
            </w:pPr>
            <w:r/>
            <w:r>
              <w:rPr>
                <w:rFonts w:ascii="맑은 고딕" w:hAnsi="맑은 고딕" w:eastAsia="맑은 고딕"/>
                <w:b w:val="0"/>
                <w:sz w:val="17"/>
              </w:rPr>
              <w:t>H7</w:t>
            </w:r>
          </w:p>
        </w:tc>
        <w:tc>
          <w:tcPr>
            <w:tcW w:type="dxa" w:w="5184"/>
          </w:tcPr>
          <w:p>
            <w:pPr>
              <w:jc w:val="center"/>
            </w:pPr>
            <w:r/>
            <w:r>
              <w:rPr>
                <w:rFonts w:ascii="맑은 고딕" w:hAnsi="맑은 고딕" w:eastAsia="맑은 고딕"/>
                <w:b w:val="0"/>
                <w:sz w:val="17"/>
              </w:rPr>
              <w:t>온난화 시 무조정이면 감소하나 재배치로 상당 부분 회복</w:t>
            </w:r>
          </w:p>
        </w:tc>
        <w:tc>
          <w:tcPr>
            <w:tcW w:type="dxa" w:w="2736"/>
          </w:tcPr>
          <w:p>
            <w:pPr>
              <w:jc w:val="center"/>
            </w:pPr>
            <w:r/>
            <w:r>
              <w:rPr>
                <w:rFonts w:ascii="맑은 고딕" w:hAnsi="맑은 고딕" w:eastAsia="맑은 고딕"/>
                <w:b w:val="0"/>
                <w:sz w:val="17"/>
              </w:rPr>
              <w:t>지지 (16.0% 회복)</w:t>
            </w:r>
          </w:p>
        </w:tc>
      </w:tr>
      <w:tr>
        <w:tc>
          <w:tcPr>
            <w:tcW w:type="dxa" w:w="864"/>
          </w:tcPr>
          <w:p>
            <w:pPr>
              <w:jc w:val="left"/>
            </w:pPr>
            <w:r/>
            <w:r>
              <w:rPr>
                <w:rFonts w:ascii="맑은 고딕" w:hAnsi="맑은 고딕" w:eastAsia="맑은 고딕"/>
                <w:b w:val="0"/>
                <w:sz w:val="17"/>
              </w:rPr>
              <w:t>H8</w:t>
            </w:r>
          </w:p>
        </w:tc>
        <w:tc>
          <w:tcPr>
            <w:tcW w:type="dxa" w:w="5184"/>
          </w:tcPr>
          <w:p>
            <w:pPr>
              <w:jc w:val="center"/>
            </w:pPr>
            <w:r/>
            <w:r>
              <w:rPr>
                <w:rFonts w:ascii="맑은 고딕" w:hAnsi="맑은 고딕" w:eastAsia="맑은 고딕"/>
                <w:b w:val="0"/>
                <w:sz w:val="17"/>
              </w:rPr>
              <w:t>온난화 시 최적 작물 지도가 북상한다 (재배 벨트 북상)</w:t>
            </w:r>
          </w:p>
        </w:tc>
        <w:tc>
          <w:tcPr>
            <w:tcW w:type="dxa" w:w="2736"/>
          </w:tcPr>
          <w:p>
            <w:pPr>
              <w:jc w:val="center"/>
            </w:pPr>
            <w:r/>
            <w:r>
              <w:rPr>
                <w:rFonts w:ascii="맑은 고딕" w:hAnsi="맑은 고딕" w:eastAsia="맑은 고딕"/>
                <w:b w:val="0"/>
                <w:sz w:val="17"/>
              </w:rPr>
              <w:t>판정 불가 (§9)</w:t>
            </w:r>
          </w:p>
        </w:tc>
      </w:tr>
    </w:tbl>
    <w:p>
      <w:pPr>
        <w:spacing w:after="160"/>
      </w:pPr>
    </w:p>
    <w:p>
      <w:pPr>
        <w:pStyle w:val="Heading1"/>
      </w:pPr>
      <w:r>
        <w:t>2. 데이터와 전처리</w:t>
      </w:r>
    </w:p>
    <w:p>
      <w:pPr>
        <w:spacing w:after="120"/>
      </w:pPr>
      <w:r>
        <w:rPr>
          <w:rFonts w:ascii="맑은 고딕" w:hAnsi="맑은 고딕" w:eastAsia="맑은 고딕"/>
          <w:b w:val="0"/>
          <w:i w:val="0"/>
          <w:sz w:val="20"/>
        </w:rPr>
        <w:t>공통 키는 stco(5자리 FIPS = 주 2자리 + 카운티 3자리)이고, 시계열 파일은 year(1981–2015)를 추가 키로 갖는다. 생육창은 옥수수 기준 3–8월(MarAug)로 일관되게 사용했다.</w:t>
      </w:r>
    </w:p>
    <w:p>
      <w:pPr>
        <w:spacing w:after="60"/>
      </w:pPr>
      <w:r>
        <w:rPr>
          <w:rFonts w:ascii="맑은 고딕" w:hAnsi="맑은 고딕" w:eastAsia="맑은 고딕"/>
          <w:b w:val="0"/>
          <w:i/>
          <w:color w:val="5A5A5A"/>
          <w:sz w:val="17"/>
        </w:rPr>
        <w:t>표 2. 원자료 6종과 처리 방식</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tcPr>
          <w:p>
            <w:pPr>
              <w:jc w:val="center"/>
            </w:pPr>
            <w:r/>
            <w:r>
              <w:rPr>
                <w:rFonts w:ascii="맑은 고딕" w:hAnsi="맑은 고딕" w:eastAsia="맑은 고딕"/>
                <w:b/>
                <w:sz w:val="17"/>
              </w:rPr>
              <w:t>원자료</w:t>
            </w:r>
          </w:p>
        </w:tc>
        <w:tc>
          <w:tcPr>
            <w:tcW w:type="dxa" w:w="3168"/>
          </w:tcPr>
          <w:p>
            <w:pPr>
              <w:jc w:val="center"/>
            </w:pPr>
            <w:r/>
            <w:r>
              <w:rPr>
                <w:rFonts w:ascii="맑은 고딕" w:hAnsi="맑은 고딕" w:eastAsia="맑은 고딕"/>
                <w:b/>
                <w:sz w:val="17"/>
              </w:rPr>
              <w:t>내용</w:t>
            </w:r>
          </w:p>
        </w:tc>
        <w:tc>
          <w:tcPr>
            <w:tcW w:type="dxa" w:w="3456"/>
          </w:tcPr>
          <w:p>
            <w:pPr>
              <w:jc w:val="center"/>
            </w:pPr>
            <w:r/>
            <w:r>
              <w:rPr>
                <w:rFonts w:ascii="맑은 고딕" w:hAnsi="맑은 고딕" w:eastAsia="맑은 고딕"/>
                <w:b/>
                <w:sz w:val="17"/>
              </w:rPr>
              <w:t>규모 / 처리</w:t>
            </w:r>
          </w:p>
        </w:tc>
      </w:tr>
      <w:tr>
        <w:tc>
          <w:tcPr>
            <w:tcW w:type="dxa" w:w="2160"/>
          </w:tcPr>
          <w:p>
            <w:pPr>
              <w:jc w:val="left"/>
            </w:pPr>
            <w:r/>
            <w:r>
              <w:rPr>
                <w:rFonts w:ascii="맑은 고딕" w:hAnsi="맑은 고딕" w:eastAsia="맑은 고딕"/>
                <w:b w:val="0"/>
                <w:sz w:val="17"/>
              </w:rPr>
              <w:t>yielddata.csv</w:t>
            </w:r>
          </w:p>
        </w:tc>
        <w:tc>
          <w:tcPr>
            <w:tcW w:type="dxa" w:w="3168"/>
          </w:tcPr>
          <w:p>
            <w:pPr>
              <w:jc w:val="center"/>
            </w:pPr>
            <w:r/>
            <w:r>
              <w:rPr>
                <w:rFonts w:ascii="맑은 고딕" w:hAnsi="맑은 고딕" w:eastAsia="맑은 고딕"/>
                <w:b w:val="0"/>
                <w:sz w:val="17"/>
              </w:rPr>
              <w:t>옥수수·대두·면화·밀 수확량 (bu/ac)</w:t>
            </w:r>
          </w:p>
        </w:tc>
        <w:tc>
          <w:tcPr>
            <w:tcW w:type="dxa" w:w="3456"/>
          </w:tcPr>
          <w:p>
            <w:pPr>
              <w:jc w:val="center"/>
            </w:pPr>
            <w:r/>
            <w:r>
              <w:rPr>
                <w:rFonts w:ascii="맑은 고딕" w:hAnsi="맑은 고딕" w:eastAsia="맑은 고딕"/>
                <w:b w:val="0"/>
                <w:sz w:val="17"/>
              </w:rPr>
              <w:t>107,450 × 6. 타깃 겸 "현재 재배 작물"의 근거</w:t>
            </w:r>
          </w:p>
        </w:tc>
      </w:tr>
      <w:tr>
        <w:tc>
          <w:tcPr>
            <w:tcW w:type="dxa" w:w="2160"/>
          </w:tcPr>
          <w:p>
            <w:pPr>
              <w:jc w:val="left"/>
            </w:pPr>
            <w:r/>
            <w:r>
              <w:rPr>
                <w:rFonts w:ascii="맑은 고딕" w:hAnsi="맑은 고딕" w:eastAsia="맑은 고딕"/>
                <w:b w:val="0"/>
                <w:sz w:val="17"/>
              </w:rPr>
              <w:t>gddMarAug.csv</w:t>
            </w:r>
          </w:p>
        </w:tc>
        <w:tc>
          <w:tcPr>
            <w:tcW w:type="dxa" w:w="3168"/>
          </w:tcPr>
          <w:p>
            <w:pPr>
              <w:jc w:val="center"/>
            </w:pPr>
            <w:r/>
            <w:r>
              <w:rPr>
                <w:rFonts w:ascii="맑은 고딕" w:hAnsi="맑은 고딕" w:eastAsia="맑은 고딕"/>
                <w:b w:val="0"/>
                <w:sz w:val="17"/>
              </w:rPr>
              <w:t>온도 노출 분포 121구간 (−60…0…+60℃)</w:t>
            </w:r>
          </w:p>
        </w:tc>
        <w:tc>
          <w:tcPr>
            <w:tcW w:type="dxa" w:w="3456"/>
          </w:tcPr>
          <w:p>
            <w:pPr>
              <w:jc w:val="center"/>
            </w:pPr>
            <w:r/>
            <w:r>
              <w:rPr>
                <w:rFonts w:ascii="맑은 고딕" w:hAnsi="맑은 고딕" w:eastAsia="맑은 고딕"/>
                <w:b w:val="0"/>
                <w:sz w:val="17"/>
              </w:rPr>
              <w:t>핵심 입력. 행 합 = 184일 (생육기간 일수)</w:t>
            </w:r>
          </w:p>
        </w:tc>
      </w:tr>
      <w:tr>
        <w:tc>
          <w:tcPr>
            <w:tcW w:type="dxa" w:w="2160"/>
          </w:tcPr>
          <w:p>
            <w:pPr>
              <w:jc w:val="left"/>
            </w:pPr>
            <w:r/>
            <w:r>
              <w:rPr>
                <w:rFonts w:ascii="맑은 고딕" w:hAnsi="맑은 고딕" w:eastAsia="맑은 고딕"/>
                <w:b w:val="0"/>
                <w:sz w:val="17"/>
              </w:rPr>
              <w:t>pptMarAug.csv</w:t>
            </w:r>
          </w:p>
        </w:tc>
        <w:tc>
          <w:tcPr>
            <w:tcW w:type="dxa" w:w="3168"/>
          </w:tcPr>
          <w:p>
            <w:pPr>
              <w:jc w:val="center"/>
            </w:pPr>
            <w:r/>
            <w:r>
              <w:rPr>
                <w:rFonts w:ascii="맑은 고딕" w:hAnsi="맑은 고딕" w:eastAsia="맑은 고딕"/>
                <w:b w:val="0"/>
                <w:sz w:val="17"/>
              </w:rPr>
              <w:t>생육기간 강수량 ppt (mm)</w:t>
            </w:r>
          </w:p>
        </w:tc>
        <w:tc>
          <w:tcPr>
            <w:tcW w:type="dxa" w:w="3456"/>
          </w:tcPr>
          <w:p>
            <w:pPr>
              <w:jc w:val="center"/>
            </w:pPr>
            <w:r/>
            <w:r>
              <w:rPr>
                <w:rFonts w:ascii="맑은 고딕" w:hAnsi="맑은 고딕" w:eastAsia="맑은 고딕"/>
                <w:b w:val="0"/>
                <w:sz w:val="17"/>
              </w:rPr>
              <w:t>선형 + 이차항(ppt²)으로 투입</w:t>
            </w:r>
          </w:p>
        </w:tc>
      </w:tr>
      <w:tr>
        <w:tc>
          <w:tcPr>
            <w:tcW w:type="dxa" w:w="2160"/>
          </w:tcPr>
          <w:p>
            <w:pPr>
              <w:jc w:val="left"/>
            </w:pPr>
            <w:r/>
            <w:r>
              <w:rPr>
                <w:rFonts w:ascii="맑은 고딕" w:hAnsi="맑은 고딕" w:eastAsia="맑은 고딕"/>
                <w:b w:val="0"/>
                <w:sz w:val="17"/>
              </w:rPr>
              <w:t>soil{1992,2001,2006,2011}.csv</w:t>
            </w:r>
          </w:p>
        </w:tc>
        <w:tc>
          <w:tcPr>
            <w:tcW w:type="dxa" w:w="3168"/>
          </w:tcPr>
          <w:p>
            <w:pPr>
              <w:jc w:val="center"/>
            </w:pPr>
            <w:r/>
            <w:r>
              <w:rPr>
                <w:rFonts w:ascii="맑은 고딕" w:hAnsi="맑은 고딕" w:eastAsia="맑은 고딕"/>
                <w:b w:val="0"/>
                <w:sz w:val="17"/>
              </w:rPr>
              <w:t>토양 특성 (보수력·사토·점토·유기물·pH 등)</w:t>
            </w:r>
          </w:p>
        </w:tc>
        <w:tc>
          <w:tcPr>
            <w:tcW w:type="dxa" w:w="3456"/>
          </w:tcPr>
          <w:p>
            <w:pPr>
              <w:jc w:val="center"/>
            </w:pPr>
            <w:r/>
            <w:r>
              <w:rPr>
                <w:rFonts w:ascii="맑은 고딕" w:hAnsi="맑은 고딕" w:eastAsia="맑은 고딕"/>
                <w:b w:val="0"/>
                <w:sz w:val="17"/>
              </w:rPr>
              <w:t>거의 시불변. era 구간별로 가까운 스냅샷 매핑</w:t>
            </w:r>
          </w:p>
        </w:tc>
      </w:tr>
      <w:tr>
        <w:tc>
          <w:tcPr>
            <w:tcW w:type="dxa" w:w="2160"/>
          </w:tcPr>
          <w:p>
            <w:pPr>
              <w:jc w:val="left"/>
            </w:pPr>
            <w:r/>
            <w:r>
              <w:rPr>
                <w:rFonts w:ascii="맑은 고딕" w:hAnsi="맑은 고딕" w:eastAsia="맑은 고딕"/>
                <w:b w:val="0"/>
                <w:sz w:val="17"/>
              </w:rPr>
              <w:t>gridInfo.csv</w:t>
            </w:r>
          </w:p>
        </w:tc>
        <w:tc>
          <w:tcPr>
            <w:tcW w:type="dxa" w:w="3168"/>
          </w:tcPr>
          <w:p>
            <w:pPr>
              <w:jc w:val="center"/>
            </w:pPr>
            <w:r/>
            <w:r>
              <w:rPr>
                <w:rFonts w:ascii="맑은 고딕" w:hAnsi="맑은 고딕" w:eastAsia="맑은 고딕"/>
                <w:b w:val="0"/>
                <w:sz w:val="17"/>
              </w:rPr>
              <w:t>카운티 내 농지 규모 (numAg)</w:t>
            </w:r>
          </w:p>
        </w:tc>
        <w:tc>
          <w:tcPr>
            <w:tcW w:type="dxa" w:w="3456"/>
          </w:tcPr>
          <w:p>
            <w:pPr>
              <w:jc w:val="center"/>
            </w:pPr>
            <w:r/>
            <w:r>
              <w:rPr>
                <w:rFonts w:ascii="맑은 고딕" w:hAnsi="맑은 고딕" w:eastAsia="맑은 고딕"/>
                <w:b w:val="0"/>
                <w:sz w:val="17"/>
              </w:rPr>
              <w:t>455,582행 → 카운티 집계 3,070개. 최적화의 A_c</w:t>
            </w:r>
          </w:p>
        </w:tc>
      </w:tr>
      <w:tr>
        <w:tc>
          <w:tcPr>
            <w:tcW w:type="dxa" w:w="2160"/>
          </w:tcPr>
          <w:p>
            <w:pPr>
              <w:jc w:val="left"/>
            </w:pPr>
            <w:r/>
            <w:r>
              <w:rPr>
                <w:rFonts w:ascii="맑은 고딕" w:hAnsi="맑은 고딕" w:eastAsia="맑은 고딕"/>
                <w:b w:val="0"/>
                <w:sz w:val="17"/>
              </w:rPr>
              <w:t>cntymap (shapefile)</w:t>
            </w:r>
          </w:p>
        </w:tc>
        <w:tc>
          <w:tcPr>
            <w:tcW w:type="dxa" w:w="3168"/>
          </w:tcPr>
          <w:p>
            <w:pPr>
              <w:jc w:val="center"/>
            </w:pPr>
            <w:r/>
            <w:r>
              <w:rPr>
                <w:rFonts w:ascii="맑은 고딕" w:hAnsi="맑은 고딕" w:eastAsia="맑은 고딕"/>
                <w:b w:val="0"/>
                <w:sz w:val="17"/>
              </w:rPr>
              <w:t>카운티 경계 폴리곤</w:t>
            </w:r>
          </w:p>
        </w:tc>
        <w:tc>
          <w:tcPr>
            <w:tcW w:type="dxa" w:w="3456"/>
          </w:tcPr>
          <w:p>
            <w:pPr>
              <w:jc w:val="center"/>
            </w:pPr>
            <w:r/>
            <w:r>
              <w:rPr>
                <w:rFonts w:ascii="맑은 고딕" w:hAnsi="맑은 고딕" w:eastAsia="맑은 고딕"/>
                <w:b w:val="0"/>
                <w:sz w:val="17"/>
              </w:rPr>
              <w:t>FIPS 결합으로 코로플레스 지도 작성</w:t>
            </w:r>
          </w:p>
        </w:tc>
      </w:tr>
    </w:tbl>
    <w:p>
      <w:pPr>
        <w:spacing w:after="160"/>
      </w:pPr>
    </w:p>
    <w:p>
      <w:pPr>
        <w:pStyle w:val="Heading2"/>
      </w:pPr>
      <w:r>
        <w:t>2.1 병합과 결측 처리</w:t>
      </w:r>
    </w:p>
    <w:p>
      <w:pPr>
        <w:pStyle w:val="ListBullet"/>
        <w:spacing w:after="60" w:line="324" w:lineRule="auto"/>
      </w:pPr>
      <w:r>
        <w:rPr>
          <w:rFonts w:ascii="맑은 고딕" w:hAnsi="맑은 고딕" w:eastAsia="맑은 고딕"/>
          <w:sz w:val="20"/>
        </w:rPr>
        <w:t>soil 연도 매핑: 토양은 거의 시불변이므로 1981–2015를 4개 era로 나눠 각 era에 가장 가까운 스냅샷(1992/2001/2006/2011)을 매핑했다.</w:t>
      </w:r>
    </w:p>
    <w:p>
      <w:pPr>
        <w:pStyle w:val="ListBullet"/>
        <w:spacing w:after="60" w:line="324" w:lineRule="auto"/>
      </w:pPr>
      <w:r>
        <w:rPr>
          <w:rFonts w:ascii="맑은 고딕" w:hAnsi="맑은 고딕" w:eastAsia="맑은 고딕"/>
          <w:sz w:val="20"/>
        </w:rPr>
        <w:t>gridInfo 집계: 격자 단위 455,582행을 카운티(stco)로 집계해 3,070개 카운티의 농지 규모 A_c를 만들었다.</w:t>
      </w:r>
    </w:p>
    <w:p>
      <w:pPr>
        <w:pStyle w:val="ListBullet"/>
        <w:spacing w:after="60" w:line="324" w:lineRule="auto"/>
      </w:pPr>
      <w:r>
        <w:rPr>
          <w:rFonts w:ascii="맑은 고딕" w:hAnsi="맑은 고딕" w:eastAsia="맑은 고딕"/>
          <w:sz w:val="20"/>
        </w:rPr>
        <w:t>타깃 결측 제거: 옥수수가 NA인 36,729행(서부 건조 카운티 등 미재배)을 제거해 최종 패널 70,721행 / 2,644 카운티 / 136컬럼을 얻었다.</w:t>
      </w:r>
    </w:p>
    <w:p>
      <w:pPr>
        <w:pStyle w:val="ListBullet"/>
        <w:spacing w:after="60" w:line="324" w:lineRule="auto"/>
      </w:pPr>
      <w:r>
        <w:rPr>
          <w:rFonts w:ascii="맑은 고딕" w:hAnsi="맑은 고딕" w:eastAsia="맑은 고딕"/>
          <w:sz w:val="20"/>
        </w:rPr>
        <w:t>gddm4 결측 1셀: 총합 184일 제약을 이용해 184 − (나머지 합) = 2.310으로 복원했다 (중앙값 대체 시 이웃 구간과 어긋남).</w:t>
      </w:r>
    </w:p>
    <w:p>
      <w:pPr>
        <w:pStyle w:val="ListBullet"/>
        <w:spacing w:after="60" w:line="324" w:lineRule="auto"/>
      </w:pPr>
      <w:r>
        <w:rPr>
          <w:rFonts w:ascii="맑은 고딕" w:hAnsi="맑은 고딕" w:eastAsia="맑은 고딕"/>
          <w:sz w:val="20"/>
        </w:rPr>
        <w:t>slope 결측 2,061행(2.91%, 98개 카운티)은 지역 클러스터로 뭉쳐 있어 MNAR로 판단, 주 중앙값 대체 + 결측 지시자를 시험했으나 성능 기여가 없어(ΔR² +0.004) 최종 모델에서 제외했다.</w:t>
      </w:r>
    </w:p>
    <w:p>
      <w:pPr>
        <w:pStyle w:val="Heading2"/>
      </w:pPr>
      <w:r>
        <w:t>2.2 두 개의 더미변수 함정</w:t>
      </w:r>
    </w:p>
    <w:p>
      <w:pPr>
        <w:spacing w:after="120"/>
      </w:pPr>
      <w:r>
        <w:rPr>
          <w:rFonts w:ascii="맑은 고딕" w:hAnsi="맑은 고딕" w:eastAsia="맑은 고딕"/>
          <w:b w:val="0"/>
          <w:i w:val="0"/>
          <w:sz w:val="20"/>
        </w:rPr>
        <w:t>이 자료에는 구조적 항등식이 두 개 있어 그대로 모델에 넣으면 완전공선성이 생긴다. (1) 온도 노출 121구간의 행별 합이 항상 184일로 고정된다(실측 평균 184.00, 표준편차 0.015). (2) sand + silt + clay = 100이 정확히 성립한다. 전자는 기준 구간 하나를 제외하는 방식으로 (전략 A는 냉량 구간, 전략 B는 gddp24), 후자는 silt를 제외하는 방식으로 해소했다.</w:t>
      </w:r>
    </w:p>
    <w:p>
      <w:pPr>
        <w:spacing w:after="240"/>
      </w:pPr>
      <w:r>
        <w:rPr>
          <w:rFonts w:ascii="맑은 고딕" w:hAnsi="맑은 고딕" w:eastAsia="맑은 고딕"/>
          <w:b w:val="0"/>
          <w:i w:val="0"/>
          <w:sz w:val="20"/>
        </w:rPr>
        <w:t>이 184일 제약은 해석에도 결정적이다. 총합이 고정되어 있으므로 "노출이 늘었다"는 말은 반드시 "다른 구간의 노출이 줄었다"는 뜻이다. 따라서 개별 계수가 아니라 대체효과 (29℃ 이하 1일 → 29℃ 초과 1일)로만 해석해야 한다.</w:t>
      </w:r>
    </w:p>
    <w:p>
      <w:r>
        <w:br w:type="page"/>
      </w:r>
    </w:p>
    <w:p>
      <w:pPr>
        <w:pStyle w:val="Heading1"/>
      </w:pPr>
      <w:r>
        <w:t>3. 탐색적 자료 분석 (EDA)</w:t>
      </w:r>
    </w:p>
    <w:p>
      <w:pPr>
        <w:spacing w:after="120"/>
      </w:pPr>
      <w:r>
        <w:rPr>
          <w:rFonts w:ascii="맑은 고딕" w:hAnsi="맑은 고딕" w:eastAsia="맑은 고딕"/>
          <w:b w:val="0"/>
          <w:i w:val="0"/>
          <w:sz w:val="20"/>
        </w:rPr>
        <w:t>패널의 수확량은 1981년 평균 87.7 bu/ac에서 2015년 151.1 bu/ac로 34년간 +63.5 bu/ac 상승했다(연 +1.77 bu/ac). 이는 기후가 아니라 품종·농법의 기술 발전 추세이며, 이후 모델에서 year를 기술추세 대리변수로 투입하는 근거가 된다.</w:t>
      </w:r>
    </w:p>
    <w:p>
      <w:pPr>
        <w:jc w:val="center"/>
      </w:pPr>
      <w:r>
        <w:drawing>
          <wp:inline xmlns:a="http://schemas.openxmlformats.org/drawingml/2006/main" xmlns:pic="http://schemas.openxmlformats.org/drawingml/2006/picture">
            <wp:extent cx="5577840" cy="2503009"/>
            <wp:docPr id="1" name="Picture 1"/>
            <wp:cNvGraphicFramePr>
              <a:graphicFrameLocks noChangeAspect="1"/>
            </wp:cNvGraphicFramePr>
            <a:graphic>
              <a:graphicData uri="http://schemas.openxmlformats.org/drawingml/2006/picture">
                <pic:pic>
                  <pic:nvPicPr>
                    <pic:cNvPr id="0" name="fig05_yield_vs_exposure.png"/>
                    <pic:cNvPicPr/>
                  </pic:nvPicPr>
                  <pic:blipFill>
                    <a:blip r:embed="rId9"/>
                    <a:stretch>
                      <a:fillRect/>
                    </a:stretch>
                  </pic:blipFill>
                  <pic:spPr>
                    <a:xfrm>
                      <a:off x="0" y="0"/>
                      <a:ext cx="5577840" cy="2503009"/>
                    </a:xfrm>
                    <a:prstGeom prst="rect"/>
                  </pic:spPr>
                </pic:pic>
              </a:graphicData>
            </a:graphic>
          </wp:inline>
        </w:drawing>
      </w:r>
    </w:p>
    <w:p>
      <w:pPr>
        <w:spacing w:after="240"/>
        <w:jc w:val="center"/>
      </w:pPr>
      <w:r>
        <w:rPr>
          <w:rFonts w:ascii="맑은 고딕" w:hAnsi="맑은 고딕" w:eastAsia="맑은 고딕"/>
          <w:b w:val="0"/>
          <w:i/>
          <w:color w:val="5A5A5A"/>
          <w:sz w:val="17"/>
        </w:rPr>
        <w:t>그림 1. 29℃ 초과/이하 노출과 수확량. 초과 노출이 늘수록 수확량이 급감한다 (정점 123.1 bu/ac @ 10일 → 최저 68.0 bu/ac @ 74일).</w:t>
      </w:r>
    </w:p>
    <w:p>
      <w:pPr>
        <w:spacing w:after="120"/>
      </w:pPr>
      <w:r>
        <w:rPr>
          <w:rFonts w:ascii="맑은 고딕" w:hAnsi="맑은 고딕" w:eastAsia="맑은 고딕"/>
          <w:b w:val="0"/>
          <w:i w:val="0"/>
          <w:sz w:val="20"/>
        </w:rPr>
        <w:t>핵심 발견은 평균기온이 아니라 노출 분포가 문제라는 것을 보여주는 매칭 사례다. 아래 두 카운티·연도는 노출가중 평균기온이 사실상 동일(20.51℃ vs 20.52℃, 차이 0.012℃)하지만, 29℃ 초과 노출일수가 44.8일 대 7.3일로 37.6일이나 다르고, 수확량은 95.4 대 153.0 bu/ac로 갈린다.</w:t>
      </w:r>
    </w:p>
    <w:p>
      <w:pPr>
        <w:spacing w:after="60"/>
      </w:pPr>
      <w:r>
        <w:rPr>
          <w:rFonts w:ascii="맑은 고딕" w:hAnsi="맑은 고딕" w:eastAsia="맑은 고딕"/>
          <w:b w:val="0"/>
          <w:i/>
          <w:color w:val="5A5A5A"/>
          <w:sz w:val="17"/>
        </w:rPr>
        <w:t>표 3. 매칭 사례 — 평균기온은 같지만 극한 고온 노출이 다르면 수확량이 갈린다</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864"/>
          </w:tcPr>
          <w:p>
            <w:pPr>
              <w:jc w:val="center"/>
            </w:pPr>
            <w:r/>
            <w:r>
              <w:rPr>
                <w:rFonts w:ascii="맑은 고딕" w:hAnsi="맑은 고딕" w:eastAsia="맑은 고딕"/>
                <w:b/>
                <w:sz w:val="17"/>
              </w:rPr>
              <w:t>사례</w:t>
            </w:r>
          </w:p>
        </w:tc>
        <w:tc>
          <w:tcPr>
            <w:tcW w:type="dxa" w:w="2160"/>
          </w:tcPr>
          <w:p>
            <w:pPr>
              <w:jc w:val="center"/>
            </w:pPr>
            <w:r/>
            <w:r>
              <w:rPr>
                <w:rFonts w:ascii="맑은 고딕" w:hAnsi="맑은 고딕" w:eastAsia="맑은 고딕"/>
                <w:b/>
                <w:sz w:val="17"/>
              </w:rPr>
              <w:t>카운티·연도</w:t>
            </w:r>
          </w:p>
        </w:tc>
        <w:tc>
          <w:tcPr>
            <w:tcW w:type="dxa" w:w="1728"/>
          </w:tcPr>
          <w:p>
            <w:pPr>
              <w:jc w:val="center"/>
            </w:pPr>
            <w:r/>
            <w:r>
              <w:rPr>
                <w:rFonts w:ascii="맑은 고딕" w:hAnsi="맑은 고딕" w:eastAsia="맑은 고딕"/>
                <w:b/>
                <w:sz w:val="17"/>
              </w:rPr>
              <w:t>노출가중 평균기온</w:t>
            </w:r>
          </w:p>
        </w:tc>
        <w:tc>
          <w:tcPr>
            <w:tcW w:type="dxa" w:w="1152"/>
          </w:tcPr>
          <w:p>
            <w:pPr>
              <w:jc w:val="center"/>
            </w:pPr>
            <w:r/>
            <w:r>
              <w:rPr>
                <w:rFonts w:ascii="맑은 고딕" w:hAnsi="맑은 고딕" w:eastAsia="맑은 고딕"/>
                <w:b/>
                <w:sz w:val="17"/>
              </w:rPr>
              <w:t>&gt;29℃ 노출</w:t>
            </w:r>
          </w:p>
        </w:tc>
        <w:tc>
          <w:tcPr>
            <w:tcW w:type="dxa" w:w="1152"/>
          </w:tcPr>
          <w:p>
            <w:pPr>
              <w:jc w:val="center"/>
            </w:pPr>
            <w:r/>
            <w:r>
              <w:rPr>
                <w:rFonts w:ascii="맑은 고딕" w:hAnsi="맑은 고딕" w:eastAsia="맑은 고딕"/>
                <w:b/>
                <w:sz w:val="17"/>
              </w:rPr>
              <w:t>&lt;29℃ 노출</w:t>
            </w:r>
          </w:p>
        </w:tc>
        <w:tc>
          <w:tcPr>
            <w:tcW w:type="dxa" w:w="1440"/>
          </w:tcPr>
          <w:p>
            <w:pPr>
              <w:jc w:val="center"/>
            </w:pPr>
            <w:r/>
            <w:r>
              <w:rPr>
                <w:rFonts w:ascii="맑은 고딕" w:hAnsi="맑은 고딕" w:eastAsia="맑은 고딕"/>
                <w:b/>
                <w:sz w:val="17"/>
              </w:rPr>
              <w:t>수확량</w:t>
            </w:r>
          </w:p>
        </w:tc>
      </w:tr>
      <w:tr>
        <w:tc>
          <w:tcPr>
            <w:tcW w:type="dxa" w:w="864"/>
          </w:tcPr>
          <w:p>
            <w:pPr>
              <w:jc w:val="left"/>
            </w:pPr>
            <w:r/>
            <w:r>
              <w:rPr>
                <w:rFonts w:ascii="맑은 고딕" w:hAnsi="맑은 고딕" w:eastAsia="맑은 고딕"/>
                <w:b w:val="0"/>
                <w:sz w:val="17"/>
              </w:rPr>
              <w:t>HOT</w:t>
            </w:r>
          </w:p>
        </w:tc>
        <w:tc>
          <w:tcPr>
            <w:tcW w:type="dxa" w:w="2160"/>
          </w:tcPr>
          <w:p>
            <w:pPr>
              <w:jc w:val="center"/>
            </w:pPr>
            <w:r/>
            <w:r>
              <w:rPr>
                <w:rFonts w:ascii="맑은 고딕" w:hAnsi="맑은 고딕" w:eastAsia="맑은 고딕"/>
                <w:b w:val="0"/>
                <w:sz w:val="17"/>
              </w:rPr>
              <w:t>stco 20063 · 2011</w:t>
            </w:r>
          </w:p>
        </w:tc>
        <w:tc>
          <w:tcPr>
            <w:tcW w:type="dxa" w:w="1728"/>
          </w:tcPr>
          <w:p>
            <w:pPr>
              <w:jc w:val="center"/>
            </w:pPr>
            <w:r/>
            <w:r>
              <w:rPr>
                <w:rFonts w:ascii="맑은 고딕" w:hAnsi="맑은 고딕" w:eastAsia="맑은 고딕"/>
                <w:b w:val="0"/>
                <w:sz w:val="17"/>
              </w:rPr>
              <w:t>20.51℃</w:t>
            </w:r>
          </w:p>
        </w:tc>
        <w:tc>
          <w:tcPr>
            <w:tcW w:type="dxa" w:w="1152"/>
          </w:tcPr>
          <w:p>
            <w:pPr>
              <w:jc w:val="center"/>
            </w:pPr>
            <w:r/>
            <w:r>
              <w:rPr>
                <w:rFonts w:ascii="맑은 고딕" w:hAnsi="맑은 고딕" w:eastAsia="맑은 고딕"/>
                <w:b w:val="0"/>
                <w:sz w:val="17"/>
              </w:rPr>
              <w:t>44.8일</w:t>
            </w:r>
          </w:p>
        </w:tc>
        <w:tc>
          <w:tcPr>
            <w:tcW w:type="dxa" w:w="1152"/>
          </w:tcPr>
          <w:p>
            <w:pPr>
              <w:jc w:val="center"/>
            </w:pPr>
            <w:r/>
            <w:r>
              <w:rPr>
                <w:rFonts w:ascii="맑은 고딕" w:hAnsi="맑은 고딕" w:eastAsia="맑은 고딕"/>
                <w:b w:val="0"/>
                <w:sz w:val="17"/>
              </w:rPr>
              <w:t>130.0일</w:t>
            </w:r>
          </w:p>
        </w:tc>
        <w:tc>
          <w:tcPr>
            <w:tcW w:type="dxa" w:w="1440"/>
          </w:tcPr>
          <w:p>
            <w:pPr>
              <w:jc w:val="center"/>
            </w:pPr>
            <w:r/>
            <w:r>
              <w:rPr>
                <w:rFonts w:ascii="맑은 고딕" w:hAnsi="맑은 고딕" w:eastAsia="맑은 고딕"/>
                <w:b w:val="0"/>
                <w:sz w:val="17"/>
              </w:rPr>
              <w:t>95.4 bu/ac</w:t>
            </w:r>
          </w:p>
        </w:tc>
      </w:tr>
      <w:tr>
        <w:tc>
          <w:tcPr>
            <w:tcW w:type="dxa" w:w="864"/>
          </w:tcPr>
          <w:p>
            <w:pPr>
              <w:jc w:val="left"/>
            </w:pPr>
            <w:r/>
            <w:r>
              <w:rPr>
                <w:rFonts w:ascii="맑은 고딕" w:hAnsi="맑은 고딕" w:eastAsia="맑은 고딕"/>
                <w:b w:val="0"/>
                <w:sz w:val="17"/>
              </w:rPr>
              <w:t>MILD</w:t>
            </w:r>
          </w:p>
        </w:tc>
        <w:tc>
          <w:tcPr>
            <w:tcW w:type="dxa" w:w="2160"/>
          </w:tcPr>
          <w:p>
            <w:pPr>
              <w:jc w:val="center"/>
            </w:pPr>
            <w:r/>
            <w:r>
              <w:rPr>
                <w:rFonts w:ascii="맑은 고딕" w:hAnsi="맑은 고딕" w:eastAsia="맑은 고딕"/>
                <w:b w:val="0"/>
                <w:sz w:val="17"/>
              </w:rPr>
              <w:t>stco 47031 · 2004</w:t>
            </w:r>
          </w:p>
        </w:tc>
        <w:tc>
          <w:tcPr>
            <w:tcW w:type="dxa" w:w="1728"/>
          </w:tcPr>
          <w:p>
            <w:pPr>
              <w:jc w:val="center"/>
            </w:pPr>
            <w:r/>
            <w:r>
              <w:rPr>
                <w:rFonts w:ascii="맑은 고딕" w:hAnsi="맑은 고딕" w:eastAsia="맑은 고딕"/>
                <w:b w:val="0"/>
                <w:sz w:val="17"/>
              </w:rPr>
              <w:t>20.52℃</w:t>
            </w:r>
          </w:p>
        </w:tc>
        <w:tc>
          <w:tcPr>
            <w:tcW w:type="dxa" w:w="1152"/>
          </w:tcPr>
          <w:p>
            <w:pPr>
              <w:jc w:val="center"/>
            </w:pPr>
            <w:r/>
            <w:r>
              <w:rPr>
                <w:rFonts w:ascii="맑은 고딕" w:hAnsi="맑은 고딕" w:eastAsia="맑은 고딕"/>
                <w:b w:val="0"/>
                <w:sz w:val="17"/>
              </w:rPr>
              <w:t>7.3일</w:t>
            </w:r>
          </w:p>
        </w:tc>
        <w:tc>
          <w:tcPr>
            <w:tcW w:type="dxa" w:w="1152"/>
          </w:tcPr>
          <w:p>
            <w:pPr>
              <w:jc w:val="center"/>
            </w:pPr>
            <w:r/>
            <w:r>
              <w:rPr>
                <w:rFonts w:ascii="맑은 고딕" w:hAnsi="맑은 고딕" w:eastAsia="맑은 고딕"/>
                <w:b w:val="0"/>
                <w:sz w:val="17"/>
              </w:rPr>
              <w:t>175.7일</w:t>
            </w:r>
          </w:p>
        </w:tc>
        <w:tc>
          <w:tcPr>
            <w:tcW w:type="dxa" w:w="1440"/>
          </w:tcPr>
          <w:p>
            <w:pPr>
              <w:jc w:val="center"/>
            </w:pPr>
            <w:r/>
            <w:r>
              <w:rPr>
                <w:rFonts w:ascii="맑은 고딕" w:hAnsi="맑은 고딕" w:eastAsia="맑은 고딕"/>
                <w:b w:val="0"/>
                <w:sz w:val="17"/>
              </w:rPr>
              <w:t>153.0 bu/ac</w:t>
            </w:r>
          </w:p>
        </w:tc>
      </w:tr>
      <w:tr>
        <w:tc>
          <w:tcPr>
            <w:tcW w:type="dxa" w:w="864"/>
          </w:tcPr>
          <w:p>
            <w:pPr>
              <w:jc w:val="left"/>
            </w:pPr>
            <w:r/>
            <w:r>
              <w:rPr>
                <w:rFonts w:ascii="맑은 고딕" w:hAnsi="맑은 고딕" w:eastAsia="맑은 고딕"/>
                <w:b/>
                <w:sz w:val="17"/>
              </w:rPr>
              <w:t>차이</w:t>
            </w:r>
          </w:p>
        </w:tc>
        <w:tc>
          <w:tcPr>
            <w:tcW w:type="dxa" w:w="2160"/>
          </w:tcPr>
          <w:p>
            <w:pPr>
              <w:jc w:val="center"/>
            </w:pPr>
            <w:r/>
            <w:r>
              <w:rPr>
                <w:rFonts w:ascii="맑은 고딕" w:hAnsi="맑은 고딕" w:eastAsia="맑은 고딕"/>
                <w:b/>
                <w:sz w:val="17"/>
              </w:rPr>
              <w:t>—</w:t>
            </w:r>
          </w:p>
        </w:tc>
        <w:tc>
          <w:tcPr>
            <w:tcW w:type="dxa" w:w="1728"/>
          </w:tcPr>
          <w:p>
            <w:pPr>
              <w:jc w:val="center"/>
            </w:pPr>
            <w:r/>
            <w:r>
              <w:rPr>
                <w:rFonts w:ascii="맑은 고딕" w:hAnsi="맑은 고딕" w:eastAsia="맑은 고딕"/>
                <w:b/>
                <w:sz w:val="17"/>
              </w:rPr>
              <w:t>0.012℃</w:t>
            </w:r>
          </w:p>
        </w:tc>
        <w:tc>
          <w:tcPr>
            <w:tcW w:type="dxa" w:w="1152"/>
          </w:tcPr>
          <w:p>
            <w:pPr>
              <w:jc w:val="center"/>
            </w:pPr>
            <w:r/>
            <w:r>
              <w:rPr>
                <w:rFonts w:ascii="맑은 고딕" w:hAnsi="맑은 고딕" w:eastAsia="맑은 고딕"/>
                <w:b/>
                <w:sz w:val="17"/>
              </w:rPr>
              <w:t>37.6일</w:t>
            </w:r>
          </w:p>
        </w:tc>
        <w:tc>
          <w:tcPr>
            <w:tcW w:type="dxa" w:w="1152"/>
          </w:tcPr>
          <w:p>
            <w:pPr>
              <w:jc w:val="center"/>
            </w:pPr>
            <w:r/>
            <w:r>
              <w:rPr>
                <w:rFonts w:ascii="맑은 고딕" w:hAnsi="맑은 고딕" w:eastAsia="맑은 고딕"/>
                <w:b/>
                <w:sz w:val="17"/>
              </w:rPr>
              <w:t>−45.7일</w:t>
            </w:r>
          </w:p>
        </w:tc>
        <w:tc>
          <w:tcPr>
            <w:tcW w:type="dxa" w:w="1440"/>
          </w:tcPr>
          <w:p>
            <w:pPr>
              <w:jc w:val="center"/>
            </w:pPr>
            <w:r/>
            <w:r>
              <w:rPr>
                <w:rFonts w:ascii="맑은 고딕" w:hAnsi="맑은 고딕" w:eastAsia="맑은 고딕"/>
                <w:b/>
                <w:sz w:val="17"/>
              </w:rPr>
              <w:t>−57.6 bu/ac</w:t>
            </w:r>
          </w:p>
        </w:tc>
      </w:tr>
    </w:tbl>
    <w:p>
      <w:pPr>
        <w:spacing w:after="160"/>
      </w:pPr>
    </w:p>
    <w:p>
      <w:pPr>
        <w:jc w:val="center"/>
      </w:pPr>
      <w:r>
        <w:drawing>
          <wp:inline xmlns:a="http://schemas.openxmlformats.org/drawingml/2006/main" xmlns:pic="http://schemas.openxmlformats.org/drawingml/2006/picture">
            <wp:extent cx="5577840" cy="4355807"/>
            <wp:docPr id="2" name="Picture 2"/>
            <wp:cNvGraphicFramePr>
              <a:graphicFrameLocks noChangeAspect="1"/>
            </wp:cNvGraphicFramePr>
            <a:graphic>
              <a:graphicData uri="http://schemas.openxmlformats.org/drawingml/2006/picture">
                <pic:pic>
                  <pic:nvPicPr>
                    <pic:cNvPr id="0" name="fig04_matched_pair.png"/>
                    <pic:cNvPicPr/>
                  </pic:nvPicPr>
                  <pic:blipFill>
                    <a:blip r:embed="rId10"/>
                    <a:stretch>
                      <a:fillRect/>
                    </a:stretch>
                  </pic:blipFill>
                  <pic:spPr>
                    <a:xfrm>
                      <a:off x="0" y="0"/>
                      <a:ext cx="5577840" cy="4355807"/>
                    </a:xfrm>
                    <a:prstGeom prst="rect"/>
                  </pic:spPr>
                </pic:pic>
              </a:graphicData>
            </a:graphic>
          </wp:inline>
        </w:drawing>
      </w:r>
    </w:p>
    <w:p>
      <w:pPr>
        <w:spacing w:after="240"/>
        <w:jc w:val="center"/>
      </w:pPr>
      <w:r>
        <w:rPr>
          <w:rFonts w:ascii="맑은 고딕" w:hAnsi="맑은 고딕" w:eastAsia="맑은 고딕"/>
          <w:b w:val="0"/>
          <w:i/>
          <w:color w:val="5A5A5A"/>
          <w:sz w:val="17"/>
        </w:rPr>
        <w:t>그림 2. 매칭 사례의 온도 노출 분포 비교. 평균은 겹치지만 오른쪽 꼬리(고온부)의 질량이 결정적으로 다르다.</w:t>
      </w:r>
    </w:p>
    <w:p>
      <w:pPr>
        <w:spacing w:after="120"/>
      </w:pPr>
      <w:r>
        <w:rPr>
          <w:rFonts w:ascii="맑은 고딕" w:hAnsi="맑은 고딕" w:eastAsia="맑은 고딕"/>
          <w:b w:val="0"/>
          <w:i w:val="0"/>
          <w:sz w:val="20"/>
        </w:rPr>
        <w:t>한편 인접 온도 구간들은 극심하게 상관되어 있다. 1℃ 떨어진 구간 쌍의 평균 |r|이 0.940, 최대 |r|은 0.982이며, |r| &gt; 0.9인 쌍이 143개다. 이는 정규화(Ridge/Lasso) 또는 도메인 압축이 필요하다는 직접적 근거이며, 실제로 §4에서 정규화 없는 OLS는 전략 B에서 붕괴한다.</w:t>
      </w:r>
    </w:p>
    <w:p>
      <w:pPr>
        <w:jc w:val="center"/>
      </w:pPr>
      <w:r>
        <w:drawing>
          <wp:inline xmlns:a="http://schemas.openxmlformats.org/drawingml/2006/main" xmlns:pic="http://schemas.openxmlformats.org/drawingml/2006/picture">
            <wp:extent cx="4937760" cy="4233041"/>
            <wp:docPr id="3" name="Picture 3"/>
            <wp:cNvGraphicFramePr>
              <a:graphicFrameLocks noChangeAspect="1"/>
            </wp:cNvGraphicFramePr>
            <a:graphic>
              <a:graphicData uri="http://schemas.openxmlformats.org/drawingml/2006/picture">
                <pic:pic>
                  <pic:nvPicPr>
                    <pic:cNvPr id="0" name="fig07_gdd_corr.png"/>
                    <pic:cNvPicPr/>
                  </pic:nvPicPr>
                  <pic:blipFill>
                    <a:blip r:embed="rId11"/>
                    <a:stretch>
                      <a:fillRect/>
                    </a:stretch>
                  </pic:blipFill>
                  <pic:spPr>
                    <a:xfrm>
                      <a:off x="0" y="0"/>
                      <a:ext cx="4937760" cy="4233041"/>
                    </a:xfrm>
                    <a:prstGeom prst="rect"/>
                  </pic:spPr>
                </pic:pic>
              </a:graphicData>
            </a:graphic>
          </wp:inline>
        </w:drawing>
      </w:r>
    </w:p>
    <w:p>
      <w:pPr>
        <w:spacing w:after="240"/>
        <w:jc w:val="center"/>
      </w:pPr>
      <w:r>
        <w:rPr>
          <w:rFonts w:ascii="맑은 고딕" w:hAnsi="맑은 고딕" w:eastAsia="맑은 고딕"/>
          <w:b w:val="0"/>
          <w:i/>
          <w:color w:val="5A5A5A"/>
          <w:sz w:val="17"/>
        </w:rPr>
        <w:t>그림 3. 온도 구간 간 상관행렬. 인접 구간의 평균 |r| = 0.940 (최대 0.982) — 심각한 다중공선성.</w:t>
      </w:r>
    </w:p>
    <w:p>
      <w:pPr>
        <w:spacing w:after="240"/>
      </w:pPr>
      <w:r>
        <w:rPr>
          <w:rFonts w:ascii="맑은 고딕" w:hAnsi="맑은 고딕" w:eastAsia="맑은 고딕"/>
          <w:b w:val="0"/>
          <w:i w:val="0"/>
          <w:sz w:val="20"/>
        </w:rPr>
        <w:t>임계점 민감도 분석에서는 28~31℃ 사이 R² 차이가 0.0089에 불과한 얕은 고원(plateau)이 나타났다. 즉 데이터는 "고온이 해롭다"는 것은 강하게 말하지만, 임계점이 정확히 29℃라고 날카롭게 특정하지는 못한다. 이것이 H2를 "부분 지지"로 판정한 이유다. 선행연구와의 정합성을 위해 T = 29℃를 채택했다.</w:t>
      </w:r>
    </w:p>
    <w:p>
      <w:r>
        <w:br w:type="page"/>
      </w:r>
    </w:p>
    <w:p>
      <w:pPr>
        <w:pStyle w:val="Heading1"/>
      </w:pPr>
      <w:r>
        <w:t>4. 수확량 예측 모델</w:t>
      </w:r>
    </w:p>
    <w:p>
      <w:pPr>
        <w:pStyle w:val="Heading2"/>
      </w:pPr>
      <w:r>
        <w:t>4.1 평가 프로토콜 — 왜 카운티 단위 분할인가</w:t>
      </w:r>
    </w:p>
    <w:p>
      <w:pPr>
        <w:spacing w:after="120"/>
      </w:pPr>
      <w:r>
        <w:rPr>
          <w:rFonts w:ascii="맑은 고딕" w:hAnsi="맑은 고딕" w:eastAsia="맑은 고딕"/>
          <w:b w:val="0"/>
          <w:i w:val="0"/>
          <w:sz w:val="20"/>
        </w:rPr>
        <w:t>무작위 분할은 같은 카운티의 다른 연도가 학습·평가에 동시에 들어가 정보 누출을 일으킨다. 실제로 RandomForest의 홀드아웃 R²이 무작위 분할에서 0.654였으나 카운티 그룹 분할에서 0.448로 −0.205 떨어졌다. 따라서 전 과정에서 GroupKFold(stco) 5-fold를 사용했다. 아래 성능은 모두 이 정직한 평가 기준의 결과다.</w:t>
      </w:r>
    </w:p>
    <w:p>
      <w:pPr>
        <w:spacing w:after="120"/>
      </w:pPr>
      <w:r>
        <w:rPr>
          <w:rFonts w:ascii="맑은 고딕" w:hAnsi="맑은 고딕" w:eastAsia="맑은 고딕"/>
          <w:b w:val="0"/>
          <w:i w:val="0"/>
          <w:sz w:val="20"/>
        </w:rPr>
        <w:t>피처는 두 전략을 비교했다. 전략 A는 도메인 압축(Schlenker–Roberts 방식: GDD_below_29, GDD_above_29, ppt, ppt², 토양 8개 = 13피처), 전략 B는 원자료 + 정규화(온도구간 86개 + ppt 2개 + 토양 8개 + year = 97피처)다.</w:t>
      </w:r>
    </w:p>
    <w:p>
      <w:pPr>
        <w:pStyle w:val="Heading2"/>
      </w:pPr>
      <w:r>
        <w:t>4.2 옥수수 — 9개 모델 × 2개 전략</w:t>
      </w:r>
    </w:p>
    <w:p>
      <w:pPr>
        <w:spacing w:after="60"/>
      </w:pPr>
      <w:r>
        <w:rPr>
          <w:rFonts w:ascii="맑은 고딕" w:hAnsi="맑은 고딕" w:eastAsia="맑은 고딕"/>
          <w:b w:val="0"/>
          <w:i/>
          <w:color w:val="5A5A5A"/>
          <w:sz w:val="17"/>
        </w:rPr>
        <w:t>표 4. 옥수수 수확량 모델 비교 (GroupKFold(stco) 5-fold). 전체 18개 조합 중 주요 10개</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2016"/>
          </w:tcPr>
          <w:p>
            <w:pPr>
              <w:jc w:val="center"/>
            </w:pPr>
            <w:r/>
            <w:r>
              <w:rPr>
                <w:rFonts w:ascii="맑은 고딕" w:hAnsi="맑은 고딕" w:eastAsia="맑은 고딕"/>
                <w:b/>
                <w:sz w:val="17"/>
              </w:rPr>
              <w:t>모델</w:t>
            </w:r>
          </w:p>
        </w:tc>
        <w:tc>
          <w:tcPr>
            <w:tcW w:type="dxa" w:w="1008"/>
          </w:tcPr>
          <w:p>
            <w:pPr>
              <w:jc w:val="center"/>
            </w:pPr>
            <w:r/>
            <w:r>
              <w:rPr>
                <w:rFonts w:ascii="맑은 고딕" w:hAnsi="맑은 고딕" w:eastAsia="맑은 고딕"/>
                <w:b/>
                <w:sz w:val="17"/>
              </w:rPr>
              <w:t>전략</w:t>
            </w:r>
          </w:p>
        </w:tc>
        <w:tc>
          <w:tcPr>
            <w:tcW w:type="dxa" w:w="1872"/>
          </w:tcPr>
          <w:p>
            <w:pPr>
              <w:jc w:val="center"/>
            </w:pPr>
            <w:r/>
            <w:r>
              <w:rPr>
                <w:rFonts w:ascii="맑은 고딕" w:hAnsi="맑은 고딕" w:eastAsia="맑은 고딕"/>
                <w:b/>
                <w:sz w:val="17"/>
              </w:rPr>
              <w:t>CV R²</w:t>
            </w:r>
          </w:p>
        </w:tc>
        <w:tc>
          <w:tcPr>
            <w:tcW w:type="dxa" w:w="1584"/>
          </w:tcPr>
          <w:p>
            <w:pPr>
              <w:jc w:val="center"/>
            </w:pPr>
            <w:r/>
            <w:r>
              <w:rPr>
                <w:rFonts w:ascii="맑은 고딕" w:hAnsi="맑은 고딕" w:eastAsia="맑은 고딕"/>
                <w:b/>
                <w:sz w:val="17"/>
              </w:rPr>
              <w:t>RMSE (bu/ac)</w:t>
            </w:r>
          </w:p>
        </w:tc>
        <w:tc>
          <w:tcPr>
            <w:tcW w:type="dxa" w:w="1152"/>
          </w:tcPr>
          <w:p>
            <w:pPr>
              <w:jc w:val="center"/>
            </w:pPr>
            <w:r/>
            <w:r>
              <w:rPr>
                <w:rFonts w:ascii="맑은 고딕" w:hAnsi="맑은 고딕" w:eastAsia="맑은 고딕"/>
                <w:b/>
                <w:sz w:val="17"/>
              </w:rPr>
              <w:t>MAE</w:t>
            </w:r>
          </w:p>
        </w:tc>
        <w:tc>
          <w:tcPr>
            <w:tcW w:type="dxa" w:w="1152"/>
          </w:tcPr>
          <w:p>
            <w:pPr>
              <w:jc w:val="center"/>
            </w:pPr>
            <w:r/>
            <w:r>
              <w:rPr>
                <w:rFonts w:ascii="맑은 고딕" w:hAnsi="맑은 고딕" w:eastAsia="맑은 고딕"/>
                <w:b/>
                <w:sz w:val="17"/>
              </w:rPr>
              <w:t>시간(s)</w:t>
            </w:r>
          </w:p>
        </w:tc>
      </w:tr>
      <w:tr>
        <w:tc>
          <w:tcPr>
            <w:tcW w:type="dxa" w:w="2016"/>
          </w:tcPr>
          <w:p>
            <w:pPr>
              <w:jc w:val="left"/>
            </w:pPr>
            <w:r/>
            <w:r>
              <w:rPr>
                <w:rFonts w:ascii="맑은 고딕" w:hAnsi="맑은 고딕" w:eastAsia="맑은 고딕"/>
                <w:b/>
                <w:sz w:val="17"/>
              </w:rPr>
              <w:t>LightGBM</w:t>
            </w:r>
          </w:p>
        </w:tc>
        <w:tc>
          <w:tcPr>
            <w:tcW w:type="dxa" w:w="1008"/>
          </w:tcPr>
          <w:p>
            <w:pPr>
              <w:jc w:val="center"/>
            </w:pPr>
            <w:r/>
            <w:r>
              <w:rPr>
                <w:rFonts w:ascii="맑은 고딕" w:hAnsi="맑은 고딕" w:eastAsia="맑은 고딕"/>
                <w:b/>
                <w:sz w:val="17"/>
              </w:rPr>
              <w:t>B</w:t>
            </w:r>
          </w:p>
        </w:tc>
        <w:tc>
          <w:tcPr>
            <w:tcW w:type="dxa" w:w="1872"/>
          </w:tcPr>
          <w:p>
            <w:pPr>
              <w:jc w:val="center"/>
            </w:pPr>
            <w:r/>
            <w:r>
              <w:rPr>
                <w:rFonts w:ascii="맑은 고딕" w:hAnsi="맑은 고딕" w:eastAsia="맑은 고딕"/>
                <w:b/>
                <w:sz w:val="17"/>
              </w:rPr>
              <w:t>0.732 ± 0.005</w:t>
            </w:r>
          </w:p>
        </w:tc>
        <w:tc>
          <w:tcPr>
            <w:tcW w:type="dxa" w:w="1584"/>
          </w:tcPr>
          <w:p>
            <w:pPr>
              <w:jc w:val="center"/>
            </w:pPr>
            <w:r/>
            <w:r>
              <w:rPr>
                <w:rFonts w:ascii="맑은 고딕" w:hAnsi="맑은 고딕" w:eastAsia="맑은 고딕"/>
                <w:b/>
                <w:sz w:val="17"/>
              </w:rPr>
              <w:t>20.08</w:t>
            </w:r>
          </w:p>
        </w:tc>
        <w:tc>
          <w:tcPr>
            <w:tcW w:type="dxa" w:w="1152"/>
          </w:tcPr>
          <w:p>
            <w:pPr>
              <w:jc w:val="center"/>
            </w:pPr>
            <w:r/>
            <w:r>
              <w:rPr>
                <w:rFonts w:ascii="맑은 고딕" w:hAnsi="맑은 고딕" w:eastAsia="맑은 고딕"/>
                <w:b/>
                <w:sz w:val="17"/>
              </w:rPr>
              <w:t>14.31</w:t>
            </w:r>
          </w:p>
        </w:tc>
        <w:tc>
          <w:tcPr>
            <w:tcW w:type="dxa" w:w="1152"/>
          </w:tcPr>
          <w:p>
            <w:pPr>
              <w:jc w:val="center"/>
            </w:pPr>
            <w:r/>
            <w:r>
              <w:rPr>
                <w:rFonts w:ascii="맑은 고딕" w:hAnsi="맑은 고딕" w:eastAsia="맑은 고딕"/>
                <w:b/>
                <w:sz w:val="17"/>
              </w:rPr>
              <w:t>76</w:t>
            </w:r>
          </w:p>
        </w:tc>
      </w:tr>
      <w:tr>
        <w:tc>
          <w:tcPr>
            <w:tcW w:type="dxa" w:w="2016"/>
          </w:tcPr>
          <w:p>
            <w:pPr>
              <w:jc w:val="left"/>
            </w:pPr>
            <w:r/>
            <w:r>
              <w:rPr>
                <w:rFonts w:ascii="맑은 고딕" w:hAnsi="맑은 고딕" w:eastAsia="맑은 고딕"/>
                <w:b w:val="0"/>
                <w:sz w:val="17"/>
              </w:rPr>
              <w:t>RandomForest</w:t>
            </w:r>
          </w:p>
        </w:tc>
        <w:tc>
          <w:tcPr>
            <w:tcW w:type="dxa" w:w="1008"/>
          </w:tcPr>
          <w:p>
            <w:pPr>
              <w:jc w:val="center"/>
            </w:pPr>
            <w:r/>
            <w:r>
              <w:rPr>
                <w:rFonts w:ascii="맑은 고딕" w:hAnsi="맑은 고딕" w:eastAsia="맑은 고딕"/>
                <w:b w:val="0"/>
                <w:sz w:val="17"/>
              </w:rPr>
              <w:t>B</w:t>
            </w:r>
          </w:p>
        </w:tc>
        <w:tc>
          <w:tcPr>
            <w:tcW w:type="dxa" w:w="1872"/>
          </w:tcPr>
          <w:p>
            <w:pPr>
              <w:jc w:val="center"/>
            </w:pPr>
            <w:r/>
            <w:r>
              <w:rPr>
                <w:rFonts w:ascii="맑은 고딕" w:hAnsi="맑은 고딕" w:eastAsia="맑은 고딕"/>
                <w:b w:val="0"/>
                <w:sz w:val="17"/>
              </w:rPr>
              <w:t>0.730 ± 0.007</w:t>
            </w:r>
          </w:p>
        </w:tc>
        <w:tc>
          <w:tcPr>
            <w:tcW w:type="dxa" w:w="1584"/>
          </w:tcPr>
          <w:p>
            <w:pPr>
              <w:jc w:val="center"/>
            </w:pPr>
            <w:r/>
            <w:r>
              <w:rPr>
                <w:rFonts w:ascii="맑은 고딕" w:hAnsi="맑은 고딕" w:eastAsia="맑은 고딕"/>
                <w:b w:val="0"/>
                <w:sz w:val="17"/>
              </w:rPr>
              <w:t>20.13</w:t>
            </w:r>
          </w:p>
        </w:tc>
        <w:tc>
          <w:tcPr>
            <w:tcW w:type="dxa" w:w="1152"/>
          </w:tcPr>
          <w:p>
            <w:pPr>
              <w:jc w:val="center"/>
            </w:pPr>
            <w:r/>
            <w:r>
              <w:rPr>
                <w:rFonts w:ascii="맑은 고딕" w:hAnsi="맑은 고딕" w:eastAsia="맑은 고딕"/>
                <w:b w:val="0"/>
                <w:sz w:val="17"/>
              </w:rPr>
              <w:t>14.08</w:t>
            </w:r>
          </w:p>
        </w:tc>
        <w:tc>
          <w:tcPr>
            <w:tcW w:type="dxa" w:w="1152"/>
          </w:tcPr>
          <w:p>
            <w:pPr>
              <w:jc w:val="center"/>
            </w:pPr>
            <w:r/>
            <w:r>
              <w:rPr>
                <w:rFonts w:ascii="맑은 고딕" w:hAnsi="맑은 고딕" w:eastAsia="맑은 고딕"/>
                <w:b w:val="0"/>
                <w:sz w:val="17"/>
              </w:rPr>
              <w:t>633</w:t>
            </w:r>
          </w:p>
        </w:tc>
      </w:tr>
      <w:tr>
        <w:tc>
          <w:tcPr>
            <w:tcW w:type="dxa" w:w="2016"/>
          </w:tcPr>
          <w:p>
            <w:pPr>
              <w:jc w:val="left"/>
            </w:pPr>
            <w:r/>
            <w:r>
              <w:rPr>
                <w:rFonts w:ascii="맑은 고딕" w:hAnsi="맑은 고딕" w:eastAsia="맑은 고딕"/>
                <w:b w:val="0"/>
                <w:sz w:val="17"/>
              </w:rPr>
              <w:t>XGBoost</w:t>
            </w:r>
          </w:p>
        </w:tc>
        <w:tc>
          <w:tcPr>
            <w:tcW w:type="dxa" w:w="1008"/>
          </w:tcPr>
          <w:p>
            <w:pPr>
              <w:jc w:val="center"/>
            </w:pPr>
            <w:r/>
            <w:r>
              <w:rPr>
                <w:rFonts w:ascii="맑은 고딕" w:hAnsi="맑은 고딕" w:eastAsia="맑은 고딕"/>
                <w:b w:val="0"/>
                <w:sz w:val="17"/>
              </w:rPr>
              <w:t>B</w:t>
            </w:r>
          </w:p>
        </w:tc>
        <w:tc>
          <w:tcPr>
            <w:tcW w:type="dxa" w:w="1872"/>
          </w:tcPr>
          <w:p>
            <w:pPr>
              <w:jc w:val="center"/>
            </w:pPr>
            <w:r/>
            <w:r>
              <w:rPr>
                <w:rFonts w:ascii="맑은 고딕" w:hAnsi="맑은 고딕" w:eastAsia="맑은 고딕"/>
                <w:b w:val="0"/>
                <w:sz w:val="17"/>
              </w:rPr>
              <w:t>0.718 ± 0.007</w:t>
            </w:r>
          </w:p>
        </w:tc>
        <w:tc>
          <w:tcPr>
            <w:tcW w:type="dxa" w:w="1584"/>
          </w:tcPr>
          <w:p>
            <w:pPr>
              <w:jc w:val="center"/>
            </w:pPr>
            <w:r/>
            <w:r>
              <w:rPr>
                <w:rFonts w:ascii="맑은 고딕" w:hAnsi="맑은 고딕" w:eastAsia="맑은 고딕"/>
                <w:b w:val="0"/>
                <w:sz w:val="17"/>
              </w:rPr>
              <w:t>20.58</w:t>
            </w:r>
          </w:p>
        </w:tc>
        <w:tc>
          <w:tcPr>
            <w:tcW w:type="dxa" w:w="1152"/>
          </w:tcPr>
          <w:p>
            <w:pPr>
              <w:jc w:val="center"/>
            </w:pPr>
            <w:r/>
            <w:r>
              <w:rPr>
                <w:rFonts w:ascii="맑은 고딕" w:hAnsi="맑은 고딕" w:eastAsia="맑은 고딕"/>
                <w:b w:val="0"/>
                <w:sz w:val="17"/>
              </w:rPr>
              <w:t>14.79</w:t>
            </w:r>
          </w:p>
        </w:tc>
        <w:tc>
          <w:tcPr>
            <w:tcW w:type="dxa" w:w="1152"/>
          </w:tcPr>
          <w:p>
            <w:pPr>
              <w:jc w:val="center"/>
            </w:pPr>
            <w:r/>
            <w:r>
              <w:rPr>
                <w:rFonts w:ascii="맑은 고딕" w:hAnsi="맑은 고딕" w:eastAsia="맑은 고딕"/>
                <w:b w:val="0"/>
                <w:sz w:val="17"/>
              </w:rPr>
              <w:t>87</w:t>
            </w:r>
          </w:p>
        </w:tc>
      </w:tr>
      <w:tr>
        <w:tc>
          <w:tcPr>
            <w:tcW w:type="dxa" w:w="2016"/>
          </w:tcPr>
          <w:p>
            <w:pPr>
              <w:jc w:val="left"/>
            </w:pPr>
            <w:r/>
            <w:r>
              <w:rPr>
                <w:rFonts w:ascii="맑은 고딕" w:hAnsi="맑은 고딕" w:eastAsia="맑은 고딕"/>
                <w:b w:val="0"/>
                <w:sz w:val="17"/>
              </w:rPr>
              <w:t>CatBoost</w:t>
            </w:r>
          </w:p>
        </w:tc>
        <w:tc>
          <w:tcPr>
            <w:tcW w:type="dxa" w:w="1008"/>
          </w:tcPr>
          <w:p>
            <w:pPr>
              <w:jc w:val="center"/>
            </w:pPr>
            <w:r/>
            <w:r>
              <w:rPr>
                <w:rFonts w:ascii="맑은 고딕" w:hAnsi="맑은 고딕" w:eastAsia="맑은 고딕"/>
                <w:b w:val="0"/>
                <w:sz w:val="17"/>
              </w:rPr>
              <w:t>B</w:t>
            </w:r>
          </w:p>
        </w:tc>
        <w:tc>
          <w:tcPr>
            <w:tcW w:type="dxa" w:w="1872"/>
          </w:tcPr>
          <w:p>
            <w:pPr>
              <w:jc w:val="center"/>
            </w:pPr>
            <w:r/>
            <w:r>
              <w:rPr>
                <w:rFonts w:ascii="맑은 고딕" w:hAnsi="맑은 고딕" w:eastAsia="맑은 고딕"/>
                <w:b w:val="0"/>
                <w:sz w:val="17"/>
              </w:rPr>
              <w:t>0.704 ± 0.007</w:t>
            </w:r>
          </w:p>
        </w:tc>
        <w:tc>
          <w:tcPr>
            <w:tcW w:type="dxa" w:w="1584"/>
          </w:tcPr>
          <w:p>
            <w:pPr>
              <w:jc w:val="center"/>
            </w:pPr>
            <w:r/>
            <w:r>
              <w:rPr>
                <w:rFonts w:ascii="맑은 고딕" w:hAnsi="맑은 고딕" w:eastAsia="맑은 고딕"/>
                <w:b w:val="0"/>
                <w:sz w:val="17"/>
              </w:rPr>
              <w:t>21.09</w:t>
            </w:r>
          </w:p>
        </w:tc>
        <w:tc>
          <w:tcPr>
            <w:tcW w:type="dxa" w:w="1152"/>
          </w:tcPr>
          <w:p>
            <w:pPr>
              <w:jc w:val="center"/>
            </w:pPr>
            <w:r/>
            <w:r>
              <w:rPr>
                <w:rFonts w:ascii="맑은 고딕" w:hAnsi="맑은 고딕" w:eastAsia="맑은 고딕"/>
                <w:b w:val="0"/>
                <w:sz w:val="17"/>
              </w:rPr>
              <w:t>15.40</w:t>
            </w:r>
          </w:p>
        </w:tc>
        <w:tc>
          <w:tcPr>
            <w:tcW w:type="dxa" w:w="1152"/>
          </w:tcPr>
          <w:p>
            <w:pPr>
              <w:jc w:val="center"/>
            </w:pPr>
            <w:r/>
            <w:r>
              <w:rPr>
                <w:rFonts w:ascii="맑은 고딕" w:hAnsi="맑은 고딕" w:eastAsia="맑은 고딕"/>
                <w:b w:val="0"/>
                <w:sz w:val="17"/>
              </w:rPr>
              <w:t>121</w:t>
            </w:r>
          </w:p>
        </w:tc>
      </w:tr>
      <w:tr>
        <w:tc>
          <w:tcPr>
            <w:tcW w:type="dxa" w:w="2016"/>
          </w:tcPr>
          <w:p>
            <w:pPr>
              <w:jc w:val="left"/>
            </w:pPr>
            <w:r/>
            <w:r>
              <w:rPr>
                <w:rFonts w:ascii="맑은 고딕" w:hAnsi="맑은 고딕" w:eastAsia="맑은 고딕"/>
                <w:b w:val="0"/>
                <w:sz w:val="17"/>
              </w:rPr>
              <w:t>LightGBM</w:t>
            </w:r>
          </w:p>
        </w:tc>
        <w:tc>
          <w:tcPr>
            <w:tcW w:type="dxa" w:w="1008"/>
          </w:tcPr>
          <w:p>
            <w:pPr>
              <w:jc w:val="center"/>
            </w:pPr>
            <w:r/>
            <w:r>
              <w:rPr>
                <w:rFonts w:ascii="맑은 고딕" w:hAnsi="맑은 고딕" w:eastAsia="맑은 고딕"/>
                <w:b w:val="0"/>
                <w:sz w:val="17"/>
              </w:rPr>
              <w:t>A</w:t>
            </w:r>
          </w:p>
        </w:tc>
        <w:tc>
          <w:tcPr>
            <w:tcW w:type="dxa" w:w="1872"/>
          </w:tcPr>
          <w:p>
            <w:pPr>
              <w:jc w:val="center"/>
            </w:pPr>
            <w:r/>
            <w:r>
              <w:rPr>
                <w:rFonts w:ascii="맑은 고딕" w:hAnsi="맑은 고딕" w:eastAsia="맑은 고딕"/>
                <w:b w:val="0"/>
                <w:sz w:val="17"/>
              </w:rPr>
              <w:t>0.695 ± 0.007</w:t>
            </w:r>
          </w:p>
        </w:tc>
        <w:tc>
          <w:tcPr>
            <w:tcW w:type="dxa" w:w="1584"/>
          </w:tcPr>
          <w:p>
            <w:pPr>
              <w:jc w:val="center"/>
            </w:pPr>
            <w:r/>
            <w:r>
              <w:rPr>
                <w:rFonts w:ascii="맑은 고딕" w:hAnsi="맑은 고딕" w:eastAsia="맑은 고딕"/>
                <w:b w:val="0"/>
                <w:sz w:val="17"/>
              </w:rPr>
              <w:t>21.42</w:t>
            </w:r>
          </w:p>
        </w:tc>
        <w:tc>
          <w:tcPr>
            <w:tcW w:type="dxa" w:w="1152"/>
          </w:tcPr>
          <w:p>
            <w:pPr>
              <w:jc w:val="center"/>
            </w:pPr>
            <w:r/>
            <w:r>
              <w:rPr>
                <w:rFonts w:ascii="맑은 고딕" w:hAnsi="맑은 고딕" w:eastAsia="맑은 고딕"/>
                <w:b w:val="0"/>
                <w:sz w:val="17"/>
              </w:rPr>
              <w:t>15.49</w:t>
            </w:r>
          </w:p>
        </w:tc>
        <w:tc>
          <w:tcPr>
            <w:tcW w:type="dxa" w:w="1152"/>
          </w:tcPr>
          <w:p>
            <w:pPr>
              <w:jc w:val="center"/>
            </w:pPr>
            <w:r/>
            <w:r>
              <w:rPr>
                <w:rFonts w:ascii="맑은 고딕" w:hAnsi="맑은 고딕" w:eastAsia="맑은 고딕"/>
                <w:b w:val="0"/>
                <w:sz w:val="17"/>
              </w:rPr>
              <w:t>14</w:t>
            </w:r>
          </w:p>
        </w:tc>
      </w:tr>
      <w:tr>
        <w:tc>
          <w:tcPr>
            <w:tcW w:type="dxa" w:w="2016"/>
          </w:tcPr>
          <w:p>
            <w:pPr>
              <w:jc w:val="left"/>
            </w:pPr>
            <w:r/>
            <w:r>
              <w:rPr>
                <w:rFonts w:ascii="맑은 고딕" w:hAnsi="맑은 고딕" w:eastAsia="맑은 고딕"/>
                <w:b w:val="0"/>
                <w:sz w:val="17"/>
              </w:rPr>
              <w:t>GradientBoosting</w:t>
            </w:r>
          </w:p>
        </w:tc>
        <w:tc>
          <w:tcPr>
            <w:tcW w:type="dxa" w:w="1008"/>
          </w:tcPr>
          <w:p>
            <w:pPr>
              <w:jc w:val="center"/>
            </w:pPr>
            <w:r/>
            <w:r>
              <w:rPr>
                <w:rFonts w:ascii="맑은 고딕" w:hAnsi="맑은 고딕" w:eastAsia="맑은 고딕"/>
                <w:b w:val="0"/>
                <w:sz w:val="17"/>
              </w:rPr>
              <w:t>B</w:t>
            </w:r>
          </w:p>
        </w:tc>
        <w:tc>
          <w:tcPr>
            <w:tcW w:type="dxa" w:w="1872"/>
          </w:tcPr>
          <w:p>
            <w:pPr>
              <w:jc w:val="center"/>
            </w:pPr>
            <w:r/>
            <w:r>
              <w:rPr>
                <w:rFonts w:ascii="맑은 고딕" w:hAnsi="맑은 고딕" w:eastAsia="맑은 고딕"/>
                <w:b w:val="0"/>
                <w:sz w:val="17"/>
              </w:rPr>
              <w:t>0.617 ± 0.007</w:t>
            </w:r>
          </w:p>
        </w:tc>
        <w:tc>
          <w:tcPr>
            <w:tcW w:type="dxa" w:w="1584"/>
          </w:tcPr>
          <w:p>
            <w:pPr>
              <w:jc w:val="center"/>
            </w:pPr>
            <w:r/>
            <w:r>
              <w:rPr>
                <w:rFonts w:ascii="맑은 고딕" w:hAnsi="맑은 고딕" w:eastAsia="맑은 고딕"/>
                <w:b w:val="0"/>
                <w:sz w:val="17"/>
              </w:rPr>
              <w:t>23.99</w:t>
            </w:r>
          </w:p>
        </w:tc>
        <w:tc>
          <w:tcPr>
            <w:tcW w:type="dxa" w:w="1152"/>
          </w:tcPr>
          <w:p>
            <w:pPr>
              <w:jc w:val="center"/>
            </w:pPr>
            <w:r/>
            <w:r>
              <w:rPr>
                <w:rFonts w:ascii="맑은 고딕" w:hAnsi="맑은 고딕" w:eastAsia="맑은 고딕"/>
                <w:b w:val="0"/>
                <w:sz w:val="17"/>
              </w:rPr>
              <w:t>17.95</w:t>
            </w:r>
          </w:p>
        </w:tc>
        <w:tc>
          <w:tcPr>
            <w:tcW w:type="dxa" w:w="1152"/>
          </w:tcPr>
          <w:p>
            <w:pPr>
              <w:jc w:val="center"/>
            </w:pPr>
            <w:r/>
            <w:r>
              <w:rPr>
                <w:rFonts w:ascii="맑은 고딕" w:hAnsi="맑은 고딕" w:eastAsia="맑은 고딕"/>
                <w:b w:val="0"/>
                <w:sz w:val="17"/>
              </w:rPr>
              <w:t>989</w:t>
            </w:r>
          </w:p>
        </w:tc>
      </w:tr>
      <w:tr>
        <w:tc>
          <w:tcPr>
            <w:tcW w:type="dxa" w:w="2016"/>
          </w:tcPr>
          <w:p>
            <w:pPr>
              <w:jc w:val="left"/>
            </w:pPr>
            <w:r/>
            <w:r>
              <w:rPr>
                <w:rFonts w:ascii="맑은 고딕" w:hAnsi="맑은 고딕" w:eastAsia="맑은 고딕"/>
                <w:b w:val="0"/>
                <w:sz w:val="17"/>
              </w:rPr>
              <w:t>ElasticNet</w:t>
            </w:r>
          </w:p>
        </w:tc>
        <w:tc>
          <w:tcPr>
            <w:tcW w:type="dxa" w:w="1008"/>
          </w:tcPr>
          <w:p>
            <w:pPr>
              <w:jc w:val="center"/>
            </w:pPr>
            <w:r/>
            <w:r>
              <w:rPr>
                <w:rFonts w:ascii="맑은 고딕" w:hAnsi="맑은 고딕" w:eastAsia="맑은 고딕"/>
                <w:b w:val="0"/>
                <w:sz w:val="17"/>
              </w:rPr>
              <w:t>B</w:t>
            </w:r>
          </w:p>
        </w:tc>
        <w:tc>
          <w:tcPr>
            <w:tcW w:type="dxa" w:w="1872"/>
          </w:tcPr>
          <w:p>
            <w:pPr>
              <w:jc w:val="center"/>
            </w:pPr>
            <w:r/>
            <w:r>
              <w:rPr>
                <w:rFonts w:ascii="맑은 고딕" w:hAnsi="맑은 고딕" w:eastAsia="맑은 고딕"/>
                <w:b w:val="0"/>
                <w:sz w:val="17"/>
              </w:rPr>
              <w:t>0.437 ± 0.012</w:t>
            </w:r>
          </w:p>
        </w:tc>
        <w:tc>
          <w:tcPr>
            <w:tcW w:type="dxa" w:w="1584"/>
          </w:tcPr>
          <w:p>
            <w:pPr>
              <w:jc w:val="center"/>
            </w:pPr>
            <w:r/>
            <w:r>
              <w:rPr>
                <w:rFonts w:ascii="맑은 고딕" w:hAnsi="맑은 고딕" w:eastAsia="맑은 고딕"/>
                <w:b w:val="0"/>
                <w:sz w:val="17"/>
              </w:rPr>
              <w:t>29.08</w:t>
            </w:r>
          </w:p>
        </w:tc>
        <w:tc>
          <w:tcPr>
            <w:tcW w:type="dxa" w:w="1152"/>
          </w:tcPr>
          <w:p>
            <w:pPr>
              <w:jc w:val="center"/>
            </w:pPr>
            <w:r/>
            <w:r>
              <w:rPr>
                <w:rFonts w:ascii="맑은 고딕" w:hAnsi="맑은 고딕" w:eastAsia="맑은 고딕"/>
                <w:b w:val="0"/>
                <w:sz w:val="17"/>
              </w:rPr>
              <w:t>21.86</w:t>
            </w:r>
          </w:p>
        </w:tc>
        <w:tc>
          <w:tcPr>
            <w:tcW w:type="dxa" w:w="1152"/>
          </w:tcPr>
          <w:p>
            <w:pPr>
              <w:jc w:val="center"/>
            </w:pPr>
            <w:r/>
            <w:r>
              <w:rPr>
                <w:rFonts w:ascii="맑은 고딕" w:hAnsi="맑은 고딕" w:eastAsia="맑은 고딕"/>
                <w:b w:val="0"/>
                <w:sz w:val="17"/>
              </w:rPr>
              <w:t>31</w:t>
            </w:r>
          </w:p>
        </w:tc>
      </w:tr>
      <w:tr>
        <w:tc>
          <w:tcPr>
            <w:tcW w:type="dxa" w:w="2016"/>
          </w:tcPr>
          <w:p>
            <w:pPr>
              <w:jc w:val="left"/>
            </w:pPr>
            <w:r/>
            <w:r>
              <w:rPr>
                <w:rFonts w:ascii="맑은 고딕" w:hAnsi="맑은 고딕" w:eastAsia="맑은 고딕"/>
                <w:b w:val="0"/>
                <w:sz w:val="17"/>
              </w:rPr>
              <w:t>OLS</w:t>
            </w:r>
          </w:p>
        </w:tc>
        <w:tc>
          <w:tcPr>
            <w:tcW w:type="dxa" w:w="1008"/>
          </w:tcPr>
          <w:p>
            <w:pPr>
              <w:jc w:val="center"/>
            </w:pPr>
            <w:r/>
            <w:r>
              <w:rPr>
                <w:rFonts w:ascii="맑은 고딕" w:hAnsi="맑은 고딕" w:eastAsia="맑은 고딕"/>
                <w:b w:val="0"/>
                <w:sz w:val="17"/>
              </w:rPr>
              <w:t>A</w:t>
            </w:r>
          </w:p>
        </w:tc>
        <w:tc>
          <w:tcPr>
            <w:tcW w:type="dxa" w:w="1872"/>
          </w:tcPr>
          <w:p>
            <w:pPr>
              <w:jc w:val="center"/>
            </w:pPr>
            <w:r/>
            <w:r>
              <w:rPr>
                <w:rFonts w:ascii="맑은 고딕" w:hAnsi="맑은 고딕" w:eastAsia="맑은 고딕"/>
                <w:b w:val="0"/>
                <w:sz w:val="17"/>
              </w:rPr>
              <w:t>0.405 ± 0.012</w:t>
            </w:r>
          </w:p>
        </w:tc>
        <w:tc>
          <w:tcPr>
            <w:tcW w:type="dxa" w:w="1584"/>
          </w:tcPr>
          <w:p>
            <w:pPr>
              <w:jc w:val="center"/>
            </w:pPr>
            <w:r/>
            <w:r>
              <w:rPr>
                <w:rFonts w:ascii="맑은 고딕" w:hAnsi="맑은 고딕" w:eastAsia="맑은 고딕"/>
                <w:b w:val="0"/>
                <w:sz w:val="17"/>
              </w:rPr>
              <w:t>29.91</w:t>
            </w:r>
          </w:p>
        </w:tc>
        <w:tc>
          <w:tcPr>
            <w:tcW w:type="dxa" w:w="1152"/>
          </w:tcPr>
          <w:p>
            <w:pPr>
              <w:jc w:val="center"/>
            </w:pPr>
            <w:r/>
            <w:r>
              <w:rPr>
                <w:rFonts w:ascii="맑은 고딕" w:hAnsi="맑은 고딕" w:eastAsia="맑은 고딕"/>
                <w:b w:val="0"/>
                <w:sz w:val="17"/>
              </w:rPr>
              <w:t>22.43</w:t>
            </w:r>
          </w:p>
        </w:tc>
        <w:tc>
          <w:tcPr>
            <w:tcW w:type="dxa" w:w="1152"/>
          </w:tcPr>
          <w:p>
            <w:pPr>
              <w:jc w:val="center"/>
            </w:pPr>
            <w:r/>
            <w:r>
              <w:rPr>
                <w:rFonts w:ascii="맑은 고딕" w:hAnsi="맑은 고딕" w:eastAsia="맑은 고딕"/>
                <w:b w:val="0"/>
                <w:sz w:val="17"/>
              </w:rPr>
              <w:t>0.2</w:t>
            </w:r>
          </w:p>
        </w:tc>
      </w:tr>
      <w:tr>
        <w:tc>
          <w:tcPr>
            <w:tcW w:type="dxa" w:w="2016"/>
          </w:tcPr>
          <w:p>
            <w:pPr>
              <w:jc w:val="left"/>
            </w:pPr>
            <w:r/>
            <w:r>
              <w:rPr>
                <w:rFonts w:ascii="맑은 고딕" w:hAnsi="맑은 고딕" w:eastAsia="맑은 고딕"/>
                <w:b w:val="0"/>
                <w:sz w:val="17"/>
              </w:rPr>
              <w:t>Ridge</w:t>
            </w:r>
          </w:p>
        </w:tc>
        <w:tc>
          <w:tcPr>
            <w:tcW w:type="dxa" w:w="1008"/>
          </w:tcPr>
          <w:p>
            <w:pPr>
              <w:jc w:val="center"/>
            </w:pPr>
            <w:r/>
            <w:r>
              <w:rPr>
                <w:rFonts w:ascii="맑은 고딕" w:hAnsi="맑은 고딕" w:eastAsia="맑은 고딕"/>
                <w:b w:val="0"/>
                <w:sz w:val="17"/>
              </w:rPr>
              <w:t>B</w:t>
            </w:r>
          </w:p>
        </w:tc>
        <w:tc>
          <w:tcPr>
            <w:tcW w:type="dxa" w:w="1872"/>
          </w:tcPr>
          <w:p>
            <w:pPr>
              <w:jc w:val="center"/>
            </w:pPr>
            <w:r/>
            <w:r>
              <w:rPr>
                <w:rFonts w:ascii="맑은 고딕" w:hAnsi="맑은 고딕" w:eastAsia="맑은 고딕"/>
                <w:b w:val="0"/>
                <w:sz w:val="17"/>
              </w:rPr>
              <w:t>0.109 ± 0.660</w:t>
            </w:r>
          </w:p>
        </w:tc>
        <w:tc>
          <w:tcPr>
            <w:tcW w:type="dxa" w:w="1584"/>
          </w:tcPr>
          <w:p>
            <w:pPr>
              <w:jc w:val="center"/>
            </w:pPr>
            <w:r/>
            <w:r>
              <w:rPr>
                <w:rFonts w:ascii="맑은 고딕" w:hAnsi="맑은 고딕" w:eastAsia="맑은 고딕"/>
                <w:b w:val="0"/>
                <w:sz w:val="17"/>
              </w:rPr>
              <w:t>34.70</w:t>
            </w:r>
          </w:p>
        </w:tc>
        <w:tc>
          <w:tcPr>
            <w:tcW w:type="dxa" w:w="1152"/>
          </w:tcPr>
          <w:p>
            <w:pPr>
              <w:jc w:val="center"/>
            </w:pPr>
            <w:r/>
            <w:r>
              <w:rPr>
                <w:rFonts w:ascii="맑은 고딕" w:hAnsi="맑은 고딕" w:eastAsia="맑은 고딕"/>
                <w:b w:val="0"/>
                <w:sz w:val="17"/>
              </w:rPr>
              <w:t>21.90</w:t>
            </w:r>
          </w:p>
        </w:tc>
        <w:tc>
          <w:tcPr>
            <w:tcW w:type="dxa" w:w="1152"/>
          </w:tcPr>
          <w:p>
            <w:pPr>
              <w:jc w:val="center"/>
            </w:pPr>
            <w:r/>
            <w:r>
              <w:rPr>
                <w:rFonts w:ascii="맑은 고딕" w:hAnsi="맑은 고딕" w:eastAsia="맑은 고딕"/>
                <w:b w:val="0"/>
                <w:sz w:val="17"/>
              </w:rPr>
              <w:t>21</w:t>
            </w:r>
          </w:p>
        </w:tc>
      </w:tr>
      <w:tr>
        <w:tc>
          <w:tcPr>
            <w:tcW w:type="dxa" w:w="2016"/>
          </w:tcPr>
          <w:p>
            <w:pPr>
              <w:jc w:val="left"/>
            </w:pPr>
            <w:r/>
            <w:r>
              <w:rPr>
                <w:rFonts w:ascii="맑은 고딕" w:hAnsi="맑은 고딕" w:eastAsia="맑은 고딕"/>
                <w:b w:val="0"/>
                <w:sz w:val="17"/>
              </w:rPr>
              <w:t>OLS</w:t>
            </w:r>
          </w:p>
        </w:tc>
        <w:tc>
          <w:tcPr>
            <w:tcW w:type="dxa" w:w="1008"/>
          </w:tcPr>
          <w:p>
            <w:pPr>
              <w:jc w:val="center"/>
            </w:pPr>
            <w:r/>
            <w:r>
              <w:rPr>
                <w:rFonts w:ascii="맑은 고딕" w:hAnsi="맑은 고딕" w:eastAsia="맑은 고딕"/>
                <w:b w:val="0"/>
                <w:sz w:val="17"/>
              </w:rPr>
              <w:t>B</w:t>
            </w:r>
          </w:p>
        </w:tc>
        <w:tc>
          <w:tcPr>
            <w:tcW w:type="dxa" w:w="1872"/>
          </w:tcPr>
          <w:p>
            <w:pPr>
              <w:jc w:val="center"/>
            </w:pPr>
            <w:r/>
            <w:r>
              <w:rPr>
                <w:rFonts w:ascii="맑은 고딕" w:hAnsi="맑은 고딕" w:eastAsia="맑은 고딕"/>
                <w:b w:val="0"/>
                <w:sz w:val="17"/>
              </w:rPr>
              <w:t>0.092 ± 0.694</w:t>
            </w:r>
          </w:p>
        </w:tc>
        <w:tc>
          <w:tcPr>
            <w:tcW w:type="dxa" w:w="1584"/>
          </w:tcPr>
          <w:p>
            <w:pPr>
              <w:jc w:val="center"/>
            </w:pPr>
            <w:r/>
            <w:r>
              <w:rPr>
                <w:rFonts w:ascii="맑은 고딕" w:hAnsi="맑은 고딕" w:eastAsia="맑은 고딕"/>
                <w:b w:val="0"/>
                <w:sz w:val="17"/>
              </w:rPr>
              <w:t>34.93</w:t>
            </w:r>
          </w:p>
        </w:tc>
        <w:tc>
          <w:tcPr>
            <w:tcW w:type="dxa" w:w="1152"/>
          </w:tcPr>
          <w:p>
            <w:pPr>
              <w:jc w:val="center"/>
            </w:pPr>
            <w:r/>
            <w:r>
              <w:rPr>
                <w:rFonts w:ascii="맑은 고딕" w:hAnsi="맑은 고딕" w:eastAsia="맑은 고딕"/>
                <w:b w:val="0"/>
                <w:sz w:val="17"/>
              </w:rPr>
              <w:t>21.91</w:t>
            </w:r>
          </w:p>
        </w:tc>
        <w:tc>
          <w:tcPr>
            <w:tcW w:type="dxa" w:w="1152"/>
          </w:tcPr>
          <w:p>
            <w:pPr>
              <w:jc w:val="center"/>
            </w:pPr>
            <w:r/>
            <w:r>
              <w:rPr>
                <w:rFonts w:ascii="맑은 고딕" w:hAnsi="맑은 고딕" w:eastAsia="맑은 고딕"/>
                <w:b w:val="0"/>
                <w:sz w:val="17"/>
              </w:rPr>
              <w:t>6</w:t>
            </w:r>
          </w:p>
        </w:tc>
      </w:tr>
    </w:tbl>
    <w:p>
      <w:pPr>
        <w:spacing w:after="160"/>
      </w:pPr>
    </w:p>
    <w:p>
      <w:pPr>
        <w:spacing w:after="120"/>
      </w:pPr>
      <w:r>
        <w:rPr>
          <w:rFonts w:ascii="맑은 고딕" w:hAnsi="맑은 고딕" w:eastAsia="맑은 고딕"/>
          <w:b w:val="0"/>
          <w:i w:val="0"/>
          <w:sz w:val="20"/>
        </w:rPr>
        <w:t>세 가지가 눈에 띈다. 첫째, 최고 모델은 LightGBM(전략 B)로 R² 0.732, RMSE 20.08 bu/ac다. 둘째, 트리·부스팅 5개 모두 전략 B가 전략 A보다 우세(평균 ΔR² +0.038)했다 — 도메인 압축이 버리는 분포 정보가 실제로 존재한다는 뜻이다. 셋째, 정규화 없는 OLS와 Ridge는 전략 B에서 완전히 붕괴했다(fold별 R² = 0.439 | 0.448 | −1.296 | 0.417 | 0.451). 이는 §3에서 확인한 다중공선성의 직접적 결과이며, H3을 강하게 지지한다. year(기술추세 대리)의 기여는 ΔR² +0.071이었다.</w:t>
      </w:r>
    </w:p>
    <w:p>
      <w:pPr>
        <w:jc w:val="center"/>
      </w:pPr>
      <w:r>
        <w:drawing>
          <wp:inline xmlns:a="http://schemas.openxmlformats.org/drawingml/2006/main" xmlns:pic="http://schemas.openxmlformats.org/drawingml/2006/picture">
            <wp:extent cx="5577840" cy="3165251"/>
            <wp:docPr id="4" name="Picture 4"/>
            <wp:cNvGraphicFramePr>
              <a:graphicFrameLocks noChangeAspect="1"/>
            </wp:cNvGraphicFramePr>
            <a:graphic>
              <a:graphicData uri="http://schemas.openxmlformats.org/drawingml/2006/picture">
                <pic:pic>
                  <pic:nvPicPr>
                    <pic:cNvPr id="0" name="fig13_model_comparison.png"/>
                    <pic:cNvPicPr/>
                  </pic:nvPicPr>
                  <pic:blipFill>
                    <a:blip r:embed="rId12"/>
                    <a:stretch>
                      <a:fillRect/>
                    </a:stretch>
                  </pic:blipFill>
                  <pic:spPr>
                    <a:xfrm>
                      <a:off x="0" y="0"/>
                      <a:ext cx="5577840" cy="3165251"/>
                    </a:xfrm>
                    <a:prstGeom prst="rect"/>
                  </pic:spPr>
                </pic:pic>
              </a:graphicData>
            </a:graphic>
          </wp:inline>
        </w:drawing>
      </w:r>
    </w:p>
    <w:p>
      <w:pPr>
        <w:spacing w:after="240"/>
        <w:jc w:val="center"/>
      </w:pPr>
      <w:r>
        <w:rPr>
          <w:rFonts w:ascii="맑은 고딕" w:hAnsi="맑은 고딕" w:eastAsia="맑은 고딕"/>
          <w:b w:val="0"/>
          <w:i/>
          <w:color w:val="5A5A5A"/>
          <w:sz w:val="17"/>
        </w:rPr>
        <w:t>그림 4. 옥수수 모델 성능 비교 — 9개 모델 × 2개 전략 (GroupKFold 5-fold).</w:t>
      </w:r>
    </w:p>
    <w:p>
      <w:pPr>
        <w:jc w:val="center"/>
      </w:pPr>
      <w:r>
        <w:drawing>
          <wp:inline xmlns:a="http://schemas.openxmlformats.org/drawingml/2006/main" xmlns:pic="http://schemas.openxmlformats.org/drawingml/2006/picture">
            <wp:extent cx="5577840" cy="2326053"/>
            <wp:docPr id="5" name="Picture 5"/>
            <wp:cNvGraphicFramePr>
              <a:graphicFrameLocks noChangeAspect="1"/>
            </wp:cNvGraphicFramePr>
            <a:graphic>
              <a:graphicData uri="http://schemas.openxmlformats.org/drawingml/2006/picture">
                <pic:pic>
                  <pic:nvPicPr>
                    <pic:cNvPr id="0" name="fig14_pred_vs_actual.png"/>
                    <pic:cNvPicPr/>
                  </pic:nvPicPr>
                  <pic:blipFill>
                    <a:blip r:embed="rId13"/>
                    <a:stretch>
                      <a:fillRect/>
                    </a:stretch>
                  </pic:blipFill>
                  <pic:spPr>
                    <a:xfrm>
                      <a:off x="0" y="0"/>
                      <a:ext cx="5577840" cy="2326053"/>
                    </a:xfrm>
                    <a:prstGeom prst="rect"/>
                  </pic:spPr>
                </pic:pic>
              </a:graphicData>
            </a:graphic>
          </wp:inline>
        </w:drawing>
      </w:r>
    </w:p>
    <w:p>
      <w:pPr>
        <w:spacing w:after="240"/>
        <w:jc w:val="center"/>
      </w:pPr>
      <w:r>
        <w:rPr>
          <w:rFonts w:ascii="맑은 고딕" w:hAnsi="맑은 고딕" w:eastAsia="맑은 고딕"/>
          <w:b w:val="0"/>
          <w:i/>
          <w:color w:val="5A5A5A"/>
          <w:sz w:val="17"/>
        </w:rPr>
        <w:t>그림 5. 최종 모델(LightGBM, 전략 B)의 out-of-fold 예측 vs 실측. OOF R² = 0.732.</w:t>
      </w:r>
    </w:p>
    <w:p>
      <w:pPr>
        <w:pStyle w:val="Heading2"/>
      </w:pPr>
      <w:r>
        <w:t>4.3 대두 — 동일 파이프라인</w:t>
      </w:r>
    </w:p>
    <w:p>
      <w:pPr>
        <w:spacing w:after="120"/>
      </w:pPr>
      <w:r>
        <w:rPr>
          <w:rFonts w:ascii="맑은 고딕" w:hAnsi="맑은 고딕" w:eastAsia="맑은 고딕"/>
          <w:b w:val="0"/>
          <w:i w:val="0"/>
          <w:sz w:val="20"/>
        </w:rPr>
        <w:t>동일한 피처셋·동일한 하이퍼파라미터·동일한 GroupKFold로 대두 모델을 학습했다(56,960행 / 2,169 카운티). 역시 LightGBM(전략 B)이 최고였으며, R² 0.807로 옥수수(0.732)보다 오히려 높다. 18개 모델×전략 조합 전부에서 대두의 R²가 옥수수보다 높았다.</w:t>
      </w:r>
    </w:p>
    <w:p>
      <w:pPr>
        <w:spacing w:after="60"/>
      </w:pPr>
      <w:r>
        <w:rPr>
          <w:rFonts w:ascii="맑은 고딕" w:hAnsi="맑은 고딕" w:eastAsia="맑은 고딕"/>
          <w:b w:val="0"/>
          <w:i/>
          <w:color w:val="5A5A5A"/>
          <w:sz w:val="17"/>
        </w:rPr>
        <w:t>표 5. 옥수수 vs 대두 최종 모델 성능</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152"/>
          </w:tcPr>
          <w:p>
            <w:pPr>
              <w:jc w:val="center"/>
            </w:pPr>
            <w:r/>
            <w:r>
              <w:rPr>
                <w:rFonts w:ascii="맑은 고딕" w:hAnsi="맑은 고딕" w:eastAsia="맑은 고딕"/>
                <w:b/>
                <w:sz w:val="17"/>
              </w:rPr>
              <w:t>작물</w:t>
            </w:r>
          </w:p>
        </w:tc>
        <w:tc>
          <w:tcPr>
            <w:tcW w:type="dxa" w:w="1872"/>
          </w:tcPr>
          <w:p>
            <w:pPr>
              <w:jc w:val="center"/>
            </w:pPr>
            <w:r/>
            <w:r>
              <w:rPr>
                <w:rFonts w:ascii="맑은 고딕" w:hAnsi="맑은 고딕" w:eastAsia="맑은 고딕"/>
                <w:b/>
                <w:sz w:val="17"/>
              </w:rPr>
              <w:t>최종 모델</w:t>
            </w:r>
          </w:p>
        </w:tc>
        <w:tc>
          <w:tcPr>
            <w:tcW w:type="dxa" w:w="1728"/>
          </w:tcPr>
          <w:p>
            <w:pPr>
              <w:jc w:val="center"/>
            </w:pPr>
            <w:r/>
            <w:r>
              <w:rPr>
                <w:rFonts w:ascii="맑은 고딕" w:hAnsi="맑은 고딕" w:eastAsia="맑은 고딕"/>
                <w:b/>
                <w:sz w:val="17"/>
              </w:rPr>
              <w:t>CV R²</w:t>
            </w:r>
          </w:p>
        </w:tc>
        <w:tc>
          <w:tcPr>
            <w:tcW w:type="dxa" w:w="1440"/>
          </w:tcPr>
          <w:p>
            <w:pPr>
              <w:jc w:val="center"/>
            </w:pPr>
            <w:r/>
            <w:r>
              <w:rPr>
                <w:rFonts w:ascii="맑은 고딕" w:hAnsi="맑은 고딕" w:eastAsia="맑은 고딕"/>
                <w:b/>
                <w:sz w:val="17"/>
              </w:rPr>
              <w:t>RMSE</w:t>
            </w:r>
          </w:p>
        </w:tc>
        <w:tc>
          <w:tcPr>
            <w:tcW w:type="dxa" w:w="1008"/>
          </w:tcPr>
          <w:p>
            <w:pPr>
              <w:jc w:val="center"/>
            </w:pPr>
            <w:r/>
            <w:r>
              <w:rPr>
                <w:rFonts w:ascii="맑은 고딕" w:hAnsi="맑은 고딕" w:eastAsia="맑은 고딕"/>
                <w:b/>
                <w:sz w:val="17"/>
              </w:rPr>
              <w:t>MAE</w:t>
            </w:r>
          </w:p>
        </w:tc>
        <w:tc>
          <w:tcPr>
            <w:tcW w:type="dxa" w:w="1440"/>
          </w:tcPr>
          <w:p>
            <w:pPr>
              <w:jc w:val="center"/>
            </w:pPr>
            <w:r/>
            <w:r>
              <w:rPr>
                <w:rFonts w:ascii="맑은 고딕" w:hAnsi="맑은 고딕" w:eastAsia="맑은 고딕"/>
                <w:b/>
                <w:sz w:val="17"/>
              </w:rPr>
              <w:t>평균 수확량</w:t>
            </w:r>
          </w:p>
        </w:tc>
        <w:tc>
          <w:tcPr>
            <w:tcW w:type="dxa" w:w="1152"/>
          </w:tcPr>
          <w:p>
            <w:pPr>
              <w:jc w:val="center"/>
            </w:pPr>
            <w:r/>
            <w:r>
              <w:rPr>
                <w:rFonts w:ascii="맑은 고딕" w:hAnsi="맑은 고딕" w:eastAsia="맑은 고딕"/>
                <w:b/>
                <w:sz w:val="17"/>
              </w:rPr>
              <w:t>상대 RMSE</w:t>
            </w:r>
          </w:p>
        </w:tc>
      </w:tr>
      <w:tr>
        <w:tc>
          <w:tcPr>
            <w:tcW w:type="dxa" w:w="1152"/>
          </w:tcPr>
          <w:p>
            <w:pPr>
              <w:jc w:val="left"/>
            </w:pPr>
            <w:r/>
            <w:r>
              <w:rPr>
                <w:rFonts w:ascii="맑은 고딕" w:hAnsi="맑은 고딕" w:eastAsia="맑은 고딕"/>
                <w:b w:val="0"/>
                <w:sz w:val="17"/>
              </w:rPr>
              <w:t>옥수수</w:t>
            </w:r>
          </w:p>
        </w:tc>
        <w:tc>
          <w:tcPr>
            <w:tcW w:type="dxa" w:w="1872"/>
          </w:tcPr>
          <w:p>
            <w:pPr>
              <w:jc w:val="center"/>
            </w:pPr>
            <w:r/>
            <w:r>
              <w:rPr>
                <w:rFonts w:ascii="맑은 고딕" w:hAnsi="맑은 고딕" w:eastAsia="맑은 고딕"/>
                <w:b w:val="0"/>
                <w:sz w:val="17"/>
              </w:rPr>
              <w:t>LightGBM (B)</w:t>
            </w:r>
          </w:p>
        </w:tc>
        <w:tc>
          <w:tcPr>
            <w:tcW w:type="dxa" w:w="1728"/>
          </w:tcPr>
          <w:p>
            <w:pPr>
              <w:jc w:val="center"/>
            </w:pPr>
            <w:r/>
            <w:r>
              <w:rPr>
                <w:rFonts w:ascii="맑은 고딕" w:hAnsi="맑은 고딕" w:eastAsia="맑은 고딕"/>
                <w:b w:val="0"/>
                <w:sz w:val="17"/>
              </w:rPr>
              <w:t>0.732 ± 0.005</w:t>
            </w:r>
          </w:p>
        </w:tc>
        <w:tc>
          <w:tcPr>
            <w:tcW w:type="dxa" w:w="1440"/>
          </w:tcPr>
          <w:p>
            <w:pPr>
              <w:jc w:val="center"/>
            </w:pPr>
            <w:r/>
            <w:r>
              <w:rPr>
                <w:rFonts w:ascii="맑은 고딕" w:hAnsi="맑은 고딕" w:eastAsia="맑은 고딕"/>
                <w:b w:val="0"/>
                <w:sz w:val="17"/>
              </w:rPr>
              <w:t>20.08 bu/ac</w:t>
            </w:r>
          </w:p>
        </w:tc>
        <w:tc>
          <w:tcPr>
            <w:tcW w:type="dxa" w:w="1008"/>
          </w:tcPr>
          <w:p>
            <w:pPr>
              <w:jc w:val="center"/>
            </w:pPr>
            <w:r/>
            <w:r>
              <w:rPr>
                <w:rFonts w:ascii="맑은 고딕" w:hAnsi="맑은 고딕" w:eastAsia="맑은 고딕"/>
                <w:b w:val="0"/>
                <w:sz w:val="17"/>
              </w:rPr>
              <w:t>14.31</w:t>
            </w:r>
          </w:p>
        </w:tc>
        <w:tc>
          <w:tcPr>
            <w:tcW w:type="dxa" w:w="1440"/>
          </w:tcPr>
          <w:p>
            <w:pPr>
              <w:jc w:val="center"/>
            </w:pPr>
            <w:r/>
            <w:r>
              <w:rPr>
                <w:rFonts w:ascii="맑은 고딕" w:hAnsi="맑은 고딕" w:eastAsia="맑은 고딕"/>
                <w:b w:val="0"/>
                <w:sz w:val="17"/>
              </w:rPr>
              <w:t>108.9 bu/ac</w:t>
            </w:r>
          </w:p>
        </w:tc>
        <w:tc>
          <w:tcPr>
            <w:tcW w:type="dxa" w:w="1152"/>
          </w:tcPr>
          <w:p>
            <w:pPr>
              <w:jc w:val="center"/>
            </w:pPr>
            <w:r/>
            <w:r>
              <w:rPr>
                <w:rFonts w:ascii="맑은 고딕" w:hAnsi="맑은 고딕" w:eastAsia="맑은 고딕"/>
                <w:b w:val="0"/>
                <w:sz w:val="17"/>
              </w:rPr>
              <w:t>18.4%</w:t>
            </w:r>
          </w:p>
        </w:tc>
      </w:tr>
      <w:tr>
        <w:tc>
          <w:tcPr>
            <w:tcW w:type="dxa" w:w="1152"/>
          </w:tcPr>
          <w:p>
            <w:pPr>
              <w:jc w:val="left"/>
            </w:pPr>
            <w:r/>
            <w:r>
              <w:rPr>
                <w:rFonts w:ascii="맑은 고딕" w:hAnsi="맑은 고딕" w:eastAsia="맑은 고딕"/>
                <w:b w:val="0"/>
                <w:sz w:val="17"/>
              </w:rPr>
              <w:t>대두</w:t>
            </w:r>
          </w:p>
        </w:tc>
        <w:tc>
          <w:tcPr>
            <w:tcW w:type="dxa" w:w="1872"/>
          </w:tcPr>
          <w:p>
            <w:pPr>
              <w:jc w:val="center"/>
            </w:pPr>
            <w:r/>
            <w:r>
              <w:rPr>
                <w:rFonts w:ascii="맑은 고딕" w:hAnsi="맑은 고딕" w:eastAsia="맑은 고딕"/>
                <w:b w:val="0"/>
                <w:sz w:val="17"/>
              </w:rPr>
              <w:t>LightGBM (B)</w:t>
            </w:r>
          </w:p>
        </w:tc>
        <w:tc>
          <w:tcPr>
            <w:tcW w:type="dxa" w:w="1728"/>
          </w:tcPr>
          <w:p>
            <w:pPr>
              <w:jc w:val="center"/>
            </w:pPr>
            <w:r/>
            <w:r>
              <w:rPr>
                <w:rFonts w:ascii="맑은 고딕" w:hAnsi="맑은 고딕" w:eastAsia="맑은 고딕"/>
                <w:b w:val="0"/>
                <w:sz w:val="17"/>
              </w:rPr>
              <w:t>0.807 ± 0.007</w:t>
            </w:r>
          </w:p>
        </w:tc>
        <w:tc>
          <w:tcPr>
            <w:tcW w:type="dxa" w:w="1440"/>
          </w:tcPr>
          <w:p>
            <w:pPr>
              <w:jc w:val="center"/>
            </w:pPr>
            <w:r/>
            <w:r>
              <w:rPr>
                <w:rFonts w:ascii="맑은 고딕" w:hAnsi="맑은 고딕" w:eastAsia="맑은 고딕"/>
                <w:b w:val="0"/>
                <w:sz w:val="17"/>
              </w:rPr>
              <w:t>4.62 bu/ac</w:t>
            </w:r>
          </w:p>
        </w:tc>
        <w:tc>
          <w:tcPr>
            <w:tcW w:type="dxa" w:w="1008"/>
          </w:tcPr>
          <w:p>
            <w:pPr>
              <w:jc w:val="center"/>
            </w:pPr>
            <w:r/>
            <w:r>
              <w:rPr>
                <w:rFonts w:ascii="맑은 고딕" w:hAnsi="맑은 고딕" w:eastAsia="맑은 고딕"/>
                <w:b w:val="0"/>
                <w:sz w:val="17"/>
              </w:rPr>
              <w:t>3.51</w:t>
            </w:r>
          </w:p>
        </w:tc>
        <w:tc>
          <w:tcPr>
            <w:tcW w:type="dxa" w:w="1440"/>
          </w:tcPr>
          <w:p>
            <w:pPr>
              <w:jc w:val="center"/>
            </w:pPr>
            <w:r/>
            <w:r>
              <w:rPr>
                <w:rFonts w:ascii="맑은 고딕" w:hAnsi="맑은 고딕" w:eastAsia="맑은 고딕"/>
                <w:b w:val="0"/>
                <w:sz w:val="17"/>
              </w:rPr>
              <w:t>33.7 bu/ac</w:t>
            </w:r>
          </w:p>
        </w:tc>
        <w:tc>
          <w:tcPr>
            <w:tcW w:type="dxa" w:w="1152"/>
          </w:tcPr>
          <w:p>
            <w:pPr>
              <w:jc w:val="center"/>
            </w:pPr>
            <w:r/>
            <w:r>
              <w:rPr>
                <w:rFonts w:ascii="맑은 고딕" w:hAnsi="맑은 고딕" w:eastAsia="맑은 고딕"/>
                <w:b w:val="0"/>
                <w:sz w:val="17"/>
              </w:rPr>
              <w:t>13.7%</w:t>
            </w:r>
          </w:p>
        </w:tc>
      </w:tr>
    </w:tbl>
    <w:p>
      <w:pPr>
        <w:spacing w:after="160"/>
      </w:pPr>
    </w:p>
    <w:p>
      <w:pPr>
        <w:jc w:val="center"/>
      </w:pPr>
      <w:r>
        <w:drawing>
          <wp:inline xmlns:a="http://schemas.openxmlformats.org/drawingml/2006/main" xmlns:pic="http://schemas.openxmlformats.org/drawingml/2006/picture">
            <wp:extent cx="5577840" cy="3169320"/>
            <wp:docPr id="6" name="Picture 6"/>
            <wp:cNvGraphicFramePr>
              <a:graphicFrameLocks noChangeAspect="1"/>
            </wp:cNvGraphicFramePr>
            <a:graphic>
              <a:graphicData uri="http://schemas.openxmlformats.org/drawingml/2006/picture">
                <pic:pic>
                  <pic:nvPicPr>
                    <pic:cNvPr id="0" name="fig23_soy_model_comparison.png"/>
                    <pic:cNvPicPr/>
                  </pic:nvPicPr>
                  <pic:blipFill>
                    <a:blip r:embed="rId14"/>
                    <a:stretch>
                      <a:fillRect/>
                    </a:stretch>
                  </pic:blipFill>
                  <pic:spPr>
                    <a:xfrm>
                      <a:off x="0" y="0"/>
                      <a:ext cx="5577840" cy="3169320"/>
                    </a:xfrm>
                    <a:prstGeom prst="rect"/>
                  </pic:spPr>
                </pic:pic>
              </a:graphicData>
            </a:graphic>
          </wp:inline>
        </w:drawing>
      </w:r>
    </w:p>
    <w:p>
      <w:pPr>
        <w:spacing w:after="240"/>
        <w:jc w:val="center"/>
      </w:pPr>
      <w:r>
        <w:rPr>
          <w:rFonts w:ascii="맑은 고딕" w:hAnsi="맑은 고딕" w:eastAsia="맑은 고딕"/>
          <w:b w:val="0"/>
          <w:i/>
          <w:color w:val="5A5A5A"/>
          <w:sz w:val="17"/>
        </w:rPr>
        <w:t>그림 6. 대두 모델 성능 비교 — 옥수수와 동일한 프로토콜.</w:t>
      </w:r>
    </w:p>
    <w:p>
      <w:pPr>
        <w:pStyle w:val="Heading2"/>
      </w:pPr>
      <w:r>
        <w:t>4.4 해석용 고정효과 모델 — 더위 효과의 인과적 방어</w:t>
      </w:r>
    </w:p>
    <w:p>
      <w:pPr>
        <w:spacing w:after="120"/>
      </w:pPr>
      <w:r>
        <w:rPr>
          <w:rFonts w:ascii="맑은 고딕" w:hAnsi="맑은 고딕" w:eastAsia="맑은 고딕"/>
          <w:b w:val="0"/>
          <w:i w:val="0"/>
          <w:sz w:val="20"/>
        </w:rPr>
        <w:t>예측 성능이 좋다고 해서 "더위가 수확량을 해친다"가 증명되는 것은 아니다. 더운 카운티는 원래 토양이 나쁠 수도 있고, 더운 해는 다른 충격이 겹칠 수도 있다. 그래서 예측용 모델과 별개로, 카운티 2,644개와 연도 35개의 고정효과를 모두 흡수한 해석용 회귀를 돌렸다(카운티 클러스터 표준오차).</w:t>
      </w:r>
    </w:p>
    <w:p>
      <w:pPr>
        <w:spacing w:after="120"/>
      </w:pPr>
      <w:r>
        <w:rPr>
          <w:rFonts w:ascii="맑은 고딕" w:hAnsi="맑은 고딕" w:eastAsia="맑은 고딕"/>
          <w:b w:val="0"/>
          <w:i w:val="0"/>
          <w:sz w:val="20"/>
        </w:rPr>
        <w:t>결과는 강건하다. 29℃ 이하 노출 1일을 29℃ 초과 노출로 대체할 때 옥수수 수확량은 −1.67 bu/ac 감소한다(SE 0.028, t = −60.7). 지역 고유의 시불변 특성과 전국적 연도 충격을 모두 제거한 뒤에도 살아남는 효과다. within R²는 0.153이다. 대두의 같은 계수는 −0.39 bu/ac/일(t = −51.7)이다.</w:t>
      </w:r>
    </w:p>
    <w:p>
      <w:pPr>
        <w:spacing w:after="60"/>
      </w:pPr>
      <w:r>
        <w:rPr>
          <w:rFonts w:ascii="맑은 고딕" w:hAnsi="맑은 고딕" w:eastAsia="맑은 고딕"/>
          <w:b w:val="0"/>
          <w:i/>
          <w:color w:val="5A5A5A"/>
          <w:sz w:val="17"/>
        </w:rPr>
        <w:t>표 6. 카운티·연도 고정효과 회귀 (T = 29℃). 대체효과 = b_above − b_below (bu/ac/일)</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152"/>
          </w:tcPr>
          <w:p>
            <w:pPr>
              <w:jc w:val="center"/>
            </w:pPr>
            <w:r/>
            <w:r>
              <w:rPr>
                <w:rFonts w:ascii="맑은 고딕" w:hAnsi="맑은 고딕" w:eastAsia="맑은 고딕"/>
                <w:b/>
                <w:sz w:val="17"/>
              </w:rPr>
              <w:t>작물</w:t>
            </w:r>
          </w:p>
        </w:tc>
        <w:tc>
          <w:tcPr>
            <w:tcW w:type="dxa" w:w="1872"/>
          </w:tcPr>
          <w:p>
            <w:pPr>
              <w:jc w:val="center"/>
            </w:pPr>
            <w:r/>
            <w:r>
              <w:rPr>
                <w:rFonts w:ascii="맑은 고딕" w:hAnsi="맑은 고딕" w:eastAsia="맑은 고딕"/>
                <w:b/>
                <w:sz w:val="17"/>
              </w:rPr>
              <w:t>b_below (29℃ 이하)</w:t>
            </w:r>
          </w:p>
        </w:tc>
        <w:tc>
          <w:tcPr>
            <w:tcW w:type="dxa" w:w="1872"/>
          </w:tcPr>
          <w:p>
            <w:pPr>
              <w:jc w:val="center"/>
            </w:pPr>
            <w:r/>
            <w:r>
              <w:rPr>
                <w:rFonts w:ascii="맑은 고딕" w:hAnsi="맑은 고딕" w:eastAsia="맑은 고딕"/>
                <w:b/>
                <w:sz w:val="17"/>
              </w:rPr>
              <w:t>b_above (29℃ 초과)</w:t>
            </w:r>
          </w:p>
        </w:tc>
        <w:tc>
          <w:tcPr>
            <w:tcW w:type="dxa" w:w="1296"/>
          </w:tcPr>
          <w:p>
            <w:pPr>
              <w:jc w:val="center"/>
            </w:pPr>
            <w:r/>
            <w:r>
              <w:rPr>
                <w:rFonts w:ascii="맑은 고딕" w:hAnsi="맑은 고딕" w:eastAsia="맑은 고딕"/>
                <w:b/>
                <w:sz w:val="17"/>
              </w:rPr>
              <w:t>대체효과</w:t>
            </w:r>
          </w:p>
        </w:tc>
        <w:tc>
          <w:tcPr>
            <w:tcW w:type="dxa" w:w="864"/>
          </w:tcPr>
          <w:p>
            <w:pPr>
              <w:jc w:val="center"/>
            </w:pPr>
            <w:r/>
            <w:r>
              <w:rPr>
                <w:rFonts w:ascii="맑은 고딕" w:hAnsi="맑은 고딕" w:eastAsia="맑은 고딕"/>
                <w:b/>
                <w:sz w:val="17"/>
              </w:rPr>
              <w:t>SE</w:t>
            </w:r>
          </w:p>
        </w:tc>
        <w:tc>
          <w:tcPr>
            <w:tcW w:type="dxa" w:w="864"/>
          </w:tcPr>
          <w:p>
            <w:pPr>
              <w:jc w:val="center"/>
            </w:pPr>
            <w:r/>
            <w:r>
              <w:rPr>
                <w:rFonts w:ascii="맑은 고딕" w:hAnsi="맑은 고딕" w:eastAsia="맑은 고딕"/>
                <w:b/>
                <w:sz w:val="17"/>
              </w:rPr>
              <w:t>t</w:t>
            </w:r>
          </w:p>
        </w:tc>
        <w:tc>
          <w:tcPr>
            <w:tcW w:type="dxa" w:w="1152"/>
          </w:tcPr>
          <w:p>
            <w:pPr>
              <w:jc w:val="center"/>
            </w:pPr>
            <w:r/>
            <w:r>
              <w:rPr>
                <w:rFonts w:ascii="맑은 고딕" w:hAnsi="맑은 고딕" w:eastAsia="맑은 고딕"/>
                <w:b/>
                <w:sz w:val="17"/>
              </w:rPr>
              <w:t>within R²</w:t>
            </w:r>
          </w:p>
        </w:tc>
      </w:tr>
      <w:tr>
        <w:tc>
          <w:tcPr>
            <w:tcW w:type="dxa" w:w="1152"/>
          </w:tcPr>
          <w:p>
            <w:pPr>
              <w:jc w:val="left"/>
            </w:pPr>
            <w:r/>
            <w:r>
              <w:rPr>
                <w:rFonts w:ascii="맑은 고딕" w:hAnsi="맑은 고딕" w:eastAsia="맑은 고딕"/>
                <w:b/>
                <w:sz w:val="17"/>
              </w:rPr>
              <w:t>옥수수</w:t>
            </w:r>
          </w:p>
        </w:tc>
        <w:tc>
          <w:tcPr>
            <w:tcW w:type="dxa" w:w="1872"/>
          </w:tcPr>
          <w:p>
            <w:pPr>
              <w:jc w:val="center"/>
            </w:pPr>
            <w:r/>
            <w:r>
              <w:rPr>
                <w:rFonts w:ascii="맑은 고딕" w:hAnsi="맑은 고딕" w:eastAsia="맑은 고딕"/>
                <w:b/>
                <w:sz w:val="17"/>
              </w:rPr>
              <w:t>+0.137</w:t>
            </w:r>
          </w:p>
        </w:tc>
        <w:tc>
          <w:tcPr>
            <w:tcW w:type="dxa" w:w="1872"/>
          </w:tcPr>
          <w:p>
            <w:pPr>
              <w:jc w:val="center"/>
            </w:pPr>
            <w:r/>
            <w:r>
              <w:rPr>
                <w:rFonts w:ascii="맑은 고딕" w:hAnsi="맑은 고딕" w:eastAsia="맑은 고딕"/>
                <w:b/>
                <w:sz w:val="17"/>
              </w:rPr>
              <w:t>−1.536</w:t>
            </w:r>
          </w:p>
        </w:tc>
        <w:tc>
          <w:tcPr>
            <w:tcW w:type="dxa" w:w="1296"/>
          </w:tcPr>
          <w:p>
            <w:pPr>
              <w:jc w:val="center"/>
            </w:pPr>
            <w:r/>
            <w:r>
              <w:rPr>
                <w:rFonts w:ascii="맑은 고딕" w:hAnsi="맑은 고딕" w:eastAsia="맑은 고딕"/>
                <w:b/>
                <w:sz w:val="17"/>
              </w:rPr>
              <w:t>−1.673</w:t>
            </w:r>
          </w:p>
        </w:tc>
        <w:tc>
          <w:tcPr>
            <w:tcW w:type="dxa" w:w="864"/>
          </w:tcPr>
          <w:p>
            <w:pPr>
              <w:jc w:val="center"/>
            </w:pPr>
            <w:r/>
            <w:r>
              <w:rPr>
                <w:rFonts w:ascii="맑은 고딕" w:hAnsi="맑은 고딕" w:eastAsia="맑은 고딕"/>
                <w:b/>
                <w:sz w:val="17"/>
              </w:rPr>
              <w:t>0.028</w:t>
            </w:r>
          </w:p>
        </w:tc>
        <w:tc>
          <w:tcPr>
            <w:tcW w:type="dxa" w:w="864"/>
          </w:tcPr>
          <w:p>
            <w:pPr>
              <w:jc w:val="center"/>
            </w:pPr>
            <w:r/>
            <w:r>
              <w:rPr>
                <w:rFonts w:ascii="맑은 고딕" w:hAnsi="맑은 고딕" w:eastAsia="맑은 고딕"/>
                <w:b/>
                <w:sz w:val="17"/>
              </w:rPr>
              <w:t>−60.7</w:t>
            </w:r>
          </w:p>
        </w:tc>
        <w:tc>
          <w:tcPr>
            <w:tcW w:type="dxa" w:w="1152"/>
          </w:tcPr>
          <w:p>
            <w:pPr>
              <w:jc w:val="center"/>
            </w:pPr>
            <w:r/>
            <w:r>
              <w:rPr>
                <w:rFonts w:ascii="맑은 고딕" w:hAnsi="맑은 고딕" w:eastAsia="맑은 고딕"/>
                <w:b/>
                <w:sz w:val="17"/>
              </w:rPr>
              <w:t>0.153</w:t>
            </w:r>
          </w:p>
        </w:tc>
      </w:tr>
      <w:tr>
        <w:tc>
          <w:tcPr>
            <w:tcW w:type="dxa" w:w="1152"/>
          </w:tcPr>
          <w:p>
            <w:pPr>
              <w:jc w:val="left"/>
            </w:pPr>
            <w:r/>
            <w:r>
              <w:rPr>
                <w:rFonts w:ascii="맑은 고딕" w:hAnsi="맑은 고딕" w:eastAsia="맑은 고딕"/>
                <w:b w:val="0"/>
                <w:sz w:val="17"/>
              </w:rPr>
              <w:t>대두</w:t>
            </w:r>
          </w:p>
        </w:tc>
        <w:tc>
          <w:tcPr>
            <w:tcW w:type="dxa" w:w="1872"/>
          </w:tcPr>
          <w:p>
            <w:pPr>
              <w:jc w:val="center"/>
            </w:pPr>
            <w:r/>
            <w:r>
              <w:rPr>
                <w:rFonts w:ascii="맑은 고딕" w:hAnsi="맑은 고딕" w:eastAsia="맑은 고딕"/>
                <w:b w:val="0"/>
                <w:sz w:val="17"/>
              </w:rPr>
              <w:t>+0.107</w:t>
            </w:r>
          </w:p>
        </w:tc>
        <w:tc>
          <w:tcPr>
            <w:tcW w:type="dxa" w:w="1872"/>
          </w:tcPr>
          <w:p>
            <w:pPr>
              <w:jc w:val="center"/>
            </w:pPr>
            <w:r/>
            <w:r>
              <w:rPr>
                <w:rFonts w:ascii="맑은 고딕" w:hAnsi="맑은 고딕" w:eastAsia="맑은 고딕"/>
                <w:b w:val="0"/>
                <w:sz w:val="17"/>
              </w:rPr>
              <w:t>−0.288</w:t>
            </w:r>
          </w:p>
        </w:tc>
        <w:tc>
          <w:tcPr>
            <w:tcW w:type="dxa" w:w="1296"/>
          </w:tcPr>
          <w:p>
            <w:pPr>
              <w:jc w:val="center"/>
            </w:pPr>
            <w:r/>
            <w:r>
              <w:rPr>
                <w:rFonts w:ascii="맑은 고딕" w:hAnsi="맑은 고딕" w:eastAsia="맑은 고딕"/>
                <w:b w:val="0"/>
                <w:sz w:val="17"/>
              </w:rPr>
              <w:t>−0.394</w:t>
            </w:r>
          </w:p>
        </w:tc>
        <w:tc>
          <w:tcPr>
            <w:tcW w:type="dxa" w:w="864"/>
          </w:tcPr>
          <w:p>
            <w:pPr>
              <w:jc w:val="center"/>
            </w:pPr>
            <w:r/>
            <w:r>
              <w:rPr>
                <w:rFonts w:ascii="맑은 고딕" w:hAnsi="맑은 고딕" w:eastAsia="맑은 고딕"/>
                <w:b w:val="0"/>
                <w:sz w:val="17"/>
              </w:rPr>
              <w:t>0.008</w:t>
            </w:r>
          </w:p>
        </w:tc>
        <w:tc>
          <w:tcPr>
            <w:tcW w:type="dxa" w:w="864"/>
          </w:tcPr>
          <w:p>
            <w:pPr>
              <w:jc w:val="center"/>
            </w:pPr>
            <w:r/>
            <w:r>
              <w:rPr>
                <w:rFonts w:ascii="맑은 고딕" w:hAnsi="맑은 고딕" w:eastAsia="맑은 고딕"/>
                <w:b w:val="0"/>
                <w:sz w:val="17"/>
              </w:rPr>
              <w:t>−51.7</w:t>
            </w:r>
          </w:p>
        </w:tc>
        <w:tc>
          <w:tcPr>
            <w:tcW w:type="dxa" w:w="1152"/>
          </w:tcPr>
          <w:p>
            <w:pPr>
              <w:jc w:val="center"/>
            </w:pPr>
            <w:r/>
            <w:r>
              <w:rPr>
                <w:rFonts w:ascii="맑은 고딕" w:hAnsi="맑은 고딕" w:eastAsia="맑은 고딕"/>
                <w:b w:val="0"/>
                <w:sz w:val="17"/>
              </w:rPr>
              <w:t>0.162</w:t>
            </w:r>
          </w:p>
        </w:tc>
      </w:tr>
    </w:tbl>
    <w:p>
      <w:pPr>
        <w:spacing w:after="160"/>
      </w:pPr>
    </w:p>
    <w:p>
      <w:pPr>
        <w:spacing w:after="120"/>
      </w:pPr>
      <w:r>
        <w:rPr>
          <w:rFonts w:ascii="맑은 고딕" w:hAnsi="맑은 고딕" w:eastAsia="맑은 고딕"/>
          <w:b w:val="0"/>
          <w:i w:val="0"/>
          <w:sz w:val="20"/>
        </w:rPr>
        <w:t>절대 bu/ac 기준으로 옥수수(−1.67)가 대두(−0.39)보다 4.2배 민감하다. 평균 수확량 대비 비율로 환산해도 옥수수 −1.54%/일 vs 대두 −1.17%/일로 옥수수가 더 취약하다. 이 비대칭이 §6 최적화에서 "온난화 시 옥수수 → 대두 전환"이 나오는 물리적 근거다.</w:t>
      </w:r>
    </w:p>
    <w:p>
      <w:pPr>
        <w:jc w:val="center"/>
      </w:pPr>
      <w:r>
        <w:drawing>
          <wp:inline xmlns:a="http://schemas.openxmlformats.org/drawingml/2006/main" xmlns:pic="http://schemas.openxmlformats.org/drawingml/2006/picture">
            <wp:extent cx="5577840" cy="2099926"/>
            <wp:docPr id="7" name="Picture 7"/>
            <wp:cNvGraphicFramePr>
              <a:graphicFrameLocks noChangeAspect="1"/>
            </wp:cNvGraphicFramePr>
            <a:graphic>
              <a:graphicData uri="http://schemas.openxmlformats.org/drawingml/2006/picture">
                <pic:pic>
                  <pic:nvPicPr>
                    <pic:cNvPr id="0" name="fig15_temperature_response.png"/>
                    <pic:cNvPicPr/>
                  </pic:nvPicPr>
                  <pic:blipFill>
                    <a:blip r:embed="rId15"/>
                    <a:stretch>
                      <a:fillRect/>
                    </a:stretch>
                  </pic:blipFill>
                  <pic:spPr>
                    <a:xfrm>
                      <a:off x="0" y="0"/>
                      <a:ext cx="5577840" cy="2099926"/>
                    </a:xfrm>
                    <a:prstGeom prst="rect"/>
                  </pic:spPr>
                </pic:pic>
              </a:graphicData>
            </a:graphic>
          </wp:inline>
        </w:drawing>
      </w:r>
    </w:p>
    <w:p>
      <w:pPr>
        <w:spacing w:after="240"/>
        <w:jc w:val="center"/>
      </w:pPr>
      <w:r>
        <w:rPr>
          <w:rFonts w:ascii="맑은 고딕" w:hAnsi="맑은 고딕" w:eastAsia="맑은 고딕"/>
          <w:b w:val="0"/>
          <w:i/>
          <w:color w:val="5A5A5A"/>
          <w:sz w:val="17"/>
        </w:rPr>
        <w:t>그림 7. 옥수수의 추정 온도 반응곡선. 제약 반응곡선 정점은 29℃ 초과 노출 10일 (118.9 bu/ac)에서 70일 (74.0 bu/ac)로 급감.</w:t>
      </w:r>
    </w:p>
    <w:p>
      <w:pPr>
        <w:jc w:val="center"/>
      </w:pPr>
      <w:r>
        <w:drawing>
          <wp:inline xmlns:a="http://schemas.openxmlformats.org/drawingml/2006/main" xmlns:pic="http://schemas.openxmlformats.org/drawingml/2006/picture">
            <wp:extent cx="5577840" cy="1717559"/>
            <wp:docPr id="8" name="Picture 8"/>
            <wp:cNvGraphicFramePr>
              <a:graphicFrameLocks noChangeAspect="1"/>
            </wp:cNvGraphicFramePr>
            <a:graphic>
              <a:graphicData uri="http://schemas.openxmlformats.org/drawingml/2006/picture">
                <pic:pic>
                  <pic:nvPicPr>
                    <pic:cNvPr id="0" name="fig25_temp_response_corn_vs_soy.png"/>
                    <pic:cNvPicPr/>
                  </pic:nvPicPr>
                  <pic:blipFill>
                    <a:blip r:embed="rId16"/>
                    <a:stretch>
                      <a:fillRect/>
                    </a:stretch>
                  </pic:blipFill>
                  <pic:spPr>
                    <a:xfrm>
                      <a:off x="0" y="0"/>
                      <a:ext cx="5577840" cy="1717559"/>
                    </a:xfrm>
                    <a:prstGeom prst="rect"/>
                  </pic:spPr>
                </pic:pic>
              </a:graphicData>
            </a:graphic>
          </wp:inline>
        </w:drawing>
      </w:r>
    </w:p>
    <w:p>
      <w:pPr>
        <w:spacing w:after="240"/>
        <w:jc w:val="center"/>
      </w:pPr>
      <w:r>
        <w:rPr>
          <w:rFonts w:ascii="맑은 고딕" w:hAnsi="맑은 고딕" w:eastAsia="맑은 고딕"/>
          <w:b w:val="0"/>
          <w:i/>
          <w:color w:val="5A5A5A"/>
          <w:sz w:val="17"/>
        </w:rPr>
        <w:t>그림 8. 옥수수 vs 대두 온도 반응곡선 비교. 절대 손실은 옥수수가 훨씬 크다.</w:t>
      </w:r>
    </w:p>
    <w:p>
      <w:pPr>
        <w:jc w:val="center"/>
      </w:pPr>
      <w:r>
        <w:drawing>
          <wp:inline xmlns:a="http://schemas.openxmlformats.org/drawingml/2006/main" xmlns:pic="http://schemas.openxmlformats.org/drawingml/2006/picture">
            <wp:extent cx="5577840" cy="2119222"/>
            <wp:docPr id="9" name="Picture 9"/>
            <wp:cNvGraphicFramePr>
              <a:graphicFrameLocks noChangeAspect="1"/>
            </wp:cNvGraphicFramePr>
            <a:graphic>
              <a:graphicData uri="http://schemas.openxmlformats.org/drawingml/2006/picture">
                <pic:pic>
                  <pic:nvPicPr>
                    <pic:cNvPr id="0" name="fig16_fixed_effects.png"/>
                    <pic:cNvPicPr/>
                  </pic:nvPicPr>
                  <pic:blipFill>
                    <a:blip r:embed="rId17"/>
                    <a:stretch>
                      <a:fillRect/>
                    </a:stretch>
                  </pic:blipFill>
                  <pic:spPr>
                    <a:xfrm>
                      <a:off x="0" y="0"/>
                      <a:ext cx="5577840" cy="2119222"/>
                    </a:xfrm>
                    <a:prstGeom prst="rect"/>
                  </pic:spPr>
                </pic:pic>
              </a:graphicData>
            </a:graphic>
          </wp:inline>
        </w:drawing>
      </w:r>
    </w:p>
    <w:p>
      <w:pPr>
        <w:spacing w:after="240"/>
        <w:jc w:val="center"/>
      </w:pPr>
      <w:r>
        <w:rPr>
          <w:rFonts w:ascii="맑은 고딕" w:hAnsi="맑은 고딕" w:eastAsia="맑은 고딕"/>
          <w:b w:val="0"/>
          <w:i/>
          <w:color w:val="5A5A5A"/>
          <w:sz w:val="17"/>
        </w:rPr>
        <w:t>그림 9. 고정효과 모델의 임계점별 계수 (T = 28~31℃). 대체효과는 모든 임계에서 강하게 음수.</w:t>
      </w:r>
    </w:p>
    <w:p>
      <w:r>
        <w:br w:type="page"/>
      </w:r>
    </w:p>
    <w:p>
      <w:pPr>
        <w:pStyle w:val="Heading1"/>
      </w:pPr>
      <w:r>
        <w:t>5. 기후 시나리오 (+2℃)</w:t>
      </w:r>
    </w:p>
    <w:p>
      <w:pPr>
        <w:pStyle w:val="Heading2"/>
      </w:pPr>
      <w:r>
        <w:t>5.1 관측된 온난화 추세와 US warming hole</w:t>
      </w:r>
    </w:p>
    <w:p>
      <w:pPr>
        <w:spacing w:after="120"/>
      </w:pPr>
      <w:r>
        <w:rPr>
          <w:rFonts w:ascii="맑은 고딕" w:hAnsi="맑은 고딕" w:eastAsia="맑은 고딕"/>
          <w:b w:val="0"/>
          <w:i w:val="0"/>
          <w:sz w:val="20"/>
        </w:rPr>
        <w:t>먼저 1981–2015년의 실제 추세를 확인했다. 여기서 중대한 구성 편향(composition bias)이 발견됐다. 패널의 카운티 수가 1981년 2,387개에서 2015년 1,433개로 줄어들기 때문에, 순진한 전국 평균을 쓰면 온난화 추세의 부호가 뒤집힌다(노출가중 평균기온 −0.035℃/decade). 카운티 고정효과로 구성을 통제하면 +0.122℃/decade (t = +36.5)로 정상적인 온난화가 나타난다.</w:t>
      </w:r>
    </w:p>
    <w:p>
      <w:pPr>
        <w:spacing w:after="60"/>
      </w:pPr>
      <w:r>
        <w:rPr>
          <w:rFonts w:ascii="맑은 고딕" w:hAnsi="맑은 고딕" w:eastAsia="맑은 고딕"/>
          <w:b w:val="0"/>
          <w:i/>
          <w:color w:val="5A5A5A"/>
          <w:sz w:val="17"/>
        </w:rPr>
        <w:t>표 7. 기후 추세 (per decade). 순진한 평균은 구성 편향으로 부호까지 뒤집힌다</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2448"/>
          </w:tcPr>
          <w:p>
            <w:pPr>
              <w:jc w:val="center"/>
            </w:pPr>
            <w:r/>
            <w:r>
              <w:rPr>
                <w:rFonts w:ascii="맑은 고딕" w:hAnsi="맑은 고딕" w:eastAsia="맑은 고딕"/>
                <w:b/>
                <w:sz w:val="17"/>
              </w:rPr>
              <w:t>지표</w:t>
            </w:r>
          </w:p>
        </w:tc>
        <w:tc>
          <w:tcPr>
            <w:tcW w:type="dxa" w:w="1440"/>
          </w:tcPr>
          <w:p>
            <w:pPr>
              <w:jc w:val="center"/>
            </w:pPr>
            <w:r/>
            <w:r>
              <w:rPr>
                <w:rFonts w:ascii="맑은 고딕" w:hAnsi="맑은 고딕" w:eastAsia="맑은 고딕"/>
                <w:b/>
                <w:sz w:val="17"/>
              </w:rPr>
              <w:t>순진한 평균</w:t>
            </w:r>
          </w:p>
        </w:tc>
        <w:tc>
          <w:tcPr>
            <w:tcW w:type="dxa" w:w="1440"/>
          </w:tcPr>
          <w:p>
            <w:pPr>
              <w:jc w:val="center"/>
            </w:pPr>
            <w:r/>
            <w:r>
              <w:rPr>
                <w:rFonts w:ascii="맑은 고딕" w:hAnsi="맑은 고딕" w:eastAsia="맑은 고딕"/>
                <w:b/>
                <w:sz w:val="17"/>
              </w:rPr>
              <w:t>균형 패널</w:t>
            </w:r>
          </w:p>
        </w:tc>
        <w:tc>
          <w:tcPr>
            <w:tcW w:type="dxa" w:w="1440"/>
          </w:tcPr>
          <w:p>
            <w:pPr>
              <w:jc w:val="center"/>
            </w:pPr>
            <w:r/>
            <w:r>
              <w:rPr>
                <w:rFonts w:ascii="맑은 고딕" w:hAnsi="맑은 고딕" w:eastAsia="맑은 고딕"/>
                <w:b/>
                <w:sz w:val="17"/>
              </w:rPr>
              <w:t>카운티 FE</w:t>
            </w:r>
          </w:p>
        </w:tc>
        <w:tc>
          <w:tcPr>
            <w:tcW w:type="dxa" w:w="1008"/>
          </w:tcPr>
          <w:p>
            <w:pPr>
              <w:jc w:val="center"/>
            </w:pPr>
            <w:r/>
            <w:r>
              <w:rPr>
                <w:rFonts w:ascii="맑은 고딕" w:hAnsi="맑은 고딕" w:eastAsia="맑은 고딕"/>
                <w:b/>
                <w:sz w:val="17"/>
              </w:rPr>
              <w:t>t</w:t>
            </w:r>
          </w:p>
        </w:tc>
        <w:tc>
          <w:tcPr>
            <w:tcW w:type="dxa" w:w="1296"/>
          </w:tcPr>
          <w:p>
            <w:pPr>
              <w:jc w:val="center"/>
            </w:pPr>
            <w:r/>
            <w:r>
              <w:rPr>
                <w:rFonts w:ascii="맑은 고딕" w:hAnsi="맑은 고딕" w:eastAsia="맑은 고딕"/>
                <w:b/>
                <w:sz w:val="17"/>
              </w:rPr>
              <w:t>34년 환산</w:t>
            </w:r>
          </w:p>
        </w:tc>
      </w:tr>
      <w:tr>
        <w:tc>
          <w:tcPr>
            <w:tcW w:type="dxa" w:w="2448"/>
          </w:tcPr>
          <w:p>
            <w:pPr>
              <w:jc w:val="left"/>
            </w:pPr>
            <w:r/>
            <w:r>
              <w:rPr>
                <w:rFonts w:ascii="맑은 고딕" w:hAnsi="맑은 고딕" w:eastAsia="맑은 고딕"/>
                <w:b w:val="0"/>
                <w:sz w:val="17"/>
              </w:rPr>
              <w:t>노출가중 평균기온 (℃)</w:t>
            </w:r>
          </w:p>
        </w:tc>
        <w:tc>
          <w:tcPr>
            <w:tcW w:type="dxa" w:w="1440"/>
          </w:tcPr>
          <w:p>
            <w:pPr>
              <w:jc w:val="center"/>
            </w:pPr>
            <w:r/>
            <w:r>
              <w:rPr>
                <w:rFonts w:ascii="맑은 고딕" w:hAnsi="맑은 고딕" w:eastAsia="맑은 고딕"/>
                <w:b w:val="0"/>
                <w:sz w:val="17"/>
              </w:rPr>
              <w:t>−0.035</w:t>
            </w:r>
          </w:p>
        </w:tc>
        <w:tc>
          <w:tcPr>
            <w:tcW w:type="dxa" w:w="1440"/>
          </w:tcPr>
          <w:p>
            <w:pPr>
              <w:jc w:val="center"/>
            </w:pPr>
            <w:r/>
            <w:r>
              <w:rPr>
                <w:rFonts w:ascii="맑은 고딕" w:hAnsi="맑은 고딕" w:eastAsia="맑은 고딕"/>
                <w:b w:val="0"/>
                <w:sz w:val="17"/>
              </w:rPr>
              <w:t>+0.084</w:t>
            </w:r>
          </w:p>
        </w:tc>
        <w:tc>
          <w:tcPr>
            <w:tcW w:type="dxa" w:w="1440"/>
          </w:tcPr>
          <w:p>
            <w:pPr>
              <w:jc w:val="center"/>
            </w:pPr>
            <w:r/>
            <w:r>
              <w:rPr>
                <w:rFonts w:ascii="맑은 고딕" w:hAnsi="맑은 고딕" w:eastAsia="맑은 고딕"/>
                <w:b w:val="0"/>
                <w:sz w:val="17"/>
              </w:rPr>
              <w:t>+0.122</w:t>
            </w:r>
          </w:p>
        </w:tc>
        <w:tc>
          <w:tcPr>
            <w:tcW w:type="dxa" w:w="1008"/>
          </w:tcPr>
          <w:p>
            <w:pPr>
              <w:jc w:val="center"/>
            </w:pPr>
            <w:r/>
            <w:r>
              <w:rPr>
                <w:rFonts w:ascii="맑은 고딕" w:hAnsi="맑은 고딕" w:eastAsia="맑은 고딕"/>
                <w:b w:val="0"/>
                <w:sz w:val="17"/>
              </w:rPr>
              <w:t>+36.5</w:t>
            </w:r>
          </w:p>
        </w:tc>
        <w:tc>
          <w:tcPr>
            <w:tcW w:type="dxa" w:w="1296"/>
          </w:tcPr>
          <w:p>
            <w:pPr>
              <w:jc w:val="center"/>
            </w:pPr>
            <w:r/>
            <w:r>
              <w:rPr>
                <w:rFonts w:ascii="맑은 고딕" w:hAnsi="맑은 고딕" w:eastAsia="맑은 고딕"/>
                <w:b w:val="0"/>
                <w:sz w:val="17"/>
              </w:rPr>
              <w:t>+0.42℃</w:t>
            </w:r>
          </w:p>
        </w:tc>
      </w:tr>
      <w:tr>
        <w:tc>
          <w:tcPr>
            <w:tcW w:type="dxa" w:w="2448"/>
          </w:tcPr>
          <w:p>
            <w:pPr>
              <w:jc w:val="left"/>
            </w:pPr>
            <w:r/>
            <w:r>
              <w:rPr>
                <w:rFonts w:ascii="맑은 고딕" w:hAnsi="맑은 고딕" w:eastAsia="맑은 고딕"/>
                <w:b w:val="0"/>
                <w:sz w:val="17"/>
              </w:rPr>
              <w:t>29℃ 초과 노출 (일)</w:t>
            </w:r>
          </w:p>
        </w:tc>
        <w:tc>
          <w:tcPr>
            <w:tcW w:type="dxa" w:w="1440"/>
          </w:tcPr>
          <w:p>
            <w:pPr>
              <w:jc w:val="center"/>
            </w:pPr>
            <w:r/>
            <w:r>
              <w:rPr>
                <w:rFonts w:ascii="맑은 고딕" w:hAnsi="맑은 고딕" w:eastAsia="맑은 고딕"/>
                <w:b w:val="0"/>
                <w:sz w:val="17"/>
              </w:rPr>
              <w:t>−0.442</w:t>
            </w:r>
          </w:p>
        </w:tc>
        <w:tc>
          <w:tcPr>
            <w:tcW w:type="dxa" w:w="1440"/>
          </w:tcPr>
          <w:p>
            <w:pPr>
              <w:jc w:val="center"/>
            </w:pPr>
            <w:r/>
            <w:r>
              <w:rPr>
                <w:rFonts w:ascii="맑은 고딕" w:hAnsi="맑은 고딕" w:eastAsia="맑은 고딕"/>
                <w:b w:val="0"/>
                <w:sz w:val="17"/>
              </w:rPr>
              <w:t>−0.114</w:t>
            </w:r>
          </w:p>
        </w:tc>
        <w:tc>
          <w:tcPr>
            <w:tcW w:type="dxa" w:w="1440"/>
          </w:tcPr>
          <w:p>
            <w:pPr>
              <w:jc w:val="center"/>
            </w:pPr>
            <w:r/>
            <w:r>
              <w:rPr>
                <w:rFonts w:ascii="맑은 고딕" w:hAnsi="맑은 고딕" w:eastAsia="맑은 고딕"/>
                <w:b w:val="0"/>
                <w:sz w:val="17"/>
              </w:rPr>
              <w:t>+0.276</w:t>
            </w:r>
          </w:p>
        </w:tc>
        <w:tc>
          <w:tcPr>
            <w:tcW w:type="dxa" w:w="1008"/>
          </w:tcPr>
          <w:p>
            <w:pPr>
              <w:jc w:val="center"/>
            </w:pPr>
            <w:r/>
            <w:r>
              <w:rPr>
                <w:rFonts w:ascii="맑은 고딕" w:hAnsi="맑은 고딕" w:eastAsia="맑은 고딕"/>
                <w:b w:val="0"/>
                <w:sz w:val="17"/>
              </w:rPr>
              <w:t>+11.1</w:t>
            </w:r>
          </w:p>
        </w:tc>
        <w:tc>
          <w:tcPr>
            <w:tcW w:type="dxa" w:w="1296"/>
          </w:tcPr>
          <w:p>
            <w:pPr>
              <w:jc w:val="center"/>
            </w:pPr>
            <w:r/>
            <w:r>
              <w:rPr>
                <w:rFonts w:ascii="맑은 고딕" w:hAnsi="맑은 고딕" w:eastAsia="맑은 고딕"/>
                <w:b w:val="0"/>
                <w:sz w:val="17"/>
              </w:rPr>
              <w:t>+0.94일</w:t>
            </w:r>
          </w:p>
        </w:tc>
      </w:tr>
      <w:tr>
        <w:tc>
          <w:tcPr>
            <w:tcW w:type="dxa" w:w="2448"/>
          </w:tcPr>
          <w:p>
            <w:pPr>
              <w:jc w:val="left"/>
            </w:pPr>
            <w:r/>
            <w:r>
              <w:rPr>
                <w:rFonts w:ascii="맑은 고딕" w:hAnsi="맑은 고딕" w:eastAsia="맑은 고딕"/>
                <w:b w:val="0"/>
                <w:sz w:val="17"/>
              </w:rPr>
              <w:t>생육열량 GDD_10_30</w:t>
            </w:r>
          </w:p>
        </w:tc>
        <w:tc>
          <w:tcPr>
            <w:tcW w:type="dxa" w:w="1440"/>
          </w:tcPr>
          <w:p>
            <w:pPr>
              <w:jc w:val="center"/>
            </w:pPr>
            <w:r/>
            <w:r>
              <w:rPr>
                <w:rFonts w:ascii="맑은 고딕" w:hAnsi="맑은 고딕" w:eastAsia="맑은 고딕"/>
                <w:b w:val="0"/>
                <w:sz w:val="17"/>
              </w:rPr>
              <w:t>+1.023</w:t>
            </w:r>
          </w:p>
        </w:tc>
        <w:tc>
          <w:tcPr>
            <w:tcW w:type="dxa" w:w="1440"/>
          </w:tcPr>
          <w:p>
            <w:pPr>
              <w:jc w:val="center"/>
            </w:pPr>
            <w:r/>
            <w:r>
              <w:rPr>
                <w:rFonts w:ascii="맑은 고딕" w:hAnsi="맑은 고딕" w:eastAsia="맑은 고딕"/>
                <w:b w:val="0"/>
                <w:sz w:val="17"/>
              </w:rPr>
              <w:t>+16.11</w:t>
            </w:r>
          </w:p>
        </w:tc>
        <w:tc>
          <w:tcPr>
            <w:tcW w:type="dxa" w:w="1440"/>
          </w:tcPr>
          <w:p>
            <w:pPr>
              <w:jc w:val="center"/>
            </w:pPr>
            <w:r/>
            <w:r>
              <w:rPr>
                <w:rFonts w:ascii="맑은 고딕" w:hAnsi="맑은 고딕" w:eastAsia="맑은 고딕"/>
                <w:b w:val="0"/>
                <w:sz w:val="17"/>
              </w:rPr>
              <w:t>+20.52</w:t>
            </w:r>
          </w:p>
        </w:tc>
        <w:tc>
          <w:tcPr>
            <w:tcW w:type="dxa" w:w="1008"/>
          </w:tcPr>
          <w:p>
            <w:pPr>
              <w:jc w:val="center"/>
            </w:pPr>
            <w:r/>
            <w:r>
              <w:rPr>
                <w:rFonts w:ascii="맑은 고딕" w:hAnsi="맑은 고딕" w:eastAsia="맑은 고딕"/>
                <w:b w:val="0"/>
                <w:sz w:val="17"/>
              </w:rPr>
              <w:t>+53.1</w:t>
            </w:r>
          </w:p>
        </w:tc>
        <w:tc>
          <w:tcPr>
            <w:tcW w:type="dxa" w:w="1296"/>
          </w:tcPr>
          <w:p>
            <w:pPr>
              <w:jc w:val="center"/>
            </w:pPr>
            <w:r/>
            <w:r>
              <w:rPr>
                <w:rFonts w:ascii="맑은 고딕" w:hAnsi="맑은 고딕" w:eastAsia="맑은 고딕"/>
                <w:b w:val="0"/>
                <w:sz w:val="17"/>
              </w:rPr>
              <w:t>+69.8</w:t>
            </w:r>
          </w:p>
        </w:tc>
      </w:tr>
    </w:tbl>
    <w:p>
      <w:pPr>
        <w:spacing w:after="160"/>
      </w:pPr>
    </w:p>
    <w:p>
      <w:pPr>
        <w:spacing w:after="120"/>
      </w:pPr>
      <w:r>
        <w:rPr>
          <w:rFonts w:ascii="맑은 고딕" w:hAnsi="맑은 고딕" w:eastAsia="맑은 고딕"/>
          <w:b w:val="0"/>
          <w:i w:val="0"/>
          <w:sz w:val="20"/>
        </w:rPr>
        <w:t>지역별로 보면 흥미로운 비대칭이 있다. 옥수수 벨트인 Midwest는 29℃ 초과 노출이 오히려 −0.204일/decade로 감소했다(t = −7.3). 이는 문헌에 알려진 "US warming hole" 현상과 일치한다. 반면 West는 +1.730일/decade로 가장 악화됐고, South는 +0.771일/decade였다.</w:t>
      </w:r>
    </w:p>
    <w:p>
      <w:pPr>
        <w:jc w:val="center"/>
      </w:pPr>
      <w:r>
        <w:drawing>
          <wp:inline xmlns:a="http://schemas.openxmlformats.org/drawingml/2006/main" xmlns:pic="http://schemas.openxmlformats.org/drawingml/2006/picture">
            <wp:extent cx="5577840" cy="2025682"/>
            <wp:docPr id="10" name="Picture 10"/>
            <wp:cNvGraphicFramePr>
              <a:graphicFrameLocks noChangeAspect="1"/>
            </wp:cNvGraphicFramePr>
            <a:graphic>
              <a:graphicData uri="http://schemas.openxmlformats.org/drawingml/2006/picture">
                <pic:pic>
                  <pic:nvPicPr>
                    <pic:cNvPr id="0" name="fig18_composition_and_regional.png"/>
                    <pic:cNvPicPr/>
                  </pic:nvPicPr>
                  <pic:blipFill>
                    <a:blip r:embed="rId18"/>
                    <a:stretch>
                      <a:fillRect/>
                    </a:stretch>
                  </pic:blipFill>
                  <pic:spPr>
                    <a:xfrm>
                      <a:off x="0" y="0"/>
                      <a:ext cx="5577840" cy="2025682"/>
                    </a:xfrm>
                    <a:prstGeom prst="rect"/>
                  </pic:spPr>
                </pic:pic>
              </a:graphicData>
            </a:graphic>
          </wp:inline>
        </w:drawing>
      </w:r>
    </w:p>
    <w:p>
      <w:pPr>
        <w:spacing w:after="240"/>
        <w:jc w:val="center"/>
      </w:pPr>
      <w:r>
        <w:rPr>
          <w:rFonts w:ascii="맑은 고딕" w:hAnsi="맑은 고딕" w:eastAsia="맑은 고딕"/>
          <w:b w:val="0"/>
          <w:i/>
          <w:color w:val="5A5A5A"/>
          <w:sz w:val="17"/>
        </w:rPr>
        <w:t>그림 10. 구성 편향과 지역별 추세. Midwest는 29℃ 초과 노출이 감소하는 warming hole을 보인다.</w:t>
      </w:r>
    </w:p>
    <w:p>
      <w:pPr>
        <w:pStyle w:val="Heading2"/>
      </w:pPr>
      <w:r>
        <w:t>5.2 시나리오 생성 방법과 검증</w:t>
      </w:r>
    </w:p>
    <w:p>
      <w:pPr>
        <w:spacing w:after="120"/>
      </w:pPr>
      <w:r>
        <w:rPr>
          <w:rFonts w:ascii="맑은 고딕" w:hAnsi="맑은 고딕" w:eastAsia="맑은 고딕"/>
          <w:b w:val="0"/>
          <w:i w:val="0"/>
          <w:sz w:val="20"/>
        </w:rPr>
        <w:t>중요한 정직성 문제가 있다. 34년간 관측된 온난화는 +0.42℃에 불과하므로, +2℃는 이 추세의 외삽이 아니라 처방된(prescribed) 시나리오다. 따라서 본 연구는 +2℃를 "예언"이 아니라 IPCC 수준의 정책 시나리오로 다룬다.</w:t>
      </w:r>
    </w:p>
    <w:p>
      <w:pPr>
        <w:spacing w:after="120"/>
      </w:pPr>
      <w:r>
        <w:rPr>
          <w:rFonts w:ascii="맑은 고딕" w:hAnsi="맑은 고딕" w:eastAsia="맑은 고딕"/>
          <w:b w:val="0"/>
          <w:i w:val="0"/>
          <w:sz w:val="20"/>
        </w:rPr>
        <w:t>시나리오는 2006–2015년 평년 분포를 온도축에서 +2℃ 평행이동해 생성했다(정수부는 격자 이동, 소수부는 인접 두 구간에 비례 배분). 핵심 검증 두 가지를 통과했다. (1) 총합 184일 보존: max|Δ합| = 2.8×10⁻¹⁴. (2) 노출가중 평균기온의 실제 이동량 = 2.000000℃ (목표 2.0℃). 모델 온도공간 [−36, 50]℃ 밖으로 나가는 질량은 경계 구간에 접어(fold) 총합을 보존했다.</w:t>
      </w:r>
    </w:p>
    <w:p>
      <w:pPr>
        <w:spacing w:after="120"/>
      </w:pPr>
      <w:r>
        <w:rPr>
          <w:rFonts w:ascii="맑은 고딕" w:hAnsi="맑은 고딕" w:eastAsia="맑은 고딕"/>
          <w:b w:val="0"/>
          <w:i w:val="0"/>
          <w:sz w:val="20"/>
        </w:rPr>
        <w:t>그 결과 29℃ 초과 노출은 26.49일 → 41.20일로 평균 +14.71일 늘고, 2,644개 카운티 100% 전부에서 증가했다.</w:t>
      </w:r>
    </w:p>
    <w:p>
      <w:pPr>
        <w:jc w:val="center"/>
      </w:pPr>
      <w:r>
        <w:drawing>
          <wp:inline xmlns:a="http://schemas.openxmlformats.org/drawingml/2006/main" xmlns:pic="http://schemas.openxmlformats.org/drawingml/2006/picture">
            <wp:extent cx="5577840" cy="1725798"/>
            <wp:docPr id="11" name="Picture 11"/>
            <wp:cNvGraphicFramePr>
              <a:graphicFrameLocks noChangeAspect="1"/>
            </wp:cNvGraphicFramePr>
            <a:graphic>
              <a:graphicData uri="http://schemas.openxmlformats.org/drawingml/2006/picture">
                <pic:pic>
                  <pic:nvPicPr>
                    <pic:cNvPr id="0" name="fig19_scenario_distributions.png"/>
                    <pic:cNvPicPr/>
                  </pic:nvPicPr>
                  <pic:blipFill>
                    <a:blip r:embed="rId19"/>
                    <a:stretch>
                      <a:fillRect/>
                    </a:stretch>
                  </pic:blipFill>
                  <pic:spPr>
                    <a:xfrm>
                      <a:off x="0" y="0"/>
                      <a:ext cx="5577840" cy="1725798"/>
                    </a:xfrm>
                    <a:prstGeom prst="rect"/>
                  </pic:spPr>
                </pic:pic>
              </a:graphicData>
            </a:graphic>
          </wp:inline>
        </w:drawing>
      </w:r>
    </w:p>
    <w:p>
      <w:pPr>
        <w:spacing w:after="240"/>
        <w:jc w:val="center"/>
      </w:pPr>
      <w:r>
        <w:rPr>
          <w:rFonts w:ascii="맑은 고딕" w:hAnsi="맑은 고딕" w:eastAsia="맑은 고딕"/>
          <w:b w:val="0"/>
          <w:i/>
          <w:color w:val="5A5A5A"/>
          <w:sz w:val="17"/>
        </w:rPr>
        <w:t>그림 11. +2℃ 시나리오의 온도 노출 분포 이동. 총 184일 제약이 보존된다.</w:t>
      </w:r>
    </w:p>
    <w:p>
      <w:pPr>
        <w:pStyle w:val="Heading2"/>
      </w:pPr>
      <w:r>
        <w:t>5.3 무조정 시 수확량 영향</w:t>
      </w:r>
    </w:p>
    <w:p>
      <w:pPr>
        <w:spacing w:after="120"/>
      </w:pPr>
      <w:r>
        <w:rPr>
          <w:rFonts w:ascii="맑은 고딕" w:hAnsi="맑은 고딕" w:eastAsia="맑은 고딕"/>
          <w:b w:val="0"/>
          <w:i w:val="0"/>
          <w:sz w:val="20"/>
        </w:rPr>
        <w:t>재배 작물을 바꾸지 않는다고 가정하고 04의 LightGBM 모델에 시나리오를 넣으면, 옥수수 수확량은 전국 단순평균 130.48 → 118.76 bu/ac (−8.98%), 농지면적 가중 135.90 → 124.11 bu/ac (−8.68%)로 감소한다. 카운티의 79.2%가 손해를 보고 20.8%는 오히려 이득을 본다 — 바로 이 이질성이 §6 재배치의 여지를 만든다.</w:t>
      </w:r>
    </w:p>
    <w:p>
      <w:pPr>
        <w:spacing w:after="60"/>
      </w:pPr>
      <w:r>
        <w:rPr>
          <w:rFonts w:ascii="맑은 고딕" w:hAnsi="맑은 고딕" w:eastAsia="맑은 고딕"/>
          <w:b w:val="0"/>
          <w:i/>
          <w:color w:val="5A5A5A"/>
          <w:sz w:val="17"/>
        </w:rPr>
        <w:t>표 8. +2℃ 무조정 시 지역별 옥수수 수확량 영향</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96"/>
          </w:tcPr>
          <w:p>
            <w:pPr>
              <w:jc w:val="center"/>
            </w:pPr>
            <w:r/>
            <w:r>
              <w:rPr>
                <w:rFonts w:ascii="맑은 고딕" w:hAnsi="맑은 고딕" w:eastAsia="맑은 고딕"/>
                <w:b/>
                <w:sz w:val="17"/>
              </w:rPr>
              <w:t>지역</w:t>
            </w:r>
          </w:p>
        </w:tc>
        <w:tc>
          <w:tcPr>
            <w:tcW w:type="dxa" w:w="1008"/>
          </w:tcPr>
          <w:p>
            <w:pPr>
              <w:jc w:val="center"/>
            </w:pPr>
            <w:r/>
            <w:r>
              <w:rPr>
                <w:rFonts w:ascii="맑은 고딕" w:hAnsi="맑은 고딕" w:eastAsia="맑은 고딕"/>
                <w:b/>
                <w:sz w:val="17"/>
              </w:rPr>
              <w:t>카운티</w:t>
            </w:r>
          </w:p>
        </w:tc>
        <w:tc>
          <w:tcPr>
            <w:tcW w:type="dxa" w:w="1296"/>
          </w:tcPr>
          <w:p>
            <w:pPr>
              <w:jc w:val="center"/>
            </w:pPr>
            <w:r/>
            <w:r>
              <w:rPr>
                <w:rFonts w:ascii="맑은 고딕" w:hAnsi="맑은 고딕" w:eastAsia="맑은 고딕"/>
                <w:b/>
                <w:sz w:val="17"/>
              </w:rPr>
              <w:t>baseline</w:t>
            </w:r>
          </w:p>
        </w:tc>
        <w:tc>
          <w:tcPr>
            <w:tcW w:type="dxa" w:w="1152"/>
          </w:tcPr>
          <w:p>
            <w:pPr>
              <w:jc w:val="center"/>
            </w:pPr>
            <w:r/>
            <w:r>
              <w:rPr>
                <w:rFonts w:ascii="맑은 고딕" w:hAnsi="맑은 고딕" w:eastAsia="맑은 고딕"/>
                <w:b/>
                <w:sz w:val="17"/>
              </w:rPr>
              <w:t>+2℃</w:t>
            </w:r>
          </w:p>
        </w:tc>
        <w:tc>
          <w:tcPr>
            <w:tcW w:type="dxa" w:w="1296"/>
          </w:tcPr>
          <w:p>
            <w:pPr>
              <w:jc w:val="center"/>
            </w:pPr>
            <w:r/>
            <w:r>
              <w:rPr>
                <w:rFonts w:ascii="맑은 고딕" w:hAnsi="맑은 고딕" w:eastAsia="맑은 고딕"/>
                <w:b/>
                <w:sz w:val="17"/>
              </w:rPr>
              <w:t>Δ (bu/ac)</w:t>
            </w:r>
          </w:p>
        </w:tc>
        <w:tc>
          <w:tcPr>
            <w:tcW w:type="dxa" w:w="1152"/>
          </w:tcPr>
          <w:p>
            <w:pPr>
              <w:jc w:val="center"/>
            </w:pPr>
            <w:r/>
            <w:r>
              <w:rPr>
                <w:rFonts w:ascii="맑은 고딕" w:hAnsi="맑은 고딕" w:eastAsia="맑은 고딕"/>
                <w:b/>
                <w:sz w:val="17"/>
              </w:rPr>
              <w:t>변화율</w:t>
            </w:r>
          </w:p>
        </w:tc>
        <w:tc>
          <w:tcPr>
            <w:tcW w:type="dxa" w:w="1296"/>
          </w:tcPr>
          <w:p>
            <w:pPr>
              <w:jc w:val="center"/>
            </w:pPr>
            <w:r/>
            <w:r>
              <w:rPr>
                <w:rFonts w:ascii="맑은 고딕" w:hAnsi="맑은 고딕" w:eastAsia="맑은 고딕"/>
                <w:b/>
                <w:sz w:val="17"/>
              </w:rPr>
              <w:t>손해 카운티</w:t>
            </w:r>
          </w:p>
        </w:tc>
      </w:tr>
      <w:tr>
        <w:tc>
          <w:tcPr>
            <w:tcW w:type="dxa" w:w="1296"/>
          </w:tcPr>
          <w:p>
            <w:pPr>
              <w:jc w:val="left"/>
            </w:pPr>
            <w:r/>
            <w:r>
              <w:rPr>
                <w:rFonts w:ascii="맑은 고딕" w:hAnsi="맑은 고딕" w:eastAsia="맑은 고딕"/>
                <w:b w:val="0"/>
                <w:sz w:val="17"/>
              </w:rPr>
              <w:t>Midwest</w:t>
            </w:r>
          </w:p>
        </w:tc>
        <w:tc>
          <w:tcPr>
            <w:tcW w:type="dxa" w:w="1008"/>
          </w:tcPr>
          <w:p>
            <w:pPr>
              <w:jc w:val="center"/>
            </w:pPr>
            <w:r/>
            <w:r>
              <w:rPr>
                <w:rFonts w:ascii="맑은 고딕" w:hAnsi="맑은 고딕" w:eastAsia="맑은 고딕"/>
                <w:b w:val="0"/>
                <w:sz w:val="17"/>
              </w:rPr>
              <w:t>1,049</w:t>
            </w:r>
          </w:p>
        </w:tc>
        <w:tc>
          <w:tcPr>
            <w:tcW w:type="dxa" w:w="1296"/>
          </w:tcPr>
          <w:p>
            <w:pPr>
              <w:jc w:val="center"/>
            </w:pPr>
            <w:r/>
            <w:r>
              <w:rPr>
                <w:rFonts w:ascii="맑은 고딕" w:hAnsi="맑은 고딕" w:eastAsia="맑은 고딕"/>
                <w:b w:val="0"/>
                <w:sz w:val="17"/>
              </w:rPr>
              <w:t>142.34</w:t>
            </w:r>
          </w:p>
        </w:tc>
        <w:tc>
          <w:tcPr>
            <w:tcW w:type="dxa" w:w="1152"/>
          </w:tcPr>
          <w:p>
            <w:pPr>
              <w:jc w:val="center"/>
            </w:pPr>
            <w:r/>
            <w:r>
              <w:rPr>
                <w:rFonts w:ascii="맑은 고딕" w:hAnsi="맑은 고딕" w:eastAsia="맑은 고딕"/>
                <w:b w:val="0"/>
                <w:sz w:val="17"/>
              </w:rPr>
              <w:t>130.68</w:t>
            </w:r>
          </w:p>
        </w:tc>
        <w:tc>
          <w:tcPr>
            <w:tcW w:type="dxa" w:w="1296"/>
          </w:tcPr>
          <w:p>
            <w:pPr>
              <w:jc w:val="center"/>
            </w:pPr>
            <w:r/>
            <w:r>
              <w:rPr>
                <w:rFonts w:ascii="맑은 고딕" w:hAnsi="맑은 고딕" w:eastAsia="맑은 고딕"/>
                <w:b w:val="0"/>
                <w:sz w:val="17"/>
              </w:rPr>
              <w:t>−11.67</w:t>
            </w:r>
          </w:p>
        </w:tc>
        <w:tc>
          <w:tcPr>
            <w:tcW w:type="dxa" w:w="1152"/>
          </w:tcPr>
          <w:p>
            <w:pPr>
              <w:jc w:val="center"/>
            </w:pPr>
            <w:r/>
            <w:r>
              <w:rPr>
                <w:rFonts w:ascii="맑은 고딕" w:hAnsi="맑은 고딕" w:eastAsia="맑은 고딕"/>
                <w:b w:val="0"/>
                <w:sz w:val="17"/>
              </w:rPr>
              <w:t>−8.20%</w:t>
            </w:r>
          </w:p>
        </w:tc>
        <w:tc>
          <w:tcPr>
            <w:tcW w:type="dxa" w:w="1296"/>
          </w:tcPr>
          <w:p>
            <w:pPr>
              <w:jc w:val="center"/>
            </w:pPr>
            <w:r/>
            <w:r>
              <w:rPr>
                <w:rFonts w:ascii="맑은 고딕" w:hAnsi="맑은 고딕" w:eastAsia="맑은 고딕"/>
                <w:b w:val="0"/>
                <w:sz w:val="17"/>
              </w:rPr>
              <w:t>78.7%</w:t>
            </w:r>
          </w:p>
        </w:tc>
      </w:tr>
      <w:tr>
        <w:tc>
          <w:tcPr>
            <w:tcW w:type="dxa" w:w="1296"/>
          </w:tcPr>
          <w:p>
            <w:pPr>
              <w:jc w:val="left"/>
            </w:pPr>
            <w:r/>
            <w:r>
              <w:rPr>
                <w:rFonts w:ascii="맑은 고딕" w:hAnsi="맑은 고딕" w:eastAsia="맑은 고딕"/>
                <w:b w:val="0"/>
                <w:sz w:val="17"/>
              </w:rPr>
              <w:t>Northeast</w:t>
            </w:r>
          </w:p>
        </w:tc>
        <w:tc>
          <w:tcPr>
            <w:tcW w:type="dxa" w:w="1008"/>
          </w:tcPr>
          <w:p>
            <w:pPr>
              <w:jc w:val="center"/>
            </w:pPr>
            <w:r/>
            <w:r>
              <w:rPr>
                <w:rFonts w:ascii="맑은 고딕" w:hAnsi="맑은 고딕" w:eastAsia="맑은 고딕"/>
                <w:b w:val="0"/>
                <w:sz w:val="17"/>
              </w:rPr>
              <w:t>134</w:t>
            </w:r>
          </w:p>
        </w:tc>
        <w:tc>
          <w:tcPr>
            <w:tcW w:type="dxa" w:w="1296"/>
          </w:tcPr>
          <w:p>
            <w:pPr>
              <w:jc w:val="center"/>
            </w:pPr>
            <w:r/>
            <w:r>
              <w:rPr>
                <w:rFonts w:ascii="맑은 고딕" w:hAnsi="맑은 고딕" w:eastAsia="맑은 고딕"/>
                <w:b w:val="0"/>
                <w:sz w:val="17"/>
              </w:rPr>
              <w:t>137.09</w:t>
            </w:r>
          </w:p>
        </w:tc>
        <w:tc>
          <w:tcPr>
            <w:tcW w:type="dxa" w:w="1152"/>
          </w:tcPr>
          <w:p>
            <w:pPr>
              <w:jc w:val="center"/>
            </w:pPr>
            <w:r/>
            <w:r>
              <w:rPr>
                <w:rFonts w:ascii="맑은 고딕" w:hAnsi="맑은 고딕" w:eastAsia="맑은 고딕"/>
                <w:b w:val="0"/>
                <w:sz w:val="17"/>
              </w:rPr>
              <w:t>132.74</w:t>
            </w:r>
          </w:p>
        </w:tc>
        <w:tc>
          <w:tcPr>
            <w:tcW w:type="dxa" w:w="1296"/>
          </w:tcPr>
          <w:p>
            <w:pPr>
              <w:jc w:val="center"/>
            </w:pPr>
            <w:r/>
            <w:r>
              <w:rPr>
                <w:rFonts w:ascii="맑은 고딕" w:hAnsi="맑은 고딕" w:eastAsia="맑은 고딕"/>
                <w:b w:val="0"/>
                <w:sz w:val="17"/>
              </w:rPr>
              <w:t>−4.35</w:t>
            </w:r>
          </w:p>
        </w:tc>
        <w:tc>
          <w:tcPr>
            <w:tcW w:type="dxa" w:w="1152"/>
          </w:tcPr>
          <w:p>
            <w:pPr>
              <w:jc w:val="center"/>
            </w:pPr>
            <w:r/>
            <w:r>
              <w:rPr>
                <w:rFonts w:ascii="맑은 고딕" w:hAnsi="맑은 고딕" w:eastAsia="맑은 고딕"/>
                <w:b w:val="0"/>
                <w:sz w:val="17"/>
              </w:rPr>
              <w:t>−3.18%</w:t>
            </w:r>
          </w:p>
        </w:tc>
        <w:tc>
          <w:tcPr>
            <w:tcW w:type="dxa" w:w="1296"/>
          </w:tcPr>
          <w:p>
            <w:pPr>
              <w:jc w:val="center"/>
            </w:pPr>
            <w:r/>
            <w:r>
              <w:rPr>
                <w:rFonts w:ascii="맑은 고딕" w:hAnsi="맑은 고딕" w:eastAsia="맑은 고딕"/>
                <w:b w:val="0"/>
                <w:sz w:val="17"/>
              </w:rPr>
              <w:t>53.7%</w:t>
            </w:r>
          </w:p>
        </w:tc>
      </w:tr>
      <w:tr>
        <w:tc>
          <w:tcPr>
            <w:tcW w:type="dxa" w:w="1296"/>
          </w:tcPr>
          <w:p>
            <w:pPr>
              <w:jc w:val="left"/>
            </w:pPr>
            <w:r/>
            <w:r>
              <w:rPr>
                <w:rFonts w:ascii="맑은 고딕" w:hAnsi="맑은 고딕" w:eastAsia="맑은 고딕"/>
                <w:b w:val="0"/>
                <w:sz w:val="17"/>
              </w:rPr>
              <w:t>South</w:t>
            </w:r>
          </w:p>
        </w:tc>
        <w:tc>
          <w:tcPr>
            <w:tcW w:type="dxa" w:w="1008"/>
          </w:tcPr>
          <w:p>
            <w:pPr>
              <w:jc w:val="center"/>
            </w:pPr>
            <w:r/>
            <w:r>
              <w:rPr>
                <w:rFonts w:ascii="맑은 고딕" w:hAnsi="맑은 고딕" w:eastAsia="맑은 고딕"/>
                <w:b w:val="0"/>
                <w:sz w:val="17"/>
              </w:rPr>
              <w:t>1,208</w:t>
            </w:r>
          </w:p>
        </w:tc>
        <w:tc>
          <w:tcPr>
            <w:tcW w:type="dxa" w:w="1296"/>
          </w:tcPr>
          <w:p>
            <w:pPr>
              <w:jc w:val="center"/>
            </w:pPr>
            <w:r/>
            <w:r>
              <w:rPr>
                <w:rFonts w:ascii="맑은 고딕" w:hAnsi="맑은 고딕" w:eastAsia="맑은 고딕"/>
                <w:b w:val="0"/>
                <w:sz w:val="17"/>
              </w:rPr>
              <w:t>120.65</w:t>
            </w:r>
          </w:p>
        </w:tc>
        <w:tc>
          <w:tcPr>
            <w:tcW w:type="dxa" w:w="1152"/>
          </w:tcPr>
          <w:p>
            <w:pPr>
              <w:jc w:val="center"/>
            </w:pPr>
            <w:r/>
            <w:r>
              <w:rPr>
                <w:rFonts w:ascii="맑은 고딕" w:hAnsi="맑은 고딕" w:eastAsia="맑은 고딕"/>
                <w:b w:val="0"/>
                <w:sz w:val="17"/>
              </w:rPr>
              <w:t>106.05</w:t>
            </w:r>
          </w:p>
        </w:tc>
        <w:tc>
          <w:tcPr>
            <w:tcW w:type="dxa" w:w="1296"/>
          </w:tcPr>
          <w:p>
            <w:pPr>
              <w:jc w:val="center"/>
            </w:pPr>
            <w:r/>
            <w:r>
              <w:rPr>
                <w:rFonts w:ascii="맑은 고딕" w:hAnsi="맑은 고딕" w:eastAsia="맑은 고딕"/>
                <w:b w:val="0"/>
                <w:sz w:val="17"/>
              </w:rPr>
              <w:t>−14.60</w:t>
            </w:r>
          </w:p>
        </w:tc>
        <w:tc>
          <w:tcPr>
            <w:tcW w:type="dxa" w:w="1152"/>
          </w:tcPr>
          <w:p>
            <w:pPr>
              <w:jc w:val="center"/>
            </w:pPr>
            <w:r/>
            <w:r>
              <w:rPr>
                <w:rFonts w:ascii="맑은 고딕" w:hAnsi="맑은 고딕" w:eastAsia="맑은 고딕"/>
                <w:b w:val="0"/>
                <w:sz w:val="17"/>
              </w:rPr>
              <w:t>−12.10%</w:t>
            </w:r>
          </w:p>
        </w:tc>
        <w:tc>
          <w:tcPr>
            <w:tcW w:type="dxa" w:w="1296"/>
          </w:tcPr>
          <w:p>
            <w:pPr>
              <w:jc w:val="center"/>
            </w:pPr>
            <w:r/>
            <w:r>
              <w:rPr>
                <w:rFonts w:ascii="맑은 고딕" w:hAnsi="맑은 고딕" w:eastAsia="맑은 고딕"/>
                <w:b w:val="0"/>
                <w:sz w:val="17"/>
              </w:rPr>
              <w:t>87.8%</w:t>
            </w:r>
          </w:p>
        </w:tc>
      </w:tr>
      <w:tr>
        <w:tc>
          <w:tcPr>
            <w:tcW w:type="dxa" w:w="1296"/>
          </w:tcPr>
          <w:p>
            <w:pPr>
              <w:jc w:val="left"/>
            </w:pPr>
            <w:r/>
            <w:r>
              <w:rPr>
                <w:rFonts w:ascii="맑은 고딕" w:hAnsi="맑은 고딕" w:eastAsia="맑은 고딕"/>
                <w:b w:val="0"/>
                <w:sz w:val="17"/>
              </w:rPr>
              <w:t>West</w:t>
            </w:r>
          </w:p>
        </w:tc>
        <w:tc>
          <w:tcPr>
            <w:tcW w:type="dxa" w:w="1008"/>
          </w:tcPr>
          <w:p>
            <w:pPr>
              <w:jc w:val="center"/>
            </w:pPr>
            <w:r/>
            <w:r>
              <w:rPr>
                <w:rFonts w:ascii="맑은 고딕" w:hAnsi="맑은 고딕" w:eastAsia="맑은 고딕"/>
                <w:b w:val="0"/>
                <w:sz w:val="17"/>
              </w:rPr>
              <w:t>253</w:t>
            </w:r>
          </w:p>
        </w:tc>
        <w:tc>
          <w:tcPr>
            <w:tcW w:type="dxa" w:w="1296"/>
          </w:tcPr>
          <w:p>
            <w:pPr>
              <w:jc w:val="center"/>
            </w:pPr>
            <w:r/>
            <w:r>
              <w:rPr>
                <w:rFonts w:ascii="맑은 고딕" w:hAnsi="맑은 고딕" w:eastAsia="맑은 고딕"/>
                <w:b w:val="0"/>
                <w:sz w:val="17"/>
              </w:rPr>
              <w:t>124.72</w:t>
            </w:r>
          </w:p>
        </w:tc>
        <w:tc>
          <w:tcPr>
            <w:tcW w:type="dxa" w:w="1152"/>
          </w:tcPr>
          <w:p>
            <w:pPr>
              <w:jc w:val="center"/>
            </w:pPr>
            <w:r/>
            <w:r>
              <w:rPr>
                <w:rFonts w:ascii="맑은 고딕" w:hAnsi="맑은 고딕" w:eastAsia="맑은 고딕"/>
                <w:b w:val="0"/>
                <w:sz w:val="17"/>
              </w:rPr>
              <w:t>122.68</w:t>
            </w:r>
          </w:p>
        </w:tc>
        <w:tc>
          <w:tcPr>
            <w:tcW w:type="dxa" w:w="1296"/>
          </w:tcPr>
          <w:p>
            <w:pPr>
              <w:jc w:val="center"/>
            </w:pPr>
            <w:r/>
            <w:r>
              <w:rPr>
                <w:rFonts w:ascii="맑은 고딕" w:hAnsi="맑은 고딕" w:eastAsia="맑은 고딕"/>
                <w:b w:val="0"/>
                <w:sz w:val="17"/>
              </w:rPr>
              <w:t>−2.04</w:t>
            </w:r>
          </w:p>
        </w:tc>
        <w:tc>
          <w:tcPr>
            <w:tcW w:type="dxa" w:w="1152"/>
          </w:tcPr>
          <w:p>
            <w:pPr>
              <w:jc w:val="center"/>
            </w:pPr>
            <w:r/>
            <w:r>
              <w:rPr>
                <w:rFonts w:ascii="맑은 고딕" w:hAnsi="맑은 고딕" w:eastAsia="맑은 고딕"/>
                <w:b w:val="0"/>
                <w:sz w:val="17"/>
              </w:rPr>
              <w:t>−1.63%</w:t>
            </w:r>
          </w:p>
        </w:tc>
        <w:tc>
          <w:tcPr>
            <w:tcW w:type="dxa" w:w="1296"/>
          </w:tcPr>
          <w:p>
            <w:pPr>
              <w:jc w:val="center"/>
            </w:pPr>
            <w:r/>
            <w:r>
              <w:rPr>
                <w:rFonts w:ascii="맑은 고딕" w:hAnsi="맑은 고딕" w:eastAsia="맑은 고딕"/>
                <w:b w:val="0"/>
                <w:sz w:val="17"/>
              </w:rPr>
              <w:t>53.4%</w:t>
            </w:r>
          </w:p>
        </w:tc>
      </w:tr>
      <w:tr>
        <w:tc>
          <w:tcPr>
            <w:tcW w:type="dxa" w:w="1296"/>
          </w:tcPr>
          <w:p>
            <w:pPr>
              <w:jc w:val="left"/>
            </w:pPr>
            <w:r/>
            <w:r>
              <w:rPr>
                <w:rFonts w:ascii="맑은 고딕" w:hAnsi="맑은 고딕" w:eastAsia="맑은 고딕"/>
                <w:b/>
                <w:sz w:val="17"/>
              </w:rPr>
              <w:t>전국</w:t>
            </w:r>
          </w:p>
        </w:tc>
        <w:tc>
          <w:tcPr>
            <w:tcW w:type="dxa" w:w="1008"/>
          </w:tcPr>
          <w:p>
            <w:pPr>
              <w:jc w:val="center"/>
            </w:pPr>
            <w:r/>
            <w:r>
              <w:rPr>
                <w:rFonts w:ascii="맑은 고딕" w:hAnsi="맑은 고딕" w:eastAsia="맑은 고딕"/>
                <w:b/>
                <w:sz w:val="17"/>
              </w:rPr>
              <w:t>2,644</w:t>
            </w:r>
          </w:p>
        </w:tc>
        <w:tc>
          <w:tcPr>
            <w:tcW w:type="dxa" w:w="1296"/>
          </w:tcPr>
          <w:p>
            <w:pPr>
              <w:jc w:val="center"/>
            </w:pPr>
            <w:r/>
            <w:r>
              <w:rPr>
                <w:rFonts w:ascii="맑은 고딕" w:hAnsi="맑은 고딕" w:eastAsia="맑은 고딕"/>
                <w:b/>
                <w:sz w:val="17"/>
              </w:rPr>
              <w:t>130.48</w:t>
            </w:r>
          </w:p>
        </w:tc>
        <w:tc>
          <w:tcPr>
            <w:tcW w:type="dxa" w:w="1152"/>
          </w:tcPr>
          <w:p>
            <w:pPr>
              <w:jc w:val="center"/>
            </w:pPr>
            <w:r/>
            <w:r>
              <w:rPr>
                <w:rFonts w:ascii="맑은 고딕" w:hAnsi="맑은 고딕" w:eastAsia="맑은 고딕"/>
                <w:b/>
                <w:sz w:val="17"/>
              </w:rPr>
              <w:t>118.76</w:t>
            </w:r>
          </w:p>
        </w:tc>
        <w:tc>
          <w:tcPr>
            <w:tcW w:type="dxa" w:w="1296"/>
          </w:tcPr>
          <w:p>
            <w:pPr>
              <w:jc w:val="center"/>
            </w:pPr>
            <w:r/>
            <w:r>
              <w:rPr>
                <w:rFonts w:ascii="맑은 고딕" w:hAnsi="맑은 고딕" w:eastAsia="맑은 고딕"/>
                <w:b/>
                <w:sz w:val="17"/>
              </w:rPr>
              <w:t>−11.71</w:t>
            </w:r>
          </w:p>
        </w:tc>
        <w:tc>
          <w:tcPr>
            <w:tcW w:type="dxa" w:w="1152"/>
          </w:tcPr>
          <w:p>
            <w:pPr>
              <w:jc w:val="center"/>
            </w:pPr>
            <w:r/>
            <w:r>
              <w:rPr>
                <w:rFonts w:ascii="맑은 고딕" w:hAnsi="맑은 고딕" w:eastAsia="맑은 고딕"/>
                <w:b/>
                <w:sz w:val="17"/>
              </w:rPr>
              <w:t>−8.98%</w:t>
            </w:r>
          </w:p>
        </w:tc>
        <w:tc>
          <w:tcPr>
            <w:tcW w:type="dxa" w:w="1296"/>
          </w:tcPr>
          <w:p>
            <w:pPr>
              <w:jc w:val="center"/>
            </w:pPr>
            <w:r/>
            <w:r>
              <w:rPr>
                <w:rFonts w:ascii="맑은 고딕" w:hAnsi="맑은 고딕" w:eastAsia="맑은 고딕"/>
                <w:b/>
                <w:sz w:val="17"/>
              </w:rPr>
              <w:t>79.2%</w:t>
            </w:r>
          </w:p>
        </w:tc>
      </w:tr>
    </w:tbl>
    <w:p>
      <w:pPr>
        <w:spacing w:after="160"/>
      </w:pPr>
    </w:p>
    <w:p>
      <w:pPr>
        <w:spacing w:after="120"/>
      </w:pPr>
      <w:r>
        <w:rPr>
          <w:rFonts w:ascii="맑은 고딕" w:hAnsi="맑은 고딕" w:eastAsia="맑은 고딕"/>
          <w:b w:val="0"/>
          <w:i w:val="0"/>
          <w:sz w:val="20"/>
        </w:rPr>
        <w:t>정합성 점검으로, baseline 예측치와 2006–2015년 실제 평균 수확량의 상관은 0.848 (n = 2,171)이었다.</w:t>
      </w:r>
    </w:p>
    <w:p>
      <w:pPr>
        <w:jc w:val="center"/>
      </w:pPr>
      <w:r>
        <w:drawing>
          <wp:inline xmlns:a="http://schemas.openxmlformats.org/drawingml/2006/main" xmlns:pic="http://schemas.openxmlformats.org/drawingml/2006/picture">
            <wp:extent cx="5577840" cy="3525296"/>
            <wp:docPr id="12" name="Picture 12"/>
            <wp:cNvGraphicFramePr>
              <a:graphicFrameLocks noChangeAspect="1"/>
            </wp:cNvGraphicFramePr>
            <a:graphic>
              <a:graphicData uri="http://schemas.openxmlformats.org/drawingml/2006/picture">
                <pic:pic>
                  <pic:nvPicPr>
                    <pic:cNvPr id="0" name="fig22_impact_map.png"/>
                    <pic:cNvPicPr/>
                  </pic:nvPicPr>
                  <pic:blipFill>
                    <a:blip r:embed="rId20"/>
                    <a:stretch>
                      <a:fillRect/>
                    </a:stretch>
                  </pic:blipFill>
                  <pic:spPr>
                    <a:xfrm>
                      <a:off x="0" y="0"/>
                      <a:ext cx="5577840" cy="3525296"/>
                    </a:xfrm>
                    <a:prstGeom prst="rect"/>
                  </pic:spPr>
                </pic:pic>
              </a:graphicData>
            </a:graphic>
          </wp:inline>
        </w:drawing>
      </w:r>
    </w:p>
    <w:p>
      <w:pPr>
        <w:spacing w:after="240"/>
        <w:jc w:val="center"/>
      </w:pPr>
      <w:r>
        <w:rPr>
          <w:rFonts w:ascii="맑은 고딕" w:hAnsi="맑은 고딕" w:eastAsia="맑은 고딕"/>
          <w:b w:val="0"/>
          <w:i/>
          <w:color w:val="5A5A5A"/>
          <w:sz w:val="17"/>
        </w:rPr>
        <w:t>그림 12. +2℃ 무조정 시 카운티별 예측 수확량 변화율. 남부의 피해가 가장 크다.</w:t>
      </w:r>
    </w:p>
    <w:p>
      <w:r>
        <w:br w:type="page"/>
      </w:r>
    </w:p>
    <w:p>
      <w:pPr>
        <w:pStyle w:val="Heading1"/>
      </w:pPr>
      <w:r>
        <w:t>6. 작물 배분 최적화 (GA)</w:t>
      </w:r>
    </w:p>
    <w:p>
      <w:pPr>
        <w:pStyle w:val="Heading2"/>
      </w:pPr>
      <w:r>
        <w:t>6.1 정식화</w:t>
      </w:r>
    </w:p>
    <w:p>
      <w:pPr>
        <w:spacing w:after="120"/>
      </w:pPr>
      <w:r>
        <w:rPr>
          <w:rFonts w:ascii="맑은 고딕" w:hAnsi="맑은 고딕" w:eastAsia="맑은 고딕"/>
          <w:b w:val="0"/>
          <w:i w:val="0"/>
          <w:sz w:val="20"/>
        </w:rPr>
        <w:t>각 카운티 c가 작물 하나(옥수수 또는 대두)를 골라 농지 전체 A_c를 배정하는 단작 조합 최적화다. 옥수수·대두 모두 재배 가능한 공통 카운티 2,142개에서만 문제를 정의했다(한 작물만 가능한 카운티는 선택지가 없다). 목적함수는 다음과 같다.</w:t>
      </w:r>
    </w:p>
    <w:p>
      <w:pPr>
        <w:spacing w:after="160"/>
        <w:jc w:val="center"/>
      </w:pPr>
      <w:r>
        <w:rPr>
          <w:rFonts w:ascii="맑은 고딕" w:hAnsi="맑은 고딕" w:eastAsia="맑은 고딕"/>
          <w:b/>
          <w:i w:val="0"/>
          <w:sz w:val="21"/>
        </w:rPr>
        <w:t>maximize   Σ_c A_c · v[c, z_c]  −  λ · Σ_{c : z_c ≠ x̄_c} A_c</w:t>
      </w:r>
    </w:p>
    <w:p>
      <w:pPr>
        <w:spacing w:after="120"/>
      </w:pPr>
      <w:r>
        <w:rPr>
          <w:rFonts w:ascii="맑은 고딕" w:hAnsi="맑은 고딕" w:eastAsia="맑은 고딕"/>
          <w:b w:val="0"/>
          <w:i w:val="0"/>
          <w:sz w:val="20"/>
        </w:rPr>
        <w:t>여기서 z_c는 카운티 c의 작물 선택(결정변수), x̄_c는 현재 배분, λ는 전환비용의 세기다. 전환비용은 현재와 다르게 고른 카운티의 면적에 부과되므로 λ의 단위는 $/ac이고, "작물을 바꾸려면 에이커당 최소 얼마의 이득이 필요한가"로 직접 해석된다.</w:t>
      </w:r>
    </w:p>
    <w:p>
      <w:pPr>
        <w:pStyle w:val="Heading2"/>
      </w:pPr>
      <w:r>
        <w:t>6.2 목적함수의 단위 — 중요한 방법론적 결정</w:t>
      </w:r>
    </w:p>
    <w:p>
      <w:pPr>
        <w:spacing w:after="120"/>
      </w:pPr>
      <w:r>
        <w:rPr>
          <w:rFonts w:ascii="맑은 고딕" w:hAnsi="맑은 고딕" w:eastAsia="맑은 고딕"/>
          <w:b w:val="0"/>
          <w:i w:val="0"/>
          <w:sz w:val="20"/>
        </w:rPr>
        <w:t>개요의 원래 정식화는 목적계수로 수확량 y_hat (bu/ac)을 그대로 쓴다. 그러나 옥수수 1부셸(56 lb)과 대두 1부셸(60 lb)은 무게도 가격도 용도도 다르므로 더할 수 있는 양이 아니다. 실증적으로도 이 목적함수는 퇴화(degenerate)한다 — 옥수수 예측치(평균 132.5 bu/ac)가 대두(39.9 bu/ac)보다 2,142개 카운티 전부에서 높아, 대두가 이기는 카운티가 0개다. 최적해는 "모든 카운티에 옥수수"라는 자명한 답이 되고, 트레이드오프 곡선도 재배치 지도도 나오지 않는다.</w:t>
      </w:r>
    </w:p>
    <w:p>
      <w:pPr>
        <w:spacing w:after="120"/>
      </w:pPr>
      <w:r>
        <w:rPr>
          <w:rFonts w:ascii="맑은 고딕" w:hAnsi="맑은 고딕" w:eastAsia="맑은 고딕"/>
          <w:b w:val="0"/>
          <w:i w:val="0"/>
          <w:sz w:val="20"/>
        </w:rPr>
        <w:t>따라서 순이익($/ac)으로 공통 단위화했다: v[c,k] = P_k · ŷ[c,k] − C_k. 가격은 옥수수 $4.50/bu, 대두 $10.50/bu, 변동비는 USDA ERS 수준의 operating cost로 옥수수 $400/ac, 대두 $205/ac를 썼다. 옥수수의 변동비가 대두의 약 2배인 것은 옥수수가 질소비료를 많이 쓰고 대두는 질소를 고정하기 때문이며, 이 비용 비대칭이야말로 "왜 미국 농가가 대두를 심는가"의 경제적 실체다. 단위화 후 baseline에서 대두가 우위인 카운티가 1,294개(60.4%), +2℃에서 1,506개(70.3%)로 늘어난다 — 이것이 재배 전환의 동인이다.</w:t>
      </w:r>
    </w:p>
    <w:p>
      <w:pPr>
        <w:pStyle w:val="Heading2"/>
      </w:pPr>
      <w:r>
        <w:t>6.3 현재 배분 x̄의 근사</w:t>
      </w:r>
    </w:p>
    <w:p>
      <w:pPr>
        <w:spacing w:after="120"/>
      </w:pPr>
      <w:r>
        <w:rPr>
          <w:rFonts w:ascii="맑은 고딕" w:hAnsi="맑은 고딕" w:eastAsia="맑은 고딕"/>
          <w:b w:val="0"/>
          <w:i w:val="0"/>
          <w:sz w:val="20"/>
        </w:rPr>
        <w:t>yielddata에는 작물별 재배 면적이 없으므로(값이 있으면 재배, NA면 미재배라는 정보뿐), 2011–2015년 관측 수확량에 동일한 순이익 규칙을 적용해 주작물을 근사했다(최근 5년 결측 시 전체 기간 평균으로 대체). 결과는 옥수수 809개(면적 47.3%) · 대두 1,333개(면적 52.7%) 카운티로, 실제 미국의 옥수수·대두 재배면적 비율(대략 50:50)과 크게 어긋나지 않는다. 예측치가 아니라 관측치를 쓴 것이 중요하다 — 예측 모델로 x̄를 정하면 "현재 배분"이 곧 "모델 최적해"가 되어 전환비용이 구조적으로 0이 되는 순환 논리에 빠진다.</w:t>
      </w:r>
    </w:p>
    <w:p>
      <w:pPr>
        <w:pStyle w:val="Heading2"/>
      </w:pPr>
      <w:r>
        <w:t>6.4 GA 구현과 정확해 검증</w:t>
      </w:r>
    </w:p>
    <w:p>
      <w:pPr>
        <w:spacing w:after="120"/>
      </w:pPr>
      <w:r>
        <w:rPr>
          <w:rFonts w:ascii="맑은 고딕" w:hAnsi="맑은 고딕" w:eastAsia="맑은 고딕"/>
          <w:b w:val="0"/>
          <w:i w:val="0"/>
          <w:sz w:val="20"/>
        </w:rPr>
        <w:t>염색체는 길이 2,142의 이진 벡터(0 = 옥수수, 1 = 대두)이고, 적합도는 위 목적함수다. 연산자는 토너먼트 선택(k = 3), uniform 교차(p = 0.9), bit-flip 돌연변이(p = 1/N), 엘리트 보존(2개체)이며, pop = 200, gen = 800, seed 고정으로 재현성을 확보했다.</w:t>
      </w:r>
    </w:p>
    <w:p>
      <w:pPr>
        <w:spacing w:after="120"/>
      </w:pPr>
      <w:r>
        <w:rPr>
          <w:rFonts w:ascii="맑은 고딕" w:hAnsi="맑은 고딕" w:eastAsia="맑은 고딕"/>
          <w:b w:val="0"/>
          <w:i w:val="0"/>
          <w:sz w:val="20"/>
        </w:rPr>
        <w:t>여기서 방법론적으로 중요한 관찰이 있다. 전환비용만 있는 이 문제는 카운티 간 제약이 없어 카운티별로 분리 가능(separable)하다. 즉 각 카운티를 독립적으로 argmax하면 O(N)에 정확 최적해가 나온다. 이는 약점이 아니라 자산이다 — 메타휴리스틱을 추정 상한이 아니라 진짜 정확해와 채점할 수 있기 때문이다. 실제로 GA는 정확해에 최적성 갭 0.0000~0.0001%, 유전자 일치 99.8~100%로 도달했다.</w:t>
      </w:r>
    </w:p>
    <w:p>
      <w:pPr>
        <w:jc w:val="center"/>
      </w:pPr>
      <w:r>
        <w:drawing>
          <wp:inline xmlns:a="http://schemas.openxmlformats.org/drawingml/2006/main" xmlns:pic="http://schemas.openxmlformats.org/drawingml/2006/picture">
            <wp:extent cx="5577840" cy="2050592"/>
            <wp:docPr id="13" name="Picture 13"/>
            <wp:cNvGraphicFramePr>
              <a:graphicFrameLocks noChangeAspect="1"/>
            </wp:cNvGraphicFramePr>
            <a:graphic>
              <a:graphicData uri="http://schemas.openxmlformats.org/drawingml/2006/picture">
                <pic:pic>
                  <pic:nvPicPr>
                    <pic:cNvPr id="0" name="fig27_ga_convergence.png"/>
                    <pic:cNvPicPr/>
                  </pic:nvPicPr>
                  <pic:blipFill>
                    <a:blip r:embed="rId21"/>
                    <a:stretch>
                      <a:fillRect/>
                    </a:stretch>
                  </pic:blipFill>
                  <pic:spPr>
                    <a:xfrm>
                      <a:off x="0" y="0"/>
                      <a:ext cx="5577840" cy="2050592"/>
                    </a:xfrm>
                    <a:prstGeom prst="rect"/>
                  </pic:spPr>
                </pic:pic>
              </a:graphicData>
            </a:graphic>
          </wp:inline>
        </w:drawing>
      </w:r>
    </w:p>
    <w:p>
      <w:pPr>
        <w:spacing w:after="240"/>
        <w:jc w:val="center"/>
      </w:pPr>
      <w:r>
        <w:rPr>
          <w:rFonts w:ascii="맑은 고딕" w:hAnsi="맑은 고딕" w:eastAsia="맑은 고딕"/>
          <w:b w:val="0"/>
          <w:i/>
          <w:color w:val="5A5A5A"/>
          <w:sz w:val="17"/>
        </w:rPr>
        <w:t>그림 13. GA 수렴 곡선. 점선은 정확해. 모든 λ에서 정확해에 수렴한다.</w:t>
      </w:r>
    </w:p>
    <w:p>
      <w:pPr>
        <w:spacing w:after="120"/>
      </w:pPr>
      <w:r>
        <w:rPr>
          <w:rFonts w:ascii="맑은 고딕" w:hAnsi="맑은 고딕" w:eastAsia="맑은 고딕"/>
          <w:b w:val="0"/>
          <w:i w:val="0"/>
          <w:sz w:val="20"/>
        </w:rPr>
        <w:t>다만 이는 동시에 "이 정식화에서는 GA를 쓸 이유가 없다"는 뜻이기도 하다. 조합 폭발은 결정변수가 많다고 생기는 것이 아니라 제약이 변수를 서로 묶을 때 생긴다. 그래서 식량안보 성격의 최소 수요 제약(Σ 옥수수 면적 ≥ D_corn)을 추가했다. 이 제약은 카운티를 서로 묶어 분리가능성을 깨뜨리고, 문제를 커버링 배낭(covering knapsack)으로 만든다. 여기서 GA는 LP 완화 상한 대비 갭 0.0002%의 해를 찾았다. 흥미롭게도 옥수수 면적 40% 하한을 걸어도 손실 회복률은 16.0% → 15.9%로 거의 떨어지지 않는다 — 식량안보를 지키는 비용이 사실상 공짜라는 뜻이다.</w:t>
      </w:r>
    </w:p>
    <w:p>
      <w:pPr>
        <w:pStyle w:val="Heading2"/>
      </w:pPr>
      <w:r>
        <w:t>6.5 결과 — 무조정 vs Greedy vs GA</w:t>
      </w:r>
    </w:p>
    <w:p>
      <w:pPr>
        <w:spacing w:after="120"/>
      </w:pPr>
      <w:r>
        <w:rPr>
          <w:rFonts w:ascii="맑은 고딕" w:hAnsi="맑은 고딕" w:eastAsia="맑은 고딕"/>
          <w:b w:val="0"/>
          <w:i w:val="0"/>
          <w:sz w:val="20"/>
        </w:rPr>
        <w:t>+2℃ 무조정 시 총순이익은 $3,852억 → $2,995억으로 $857억(22.3%) 감소한다. 이것이 회복해야 할 손실의 기준선이다.</w:t>
      </w:r>
    </w:p>
    <w:p>
      <w:pPr>
        <w:spacing w:after="60"/>
      </w:pPr>
      <w:r>
        <w:rPr>
          <w:rFonts w:ascii="맑은 고딕" w:hAnsi="맑은 고딕" w:eastAsia="맑은 고딕"/>
          <w:b w:val="0"/>
          <w:i/>
          <w:color w:val="5A5A5A"/>
          <w:sz w:val="17"/>
        </w:rPr>
        <w:t>표 9. 세 방법 비교 (+2℃, 온난화 손실 $857억 기준)</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2160"/>
          </w:tcPr>
          <w:p>
            <w:pPr>
              <w:jc w:val="center"/>
            </w:pPr>
            <w:r/>
            <w:r>
              <w:rPr>
                <w:rFonts w:ascii="맑은 고딕" w:hAnsi="맑은 고딕" w:eastAsia="맑은 고딕"/>
                <w:b/>
                <w:sz w:val="17"/>
              </w:rPr>
              <w:t>방법</w:t>
            </w:r>
          </w:p>
        </w:tc>
        <w:tc>
          <w:tcPr>
            <w:tcW w:type="dxa" w:w="1296"/>
          </w:tcPr>
          <w:p>
            <w:pPr>
              <w:jc w:val="center"/>
            </w:pPr>
            <w:r/>
            <w:r>
              <w:rPr>
                <w:rFonts w:ascii="맑은 고딕" w:hAnsi="맑은 고딕" w:eastAsia="맑은 고딕"/>
                <w:b/>
                <w:sz w:val="17"/>
              </w:rPr>
              <w:t>손실 회복률</w:t>
            </w:r>
          </w:p>
        </w:tc>
        <w:tc>
          <w:tcPr>
            <w:tcW w:type="dxa" w:w="1152"/>
          </w:tcPr>
          <w:p>
            <w:pPr>
              <w:jc w:val="center"/>
            </w:pPr>
            <w:r/>
            <w:r>
              <w:rPr>
                <w:rFonts w:ascii="맑은 고딕" w:hAnsi="맑은 고딕" w:eastAsia="맑은 고딕"/>
                <w:b/>
                <w:sz w:val="17"/>
              </w:rPr>
              <w:t>바꾼 면적</w:t>
            </w:r>
          </w:p>
        </w:tc>
        <w:tc>
          <w:tcPr>
            <w:tcW w:type="dxa" w:w="1440"/>
          </w:tcPr>
          <w:p>
            <w:pPr>
              <w:jc w:val="center"/>
            </w:pPr>
            <w:r/>
            <w:r>
              <w:rPr>
                <w:rFonts w:ascii="맑은 고딕" w:hAnsi="맑은 고딕" w:eastAsia="맑은 고딕"/>
                <w:b/>
                <w:sz w:val="17"/>
              </w:rPr>
              <w:t>바꾼 카운티</w:t>
            </w:r>
          </w:p>
        </w:tc>
        <w:tc>
          <w:tcPr>
            <w:tcW w:type="dxa" w:w="1296"/>
          </w:tcPr>
          <w:p>
            <w:pPr>
              <w:jc w:val="center"/>
            </w:pPr>
            <w:r/>
            <w:r>
              <w:rPr>
                <w:rFonts w:ascii="맑은 고딕" w:hAnsi="맑은 고딕" w:eastAsia="맑은 고딕"/>
                <w:b/>
                <w:sz w:val="17"/>
              </w:rPr>
              <w:t>대두 면적 비중</w:t>
            </w:r>
          </w:p>
        </w:tc>
        <w:tc>
          <w:tcPr>
            <w:tcW w:type="dxa" w:w="1584"/>
          </w:tcPr>
          <w:p>
            <w:pPr>
              <w:jc w:val="center"/>
            </w:pPr>
            <w:r/>
            <w:r>
              <w:rPr>
                <w:rFonts w:ascii="맑은 고딕" w:hAnsi="맑은 고딕" w:eastAsia="맑은 고딕"/>
                <w:b/>
                <w:sz w:val="17"/>
              </w:rPr>
              <w:t>성격</w:t>
            </w:r>
          </w:p>
        </w:tc>
      </w:tr>
      <w:tr>
        <w:tc>
          <w:tcPr>
            <w:tcW w:type="dxa" w:w="2160"/>
          </w:tcPr>
          <w:p>
            <w:pPr>
              <w:jc w:val="left"/>
            </w:pPr>
            <w:r/>
            <w:r>
              <w:rPr>
                <w:rFonts w:ascii="맑은 고딕" w:hAnsi="맑은 고딕" w:eastAsia="맑은 고딕"/>
                <w:b w:val="0"/>
                <w:sz w:val="17"/>
              </w:rPr>
              <w:t>무조정 (현재 배분)</w:t>
            </w:r>
          </w:p>
        </w:tc>
        <w:tc>
          <w:tcPr>
            <w:tcW w:type="dxa" w:w="1296"/>
          </w:tcPr>
          <w:p>
            <w:pPr>
              <w:jc w:val="center"/>
            </w:pPr>
            <w:r/>
            <w:r>
              <w:rPr>
                <w:rFonts w:ascii="맑은 고딕" w:hAnsi="맑은 고딕" w:eastAsia="맑은 고딕"/>
                <w:b w:val="0"/>
                <w:sz w:val="17"/>
              </w:rPr>
              <w:t>0%</w:t>
            </w:r>
          </w:p>
        </w:tc>
        <w:tc>
          <w:tcPr>
            <w:tcW w:type="dxa" w:w="1152"/>
          </w:tcPr>
          <w:p>
            <w:pPr>
              <w:jc w:val="center"/>
            </w:pPr>
            <w:r/>
            <w:r>
              <w:rPr>
                <w:rFonts w:ascii="맑은 고딕" w:hAnsi="맑은 고딕" w:eastAsia="맑은 고딕"/>
                <w:b w:val="0"/>
                <w:sz w:val="17"/>
              </w:rPr>
              <w:t>0%</w:t>
            </w:r>
          </w:p>
        </w:tc>
        <w:tc>
          <w:tcPr>
            <w:tcW w:type="dxa" w:w="1440"/>
          </w:tcPr>
          <w:p>
            <w:pPr>
              <w:jc w:val="center"/>
            </w:pPr>
            <w:r/>
            <w:r>
              <w:rPr>
                <w:rFonts w:ascii="맑은 고딕" w:hAnsi="맑은 고딕" w:eastAsia="맑은 고딕"/>
                <w:b w:val="0"/>
                <w:sz w:val="17"/>
              </w:rPr>
              <w:t>0</w:t>
            </w:r>
          </w:p>
        </w:tc>
        <w:tc>
          <w:tcPr>
            <w:tcW w:type="dxa" w:w="1296"/>
          </w:tcPr>
          <w:p>
            <w:pPr>
              <w:jc w:val="center"/>
            </w:pPr>
            <w:r/>
            <w:r>
              <w:rPr>
                <w:rFonts w:ascii="맑은 고딕" w:hAnsi="맑은 고딕" w:eastAsia="맑은 고딕"/>
                <w:b w:val="0"/>
                <w:sz w:val="17"/>
              </w:rPr>
              <w:t>52.7%</w:t>
            </w:r>
          </w:p>
        </w:tc>
        <w:tc>
          <w:tcPr>
            <w:tcW w:type="dxa" w:w="1584"/>
          </w:tcPr>
          <w:p>
            <w:pPr>
              <w:jc w:val="center"/>
            </w:pPr>
            <w:r/>
            <w:r>
              <w:rPr>
                <w:rFonts w:ascii="맑은 고딕" w:hAnsi="맑은 고딕" w:eastAsia="맑은 고딕"/>
                <w:b w:val="0"/>
                <w:sz w:val="17"/>
              </w:rPr>
              <w:t>05의 손실 기준선</w:t>
            </w:r>
          </w:p>
        </w:tc>
      </w:tr>
      <w:tr>
        <w:tc>
          <w:tcPr>
            <w:tcW w:type="dxa" w:w="2160"/>
          </w:tcPr>
          <w:p>
            <w:pPr>
              <w:jc w:val="left"/>
            </w:pPr>
            <w:r/>
            <w:r>
              <w:rPr>
                <w:rFonts w:ascii="맑은 고딕" w:hAnsi="맑은 고딕" w:eastAsia="맑은 고딕"/>
                <w:b w:val="0"/>
                <w:sz w:val="17"/>
              </w:rPr>
              <w:t>Greedy (전환비용 무시)</w:t>
            </w:r>
          </w:p>
        </w:tc>
        <w:tc>
          <w:tcPr>
            <w:tcW w:type="dxa" w:w="1296"/>
          </w:tcPr>
          <w:p>
            <w:pPr>
              <w:jc w:val="center"/>
            </w:pPr>
            <w:r/>
            <w:r>
              <w:rPr>
                <w:rFonts w:ascii="맑은 고딕" w:hAnsi="맑은 고딕" w:eastAsia="맑은 고딕"/>
                <w:b w:val="0"/>
                <w:sz w:val="17"/>
              </w:rPr>
              <w:t>22.6%</w:t>
            </w:r>
          </w:p>
        </w:tc>
        <w:tc>
          <w:tcPr>
            <w:tcW w:type="dxa" w:w="1152"/>
          </w:tcPr>
          <w:p>
            <w:pPr>
              <w:jc w:val="center"/>
            </w:pPr>
            <w:r/>
            <w:r>
              <w:rPr>
                <w:rFonts w:ascii="맑은 고딕" w:hAnsi="맑은 고딕" w:eastAsia="맑은 고딕"/>
                <w:b w:val="0"/>
                <w:sz w:val="17"/>
              </w:rPr>
              <w:t>29.9%</w:t>
            </w:r>
          </w:p>
        </w:tc>
        <w:tc>
          <w:tcPr>
            <w:tcW w:type="dxa" w:w="1440"/>
          </w:tcPr>
          <w:p>
            <w:pPr>
              <w:jc w:val="center"/>
            </w:pPr>
            <w:r/>
            <w:r>
              <w:rPr>
                <w:rFonts w:ascii="맑은 고딕" w:hAnsi="맑은 고딕" w:eastAsia="맑은 고딕"/>
                <w:b w:val="0"/>
                <w:sz w:val="17"/>
              </w:rPr>
              <w:t>637 (29.7%)</w:t>
            </w:r>
          </w:p>
        </w:tc>
        <w:tc>
          <w:tcPr>
            <w:tcW w:type="dxa" w:w="1296"/>
          </w:tcPr>
          <w:p>
            <w:pPr>
              <w:jc w:val="center"/>
            </w:pPr>
            <w:r/>
            <w:r>
              <w:rPr>
                <w:rFonts w:ascii="맑은 고딕" w:hAnsi="맑은 고딕" w:eastAsia="맑은 고딕"/>
                <w:b w:val="0"/>
                <w:sz w:val="17"/>
              </w:rPr>
              <w:t>63.8%</w:t>
            </w:r>
          </w:p>
        </w:tc>
        <w:tc>
          <w:tcPr>
            <w:tcW w:type="dxa" w:w="1584"/>
          </w:tcPr>
          <w:p>
            <w:pPr>
              <w:jc w:val="center"/>
            </w:pPr>
            <w:r/>
            <w:r>
              <w:rPr>
                <w:rFonts w:ascii="맑은 고딕" w:hAnsi="맑은 고딕" w:eastAsia="맑은 고딕"/>
                <w:b w:val="0"/>
                <w:sz w:val="17"/>
              </w:rPr>
              <w:t>이론적 상한</w:t>
            </w:r>
          </w:p>
        </w:tc>
      </w:tr>
      <w:tr>
        <w:tc>
          <w:tcPr>
            <w:tcW w:type="dxa" w:w="2160"/>
          </w:tcPr>
          <w:p>
            <w:pPr>
              <w:jc w:val="left"/>
            </w:pPr>
            <w:r/>
            <w:r>
              <w:rPr>
                <w:rFonts w:ascii="맑은 고딕" w:hAnsi="맑은 고딕" w:eastAsia="맑은 고딕"/>
                <w:b/>
                <w:sz w:val="17"/>
              </w:rPr>
              <w:t>GA (λ = 42, 무릎)</w:t>
            </w:r>
          </w:p>
        </w:tc>
        <w:tc>
          <w:tcPr>
            <w:tcW w:type="dxa" w:w="1296"/>
          </w:tcPr>
          <w:p>
            <w:pPr>
              <w:jc w:val="center"/>
            </w:pPr>
            <w:r/>
            <w:r>
              <w:rPr>
                <w:rFonts w:ascii="맑은 고딕" w:hAnsi="맑은 고딕" w:eastAsia="맑은 고딕"/>
                <w:b/>
                <w:sz w:val="17"/>
              </w:rPr>
              <w:t>16.0%</w:t>
            </w:r>
          </w:p>
        </w:tc>
        <w:tc>
          <w:tcPr>
            <w:tcW w:type="dxa" w:w="1152"/>
          </w:tcPr>
          <w:p>
            <w:pPr>
              <w:jc w:val="center"/>
            </w:pPr>
            <w:r/>
            <w:r>
              <w:rPr>
                <w:rFonts w:ascii="맑은 고딕" w:hAnsi="맑은 고딕" w:eastAsia="맑은 고딕"/>
                <w:b/>
                <w:sz w:val="17"/>
              </w:rPr>
              <w:t>11.2%</w:t>
            </w:r>
          </w:p>
        </w:tc>
        <w:tc>
          <w:tcPr>
            <w:tcW w:type="dxa" w:w="1440"/>
          </w:tcPr>
          <w:p>
            <w:pPr>
              <w:jc w:val="center"/>
            </w:pPr>
            <w:r/>
            <w:r>
              <w:rPr>
                <w:rFonts w:ascii="맑은 고딕" w:hAnsi="맑은 고딕" w:eastAsia="맑은 고딕"/>
                <w:b/>
                <w:sz w:val="17"/>
              </w:rPr>
              <w:t>238 (11.1%)</w:t>
            </w:r>
          </w:p>
        </w:tc>
        <w:tc>
          <w:tcPr>
            <w:tcW w:type="dxa" w:w="1296"/>
          </w:tcPr>
          <w:p>
            <w:pPr>
              <w:jc w:val="center"/>
            </w:pPr>
            <w:r/>
            <w:r>
              <w:rPr>
                <w:rFonts w:ascii="맑은 고딕" w:hAnsi="맑은 고딕" w:eastAsia="맑은 고딕"/>
                <w:b/>
                <w:sz w:val="17"/>
              </w:rPr>
              <w:t>60.6%</w:t>
            </w:r>
          </w:p>
        </w:tc>
        <w:tc>
          <w:tcPr>
            <w:tcW w:type="dxa" w:w="1584"/>
          </w:tcPr>
          <w:p>
            <w:pPr>
              <w:jc w:val="center"/>
            </w:pPr>
            <w:r/>
            <w:r>
              <w:rPr>
                <w:rFonts w:ascii="맑은 고딕" w:hAnsi="맑은 고딕" w:eastAsia="맑은 고딕"/>
                <w:b/>
                <w:sz w:val="17"/>
              </w:rPr>
              <w:t>현실적 최적</w:t>
            </w:r>
          </w:p>
        </w:tc>
      </w:tr>
      <w:tr>
        <w:tc>
          <w:tcPr>
            <w:tcW w:type="dxa" w:w="2160"/>
          </w:tcPr>
          <w:p>
            <w:pPr>
              <w:jc w:val="left"/>
            </w:pPr>
            <w:r/>
            <w:r>
              <w:rPr>
                <w:rFonts w:ascii="맑은 고딕" w:hAnsi="맑은 고딕" w:eastAsia="맑은 고딕"/>
                <w:b w:val="0"/>
                <w:sz w:val="17"/>
              </w:rPr>
              <w:t>GA + 옥수수 40% 하한</w:t>
            </w:r>
          </w:p>
        </w:tc>
        <w:tc>
          <w:tcPr>
            <w:tcW w:type="dxa" w:w="1296"/>
          </w:tcPr>
          <w:p>
            <w:pPr>
              <w:jc w:val="center"/>
            </w:pPr>
            <w:r/>
            <w:r>
              <w:rPr>
                <w:rFonts w:ascii="맑은 고딕" w:hAnsi="맑은 고딕" w:eastAsia="맑은 고딕"/>
                <w:b w:val="0"/>
                <w:sz w:val="17"/>
              </w:rPr>
              <w:t>15.9%</w:t>
            </w:r>
          </w:p>
        </w:tc>
        <w:tc>
          <w:tcPr>
            <w:tcW w:type="dxa" w:w="1152"/>
          </w:tcPr>
          <w:p>
            <w:pPr>
              <w:jc w:val="center"/>
            </w:pPr>
            <w:r/>
            <w:r>
              <w:rPr>
                <w:rFonts w:ascii="맑은 고딕" w:hAnsi="맑은 고딕" w:eastAsia="맑은 고딕"/>
                <w:b w:val="0"/>
                <w:sz w:val="17"/>
              </w:rPr>
              <w:t>11.1%</w:t>
            </w:r>
          </w:p>
        </w:tc>
        <w:tc>
          <w:tcPr>
            <w:tcW w:type="dxa" w:w="1440"/>
          </w:tcPr>
          <w:p>
            <w:pPr>
              <w:jc w:val="center"/>
            </w:pPr>
            <w:r/>
            <w:r>
              <w:rPr>
                <w:rFonts w:ascii="맑은 고딕" w:hAnsi="맑은 고딕" w:eastAsia="맑은 고딕"/>
                <w:b w:val="0"/>
                <w:sz w:val="17"/>
              </w:rPr>
              <w:t>239 (11.2%)</w:t>
            </w:r>
          </w:p>
        </w:tc>
        <w:tc>
          <w:tcPr>
            <w:tcW w:type="dxa" w:w="1296"/>
          </w:tcPr>
          <w:p>
            <w:pPr>
              <w:jc w:val="center"/>
            </w:pPr>
            <w:r/>
            <w:r>
              <w:rPr>
                <w:rFonts w:ascii="맑은 고딕" w:hAnsi="맑은 고딕" w:eastAsia="맑은 고딕"/>
                <w:b w:val="0"/>
                <w:sz w:val="17"/>
              </w:rPr>
              <w:t>60.0%</w:t>
            </w:r>
          </w:p>
        </w:tc>
        <w:tc>
          <w:tcPr>
            <w:tcW w:type="dxa" w:w="1584"/>
          </w:tcPr>
          <w:p>
            <w:pPr>
              <w:jc w:val="center"/>
            </w:pPr>
            <w:r/>
            <w:r>
              <w:rPr>
                <w:rFonts w:ascii="맑은 고딕" w:hAnsi="맑은 고딕" w:eastAsia="맑은 고딕"/>
                <w:b w:val="0"/>
                <w:sz w:val="17"/>
              </w:rPr>
              <w:t>식량안보 제약</w:t>
            </w:r>
          </w:p>
        </w:tc>
      </w:tr>
    </w:tbl>
    <w:p>
      <w:pPr>
        <w:spacing w:after="160"/>
      </w:pPr>
    </w:p>
    <w:p>
      <w:pPr>
        <w:spacing w:after="120"/>
      </w:pPr>
      <w:r>
        <w:rPr>
          <w:rFonts w:ascii="맑은 고딕" w:hAnsi="맑은 고딕" w:eastAsia="맑은 고딕"/>
          <w:b w:val="0"/>
          <w:i w:val="0"/>
          <w:sz w:val="20"/>
        </w:rPr>
        <w:t>핵심은 Greedy가 2.7배 많은 땅(29.9% vs 11.2%)을 갈아엎고도 회복률은 6.6%p 더 나을 뿐이라는 점이다. 전환비용을 목적함수에 넣으면 훨씬 적은 변화로 회복의 대부분을 가져온다. 이것이 개요 H6이 예측한 스윗스팟이다.</w:t>
      </w:r>
    </w:p>
    <w:p>
      <w:pPr>
        <w:jc w:val="center"/>
      </w:pPr>
      <w:r>
        <w:drawing>
          <wp:inline xmlns:a="http://schemas.openxmlformats.org/drawingml/2006/main" xmlns:pic="http://schemas.openxmlformats.org/drawingml/2006/picture">
            <wp:extent cx="5577840" cy="2057332"/>
            <wp:docPr id="14" name="Picture 14"/>
            <wp:cNvGraphicFramePr>
              <a:graphicFrameLocks noChangeAspect="1"/>
            </wp:cNvGraphicFramePr>
            <a:graphic>
              <a:graphicData uri="http://schemas.openxmlformats.org/drawingml/2006/picture">
                <pic:pic>
                  <pic:nvPicPr>
                    <pic:cNvPr id="0" name="fig29_loss_recovery.png"/>
                    <pic:cNvPicPr/>
                  </pic:nvPicPr>
                  <pic:blipFill>
                    <a:blip r:embed="rId22"/>
                    <a:stretch>
                      <a:fillRect/>
                    </a:stretch>
                  </pic:blipFill>
                  <pic:spPr>
                    <a:xfrm>
                      <a:off x="0" y="0"/>
                      <a:ext cx="5577840" cy="2057332"/>
                    </a:xfrm>
                    <a:prstGeom prst="rect"/>
                  </pic:spPr>
                </pic:pic>
              </a:graphicData>
            </a:graphic>
          </wp:inline>
        </w:drawing>
      </w:r>
    </w:p>
    <w:p>
      <w:pPr>
        <w:spacing w:after="240"/>
        <w:jc w:val="center"/>
      </w:pPr>
      <w:r>
        <w:rPr>
          <w:rFonts w:ascii="맑은 고딕" w:hAnsi="맑은 고딕" w:eastAsia="맑은 고딕"/>
          <w:b w:val="0"/>
          <w:i/>
          <w:color w:val="5A5A5A"/>
          <w:sz w:val="17"/>
        </w:rPr>
        <w:t>그림 14. 손실 회복 비교 — 무조정 vs Greedy vs GA. Greedy는 3배 가까운 면적을 바꾸고도 회복 차이는 크지 않다.</w:t>
      </w:r>
    </w:p>
    <w:p>
      <w:pPr>
        <w:pStyle w:val="Heading2"/>
      </w:pPr>
      <w:r>
        <w:t>6.6 전환비용 트레이드오프와 스윗스팟</w:t>
      </w:r>
    </w:p>
    <w:p>
      <w:pPr>
        <w:spacing w:after="120"/>
      </w:pPr>
      <w:r>
        <w:rPr>
          <w:rFonts w:ascii="맑은 고딕" w:hAnsi="맑은 고딕" w:eastAsia="맑은 고딕"/>
          <w:b w:val="0"/>
          <w:i w:val="0"/>
          <w:sz w:val="20"/>
        </w:rPr>
        <w:t>λ를 0부터 400 $/ac까지 스윕하면 전형적인 우하향 수확체감 곡선이 나온다. 곡선의 무릎(원점–끝점을 잇는 직선에서 수직 거리가 최대인 점)은 λ = 42 $/ac이며, 이 지점이 "면적 11.2%를 바꿔 손실 16.0%를 회복"하는 스윗스팟이다. λ = 0에서는 면적 29.9%를 바꿔 22.6%를 회복하지만, 무릎을 넘어 더 갈아엎어도 회복은 완만하게만 늘어난다. 반대로 λ를 190 이상으로 올리면 전환이 사실상 멈춘다(면적 0.1%).</w:t>
      </w:r>
    </w:p>
    <w:p>
      <w:pPr>
        <w:jc w:val="center"/>
      </w:pPr>
      <w:r>
        <w:drawing>
          <wp:inline xmlns:a="http://schemas.openxmlformats.org/drawingml/2006/main" xmlns:pic="http://schemas.openxmlformats.org/drawingml/2006/picture">
            <wp:extent cx="5577840" cy="2057332"/>
            <wp:docPr id="15" name="Picture 15"/>
            <wp:cNvGraphicFramePr>
              <a:graphicFrameLocks noChangeAspect="1"/>
            </wp:cNvGraphicFramePr>
            <a:graphic>
              <a:graphicData uri="http://schemas.openxmlformats.org/drawingml/2006/picture">
                <pic:pic>
                  <pic:nvPicPr>
                    <pic:cNvPr id="0" name="fig28_tradeoff_curve.png"/>
                    <pic:cNvPicPr/>
                  </pic:nvPicPr>
                  <pic:blipFill>
                    <a:blip r:embed="rId23"/>
                    <a:stretch>
                      <a:fillRect/>
                    </a:stretch>
                  </pic:blipFill>
                  <pic:spPr>
                    <a:xfrm>
                      <a:off x="0" y="0"/>
                      <a:ext cx="5577840" cy="2057332"/>
                    </a:xfrm>
                    <a:prstGeom prst="rect"/>
                  </pic:spPr>
                </pic:pic>
              </a:graphicData>
            </a:graphic>
          </wp:inline>
        </w:drawing>
      </w:r>
    </w:p>
    <w:p>
      <w:pPr>
        <w:spacing w:after="240"/>
        <w:jc w:val="center"/>
      </w:pPr>
      <w:r>
        <w:rPr>
          <w:rFonts w:ascii="맑은 고딕" w:hAnsi="맑은 고딕" w:eastAsia="맑은 고딕"/>
          <w:b w:val="0"/>
          <w:i/>
          <w:color w:val="5A5A5A"/>
          <w:sz w:val="17"/>
        </w:rPr>
        <w:t>그림 15. 전환비용 트레이드오프 곡선. 무릎(λ = 42 $/ac)에서 적은 변화로 큰 회복을 얻는다. 빨간 원(GA)이 파란 선(정확해) 위에 정확히 얹힌다.</w:t>
      </w:r>
    </w:p>
    <w:p>
      <w:pPr>
        <w:pStyle w:val="Heading2"/>
      </w:pPr>
      <w:r>
        <w:t>6.7 재배치의 지리 — 어느 지역이 대두로 가는가</w:t>
      </w:r>
    </w:p>
    <w:p>
      <w:pPr>
        <w:spacing w:after="120"/>
      </w:pPr>
      <w:r>
        <w:rPr>
          <w:rFonts w:ascii="맑은 고딕" w:hAnsi="맑은 고딕" w:eastAsia="맑은 고딕"/>
          <w:b w:val="0"/>
          <w:i w:val="0"/>
          <w:sz w:val="20"/>
        </w:rPr>
        <w:t>GA 최적해에서 작물을 바꾸는 카운티는 238개이며, 옥수수 → 대두가 194개, 대두 → 옥수수가 44개로 순 대두 증가는 150개 카운티다. 면적 기준으로는 옥수수 → 대두가 9.5%, 역방향이 1.7%다. 결과적으로 대두 카운티 비중은 62.2% → 69.2%로, 대두 면적 비중은 52.7% → 60.6%로 늘어난다.</w:t>
      </w:r>
    </w:p>
    <w:p>
      <w:pPr>
        <w:spacing w:after="60"/>
      </w:pPr>
      <w:r>
        <w:rPr>
          <w:rFonts w:ascii="맑은 고딕" w:hAnsi="맑은 고딕" w:eastAsia="맑은 고딕"/>
          <w:b w:val="0"/>
          <w:i/>
          <w:color w:val="5A5A5A"/>
          <w:sz w:val="17"/>
        </w:rPr>
        <w:t>표 10. GA 최적해의 지역별 작물 전환 (λ = 42)</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584"/>
          </w:tcPr>
          <w:p>
            <w:pPr>
              <w:jc w:val="center"/>
            </w:pPr>
            <w:r/>
            <w:r>
              <w:rPr>
                <w:rFonts w:ascii="맑은 고딕" w:hAnsi="맑은 고딕" w:eastAsia="맑은 고딕"/>
                <w:b/>
                <w:sz w:val="17"/>
              </w:rPr>
              <w:t>지역</w:t>
            </w:r>
          </w:p>
        </w:tc>
        <w:tc>
          <w:tcPr>
            <w:tcW w:type="dxa" w:w="1440"/>
          </w:tcPr>
          <w:p>
            <w:pPr>
              <w:jc w:val="center"/>
            </w:pPr>
            <w:r/>
            <w:r>
              <w:rPr>
                <w:rFonts w:ascii="맑은 고딕" w:hAnsi="맑은 고딕" w:eastAsia="맑은 고딕"/>
                <w:b/>
                <w:sz w:val="17"/>
              </w:rPr>
              <w:t>카운티 수</w:t>
            </w:r>
          </w:p>
        </w:tc>
        <w:tc>
          <w:tcPr>
            <w:tcW w:type="dxa" w:w="1728"/>
          </w:tcPr>
          <w:p>
            <w:pPr>
              <w:jc w:val="center"/>
            </w:pPr>
            <w:r/>
            <w:r>
              <w:rPr>
                <w:rFonts w:ascii="맑은 고딕" w:hAnsi="맑은 고딕" w:eastAsia="맑은 고딕"/>
                <w:b/>
                <w:sz w:val="17"/>
              </w:rPr>
              <w:t>옥수수 → 대두</w:t>
            </w:r>
          </w:p>
        </w:tc>
        <w:tc>
          <w:tcPr>
            <w:tcW w:type="dxa" w:w="1728"/>
          </w:tcPr>
          <w:p>
            <w:pPr>
              <w:jc w:val="center"/>
            </w:pPr>
            <w:r/>
            <w:r>
              <w:rPr>
                <w:rFonts w:ascii="맑은 고딕" w:hAnsi="맑은 고딕" w:eastAsia="맑은 고딕"/>
                <w:b/>
                <w:sz w:val="17"/>
              </w:rPr>
              <w:t>대두 → 옥수수</w:t>
            </w:r>
          </w:p>
        </w:tc>
        <w:tc>
          <w:tcPr>
            <w:tcW w:type="dxa" w:w="1296"/>
          </w:tcPr>
          <w:p>
            <w:pPr>
              <w:jc w:val="center"/>
            </w:pPr>
            <w:r/>
            <w:r>
              <w:rPr>
                <w:rFonts w:ascii="맑은 고딕" w:hAnsi="맑은 고딕" w:eastAsia="맑은 고딕"/>
                <w:b/>
                <w:sz w:val="17"/>
              </w:rPr>
              <w:t>전환율</w:t>
            </w:r>
          </w:p>
        </w:tc>
      </w:tr>
      <w:tr>
        <w:tc>
          <w:tcPr>
            <w:tcW w:type="dxa" w:w="1584"/>
          </w:tcPr>
          <w:p>
            <w:pPr>
              <w:jc w:val="left"/>
            </w:pPr>
            <w:r/>
            <w:r>
              <w:rPr>
                <w:rFonts w:ascii="맑은 고딕" w:hAnsi="맑은 고딕" w:eastAsia="맑은 고딕"/>
                <w:b w:val="0"/>
                <w:sz w:val="17"/>
              </w:rPr>
              <w:t>South</w:t>
            </w:r>
          </w:p>
        </w:tc>
        <w:tc>
          <w:tcPr>
            <w:tcW w:type="dxa" w:w="1440"/>
          </w:tcPr>
          <w:p>
            <w:pPr>
              <w:jc w:val="center"/>
            </w:pPr>
            <w:r/>
            <w:r>
              <w:rPr>
                <w:rFonts w:ascii="맑은 고딕" w:hAnsi="맑은 고딕" w:eastAsia="맑은 고딕"/>
                <w:b w:val="0"/>
                <w:sz w:val="17"/>
              </w:rPr>
              <w:t>1,011</w:t>
            </w:r>
          </w:p>
        </w:tc>
        <w:tc>
          <w:tcPr>
            <w:tcW w:type="dxa" w:w="1728"/>
          </w:tcPr>
          <w:p>
            <w:pPr>
              <w:jc w:val="center"/>
            </w:pPr>
            <w:r/>
            <w:r>
              <w:rPr>
                <w:rFonts w:ascii="맑은 고딕" w:hAnsi="맑은 고딕" w:eastAsia="맑은 고딕"/>
                <w:b w:val="0"/>
                <w:sz w:val="17"/>
              </w:rPr>
              <w:t>97</w:t>
            </w:r>
          </w:p>
        </w:tc>
        <w:tc>
          <w:tcPr>
            <w:tcW w:type="dxa" w:w="1728"/>
          </w:tcPr>
          <w:p>
            <w:pPr>
              <w:jc w:val="center"/>
            </w:pPr>
            <w:r/>
            <w:r>
              <w:rPr>
                <w:rFonts w:ascii="맑은 고딕" w:hAnsi="맑은 고딕" w:eastAsia="맑은 고딕"/>
                <w:b w:val="0"/>
                <w:sz w:val="17"/>
              </w:rPr>
              <w:t>27</w:t>
            </w:r>
          </w:p>
        </w:tc>
        <w:tc>
          <w:tcPr>
            <w:tcW w:type="dxa" w:w="1296"/>
          </w:tcPr>
          <w:p>
            <w:pPr>
              <w:jc w:val="center"/>
            </w:pPr>
            <w:r/>
            <w:r>
              <w:rPr>
                <w:rFonts w:ascii="맑은 고딕" w:hAnsi="맑은 고딕" w:eastAsia="맑은 고딕"/>
                <w:b w:val="0"/>
                <w:sz w:val="17"/>
              </w:rPr>
              <w:t>12.3%</w:t>
            </w:r>
          </w:p>
        </w:tc>
      </w:tr>
      <w:tr>
        <w:tc>
          <w:tcPr>
            <w:tcW w:type="dxa" w:w="1584"/>
          </w:tcPr>
          <w:p>
            <w:pPr>
              <w:jc w:val="left"/>
            </w:pPr>
            <w:r/>
            <w:r>
              <w:rPr>
                <w:rFonts w:ascii="맑은 고딕" w:hAnsi="맑은 고딕" w:eastAsia="맑은 고딕"/>
                <w:b w:val="0"/>
                <w:sz w:val="17"/>
              </w:rPr>
              <w:t>Midwest</w:t>
            </w:r>
          </w:p>
        </w:tc>
        <w:tc>
          <w:tcPr>
            <w:tcW w:type="dxa" w:w="1440"/>
          </w:tcPr>
          <w:p>
            <w:pPr>
              <w:jc w:val="center"/>
            </w:pPr>
            <w:r/>
            <w:r>
              <w:rPr>
                <w:rFonts w:ascii="맑은 고딕" w:hAnsi="맑은 고딕" w:eastAsia="맑은 고딕"/>
                <w:b w:val="0"/>
                <w:sz w:val="17"/>
              </w:rPr>
              <w:t>1,017</w:t>
            </w:r>
          </w:p>
        </w:tc>
        <w:tc>
          <w:tcPr>
            <w:tcW w:type="dxa" w:w="1728"/>
          </w:tcPr>
          <w:p>
            <w:pPr>
              <w:jc w:val="center"/>
            </w:pPr>
            <w:r/>
            <w:r>
              <w:rPr>
                <w:rFonts w:ascii="맑은 고딕" w:hAnsi="맑은 고딕" w:eastAsia="맑은 고딕"/>
                <w:b w:val="0"/>
                <w:sz w:val="17"/>
              </w:rPr>
              <w:t>92</w:t>
            </w:r>
          </w:p>
        </w:tc>
        <w:tc>
          <w:tcPr>
            <w:tcW w:type="dxa" w:w="1728"/>
          </w:tcPr>
          <w:p>
            <w:pPr>
              <w:jc w:val="center"/>
            </w:pPr>
            <w:r/>
            <w:r>
              <w:rPr>
                <w:rFonts w:ascii="맑은 고딕" w:hAnsi="맑은 고딕" w:eastAsia="맑은 고딕"/>
                <w:b w:val="0"/>
                <w:sz w:val="17"/>
              </w:rPr>
              <w:t>17</w:t>
            </w:r>
          </w:p>
        </w:tc>
        <w:tc>
          <w:tcPr>
            <w:tcW w:type="dxa" w:w="1296"/>
          </w:tcPr>
          <w:p>
            <w:pPr>
              <w:jc w:val="center"/>
            </w:pPr>
            <w:r/>
            <w:r>
              <w:rPr>
                <w:rFonts w:ascii="맑은 고딕" w:hAnsi="맑은 고딕" w:eastAsia="맑은 고딕"/>
                <w:b w:val="0"/>
                <w:sz w:val="17"/>
              </w:rPr>
              <w:t>10.7%</w:t>
            </w:r>
          </w:p>
        </w:tc>
      </w:tr>
      <w:tr>
        <w:tc>
          <w:tcPr>
            <w:tcW w:type="dxa" w:w="1584"/>
          </w:tcPr>
          <w:p>
            <w:pPr>
              <w:jc w:val="left"/>
            </w:pPr>
            <w:r/>
            <w:r>
              <w:rPr>
                <w:rFonts w:ascii="맑은 고딕" w:hAnsi="맑은 고딕" w:eastAsia="맑은 고딕"/>
                <w:b w:val="0"/>
                <w:sz w:val="17"/>
              </w:rPr>
              <w:t>Northeast</w:t>
            </w:r>
          </w:p>
        </w:tc>
        <w:tc>
          <w:tcPr>
            <w:tcW w:type="dxa" w:w="1440"/>
          </w:tcPr>
          <w:p>
            <w:pPr>
              <w:jc w:val="center"/>
            </w:pPr>
            <w:r/>
            <w:r>
              <w:rPr>
                <w:rFonts w:ascii="맑은 고딕" w:hAnsi="맑은 고딕" w:eastAsia="맑은 고딕"/>
                <w:b w:val="0"/>
                <w:sz w:val="17"/>
              </w:rPr>
              <w:t>114</w:t>
            </w:r>
          </w:p>
        </w:tc>
        <w:tc>
          <w:tcPr>
            <w:tcW w:type="dxa" w:w="1728"/>
          </w:tcPr>
          <w:p>
            <w:pPr>
              <w:jc w:val="center"/>
            </w:pPr>
            <w:r/>
            <w:r>
              <w:rPr>
                <w:rFonts w:ascii="맑은 고딕" w:hAnsi="맑은 고딕" w:eastAsia="맑은 고딕"/>
                <w:b w:val="0"/>
                <w:sz w:val="17"/>
              </w:rPr>
              <w:t>5</w:t>
            </w:r>
          </w:p>
        </w:tc>
        <w:tc>
          <w:tcPr>
            <w:tcW w:type="dxa" w:w="1728"/>
          </w:tcPr>
          <w:p>
            <w:pPr>
              <w:jc w:val="center"/>
            </w:pPr>
            <w:r/>
            <w:r>
              <w:rPr>
                <w:rFonts w:ascii="맑은 고딕" w:hAnsi="맑은 고딕" w:eastAsia="맑은 고딕"/>
                <w:b w:val="0"/>
                <w:sz w:val="17"/>
              </w:rPr>
              <w:t>0</w:t>
            </w:r>
          </w:p>
        </w:tc>
        <w:tc>
          <w:tcPr>
            <w:tcW w:type="dxa" w:w="1296"/>
          </w:tcPr>
          <w:p>
            <w:pPr>
              <w:jc w:val="center"/>
            </w:pPr>
            <w:r/>
            <w:r>
              <w:rPr>
                <w:rFonts w:ascii="맑은 고딕" w:hAnsi="맑은 고딕" w:eastAsia="맑은 고딕"/>
                <w:b w:val="0"/>
                <w:sz w:val="17"/>
              </w:rPr>
              <w:t>4.4%</w:t>
            </w:r>
          </w:p>
        </w:tc>
      </w:tr>
      <w:tr>
        <w:tc>
          <w:tcPr>
            <w:tcW w:type="dxa" w:w="1584"/>
          </w:tcPr>
          <w:p>
            <w:pPr>
              <w:jc w:val="left"/>
            </w:pPr>
            <w:r/>
            <w:r>
              <w:rPr>
                <w:rFonts w:ascii="맑은 고딕" w:hAnsi="맑은 고딕" w:eastAsia="맑은 고딕"/>
                <w:b/>
                <w:sz w:val="17"/>
              </w:rPr>
              <w:t>합계</w:t>
            </w:r>
          </w:p>
        </w:tc>
        <w:tc>
          <w:tcPr>
            <w:tcW w:type="dxa" w:w="1440"/>
          </w:tcPr>
          <w:p>
            <w:pPr>
              <w:jc w:val="center"/>
            </w:pPr>
            <w:r/>
            <w:r>
              <w:rPr>
                <w:rFonts w:ascii="맑은 고딕" w:hAnsi="맑은 고딕" w:eastAsia="맑은 고딕"/>
                <w:b/>
                <w:sz w:val="17"/>
              </w:rPr>
              <w:t>2,142</w:t>
            </w:r>
          </w:p>
        </w:tc>
        <w:tc>
          <w:tcPr>
            <w:tcW w:type="dxa" w:w="1728"/>
          </w:tcPr>
          <w:p>
            <w:pPr>
              <w:jc w:val="center"/>
            </w:pPr>
            <w:r/>
            <w:r>
              <w:rPr>
                <w:rFonts w:ascii="맑은 고딕" w:hAnsi="맑은 고딕" w:eastAsia="맑은 고딕"/>
                <w:b/>
                <w:sz w:val="17"/>
              </w:rPr>
              <w:t>194</w:t>
            </w:r>
          </w:p>
        </w:tc>
        <w:tc>
          <w:tcPr>
            <w:tcW w:type="dxa" w:w="1728"/>
          </w:tcPr>
          <w:p>
            <w:pPr>
              <w:jc w:val="center"/>
            </w:pPr>
            <w:r/>
            <w:r>
              <w:rPr>
                <w:rFonts w:ascii="맑은 고딕" w:hAnsi="맑은 고딕" w:eastAsia="맑은 고딕"/>
                <w:b/>
                <w:sz w:val="17"/>
              </w:rPr>
              <w:t>44</w:t>
            </w:r>
          </w:p>
        </w:tc>
        <w:tc>
          <w:tcPr>
            <w:tcW w:type="dxa" w:w="1296"/>
          </w:tcPr>
          <w:p>
            <w:pPr>
              <w:jc w:val="center"/>
            </w:pPr>
            <w:r/>
            <w:r>
              <w:rPr>
                <w:rFonts w:ascii="맑은 고딕" w:hAnsi="맑은 고딕" w:eastAsia="맑은 고딕"/>
                <w:b/>
                <w:sz w:val="17"/>
              </w:rPr>
              <w:t>11.1%</w:t>
            </w:r>
          </w:p>
        </w:tc>
      </w:tr>
    </w:tbl>
    <w:p>
      <w:pPr>
        <w:spacing w:after="160"/>
      </w:pPr>
    </w:p>
    <w:p>
      <w:pPr>
        <w:spacing w:after="120"/>
      </w:pPr>
      <w:r>
        <w:rPr>
          <w:rFonts w:ascii="맑은 고딕" w:hAnsi="맑은 고딕" w:eastAsia="맑은 고딕"/>
          <w:b w:val="0"/>
          <w:i w:val="0"/>
          <w:sz w:val="20"/>
        </w:rPr>
        <w:t>주(state) 단위로는 사우스다코타(25.8%), 앨라배마(20.0%), 위스콘신(17.9%), 미시간(16.7%), 버지니아(16.3%), 오클라호마(16.2%) 순으로 옥수수 → 대두 전환율이 높다. 즉 전환은 남부(앨라배마·조지아·텍사스·버지니아)와 중서부 주변부(사우스다코타·위스콘신·미시간)에 집중되고, 벨트 핵심부(아이오와·일리노이)는 거의 바뀌지 않는다. 옥수수 우위가 두터운 곳은 그대로 두고 가장자리부터 대두로 물러나는 그림이다. 역방향(대두 → 옥수수)은 켄터키(11개)에 몰려 있다.</w:t>
      </w:r>
    </w:p>
    <w:p>
      <w:pPr>
        <w:jc w:val="center"/>
      </w:pPr>
      <w:r>
        <w:drawing>
          <wp:inline xmlns:a="http://schemas.openxmlformats.org/drawingml/2006/main" xmlns:pic="http://schemas.openxmlformats.org/drawingml/2006/picture">
            <wp:extent cx="5577840" cy="2074184"/>
            <wp:docPr id="16" name="Picture 16"/>
            <wp:cNvGraphicFramePr>
              <a:graphicFrameLocks noChangeAspect="1"/>
            </wp:cNvGraphicFramePr>
            <a:graphic>
              <a:graphicData uri="http://schemas.openxmlformats.org/drawingml/2006/picture">
                <pic:pic>
                  <pic:nvPicPr>
                    <pic:cNvPr id="0" name="fig30_crop_map.png"/>
                    <pic:cNvPicPr/>
                  </pic:nvPicPr>
                  <pic:blipFill>
                    <a:blip r:embed="rId24"/>
                    <a:stretch>
                      <a:fillRect/>
                    </a:stretch>
                  </pic:blipFill>
                  <pic:spPr>
                    <a:xfrm>
                      <a:off x="0" y="0"/>
                      <a:ext cx="5577840" cy="2074184"/>
                    </a:xfrm>
                    <a:prstGeom prst="rect"/>
                  </pic:spPr>
                </pic:pic>
              </a:graphicData>
            </a:graphic>
          </wp:inline>
        </w:drawing>
      </w:r>
    </w:p>
    <w:p>
      <w:pPr>
        <w:spacing w:after="240"/>
        <w:jc w:val="center"/>
      </w:pPr>
      <w:r>
        <w:rPr>
          <w:rFonts w:ascii="맑은 고딕" w:hAnsi="맑은 고딕" w:eastAsia="맑은 고딕"/>
          <w:b w:val="0"/>
          <w:i/>
          <w:color w:val="5A5A5A"/>
          <w:sz w:val="17"/>
        </w:rPr>
        <w:t>그림 16. 작물 배치 지도 — 현재 배분(좌) vs +2℃ GA 최적 배분(우). 공통 카운티 2,142개.</w:t>
      </w:r>
    </w:p>
    <w:p>
      <w:pPr>
        <w:jc w:val="center"/>
      </w:pPr>
      <w:r>
        <w:drawing>
          <wp:inline xmlns:a="http://schemas.openxmlformats.org/drawingml/2006/main" xmlns:pic="http://schemas.openxmlformats.org/drawingml/2006/picture">
            <wp:extent cx="5577840" cy="2586785"/>
            <wp:docPr id="17" name="Picture 17"/>
            <wp:cNvGraphicFramePr>
              <a:graphicFrameLocks noChangeAspect="1"/>
            </wp:cNvGraphicFramePr>
            <a:graphic>
              <a:graphicData uri="http://schemas.openxmlformats.org/drawingml/2006/picture">
                <pic:pic>
                  <pic:nvPicPr>
                    <pic:cNvPr id="0" name="fig31_switch_map.png"/>
                    <pic:cNvPicPr/>
                  </pic:nvPicPr>
                  <pic:blipFill>
                    <a:blip r:embed="rId25"/>
                    <a:stretch>
                      <a:fillRect/>
                    </a:stretch>
                  </pic:blipFill>
                  <pic:spPr>
                    <a:xfrm>
                      <a:off x="0" y="0"/>
                      <a:ext cx="5577840" cy="2586785"/>
                    </a:xfrm>
                    <a:prstGeom prst="rect"/>
                  </pic:spPr>
                </pic:pic>
              </a:graphicData>
            </a:graphic>
          </wp:inline>
        </w:drawing>
      </w:r>
    </w:p>
    <w:p>
      <w:pPr>
        <w:spacing w:after="240"/>
        <w:jc w:val="center"/>
      </w:pPr>
      <w:r>
        <w:rPr>
          <w:rFonts w:ascii="맑은 고딕" w:hAnsi="맑은 고딕" w:eastAsia="맑은 고딕"/>
          <w:b w:val="0"/>
          <w:i/>
          <w:color w:val="5A5A5A"/>
          <w:sz w:val="17"/>
        </w:rPr>
        <w:t>그림 17. 작물을 바꾸는 카운티와 위도대별 전환 방향. 전환은 남부와 중서부 주변부에 집중된다.</w:t>
      </w:r>
    </w:p>
    <w:p>
      <w:r>
        <w:br w:type="page"/>
      </w:r>
    </w:p>
    <w:p>
      <w:pPr>
        <w:pStyle w:val="Heading1"/>
      </w:pPr>
      <w:r>
        <w:t>7. 결론</w:t>
      </w:r>
    </w:p>
    <w:p>
      <w:pPr>
        <w:spacing w:after="80"/>
      </w:pPr>
      <w:r>
        <w:rPr>
          <w:rFonts w:ascii="맑은 고딕" w:hAnsi="맑은 고딕" w:eastAsia="맑은 고딕"/>
          <w:b w:val="0"/>
          <w:i w:val="0"/>
          <w:sz w:val="20"/>
        </w:rPr>
        <w:t>핵심 메시지는 한 문장으로 요약된다.</w:t>
      </w:r>
    </w:p>
    <w:p>
      <w:pPr>
        <w:spacing w:after="200"/>
        <w:jc w:val="center"/>
      </w:pPr>
      <w:r>
        <w:rPr>
          <w:rFonts w:ascii="맑은 고딕" w:hAnsi="맑은 고딕" w:eastAsia="맑은 고딕"/>
          <w:b/>
          <w:i w:val="0"/>
          <w:color w:val="1F4E79"/>
          <w:sz w:val="23"/>
        </w:rPr>
        <w:t>"더위가 옥수수를 해치고, 적은 재배치로 손실을 상당 부분 만회할 수 있다."</w:t>
      </w:r>
    </w:p>
    <w:p>
      <w:pPr>
        <w:spacing w:after="80"/>
      </w:pPr>
      <w:r>
        <w:rPr>
          <w:rFonts w:ascii="맑은 고딕" w:hAnsi="맑은 고딕" w:eastAsia="맑은 고딕"/>
          <w:b w:val="0"/>
          <w:i w:val="0"/>
          <w:sz w:val="20"/>
        </w:rPr>
        <w:t>구체적으로 본 연구는 다음을 보였다.</w:t>
      </w:r>
    </w:p>
    <w:p>
      <w:pPr>
        <w:pStyle w:val="ListBullet"/>
        <w:spacing w:after="60" w:line="324" w:lineRule="auto"/>
      </w:pPr>
      <w:r>
        <w:rPr>
          <w:rFonts w:ascii="맑은 고딕" w:hAnsi="맑은 고딕" w:eastAsia="맑은 고딕"/>
          <w:sz w:val="20"/>
        </w:rPr>
        <w:t>날씨로 수확량을 예측할 수 있다. 온도 노출 분포·강수·토양만으로 카운티 옥수수 수확량의 R² 0.732, 대두 0.807을 정직한 카운티 단위 교차검증에서 달성했다. (H1, H3)</w:t>
      </w:r>
    </w:p>
    <w:p>
      <w:pPr>
        <w:pStyle w:val="ListBullet"/>
        <w:spacing w:after="60" w:line="324" w:lineRule="auto"/>
      </w:pPr>
      <w:r>
        <w:rPr>
          <w:rFonts w:ascii="맑은 고딕" w:hAnsi="맑은 고딕" w:eastAsia="맑은 고딕"/>
          <w:sz w:val="20"/>
        </w:rPr>
        <w:t>고온 피해는 인과적으로 방어된다. 카운티·연도 고정효과를 모두 흡수해도 29℃ 초과 노출로의 대체효과는 옥수수 −1.67 bu/ac/일 (t = −60.7)로 강하게 유의했다. 지역 특성이나 연도 충격으로 설명되는 상관이 아니다.</w:t>
      </w:r>
    </w:p>
    <w:p>
      <w:pPr>
        <w:pStyle w:val="ListBullet"/>
        <w:spacing w:after="60" w:line="324" w:lineRule="auto"/>
      </w:pPr>
      <w:r>
        <w:rPr>
          <w:rFonts w:ascii="맑은 고딕" w:hAnsi="맑은 고딕" w:eastAsia="맑은 고딕"/>
          <w:sz w:val="20"/>
        </w:rPr>
        <w:t>옥수수가 대두보다 고온에 취약하다. 대체효과가 절대 기준 4.2배(−1.67 vs −0.39 bu/ac/일), 비율 기준으로도 −1.54%/일 vs −1.17%/일이다. 이 비대칭이 재배 전환의 물리적 근거다.</w:t>
      </w:r>
    </w:p>
    <w:p>
      <w:pPr>
        <w:pStyle w:val="ListBullet"/>
        <w:spacing w:after="60" w:line="324" w:lineRule="auto"/>
      </w:pPr>
      <w:r>
        <w:rPr>
          <w:rFonts w:ascii="맑은 고딕" w:hAnsi="맑은 고딕" w:eastAsia="맑은 고딕"/>
          <w:sz w:val="20"/>
        </w:rPr>
        <w:t>+2℃ 무조정이면 옥수수 수확량이 −8.98% 감소하고 카운티의 79.2%가 손해를 본다. 순이익 기준으로는 22.3%($857억) 손실이다. (H7)</w:t>
      </w:r>
    </w:p>
    <w:p>
      <w:pPr>
        <w:pStyle w:val="ListBullet"/>
        <w:spacing w:after="60" w:line="324" w:lineRule="auto"/>
      </w:pPr>
      <w:r>
        <w:rPr>
          <w:rFonts w:ascii="맑은 고딕" w:hAnsi="맑은 고딕" w:eastAsia="맑은 고딕"/>
          <w:sz w:val="20"/>
        </w:rPr>
        <w:t>적은 재배치로 손실을 만회한다. 농지의 11.2%(238개 카운티)만 작물을 바꾸면 그 손실의 16.0%를 되찾는다. 전환비용을 무시하는 Greedy는 2.7배 많은 면적을 갈아엎고도 22.6% 회복에 그친다. 적응은 값싸고 효과적일 수 있다. (H6, H7)</w:t>
      </w:r>
    </w:p>
    <w:p>
      <w:pPr>
        <w:pStyle w:val="ListBullet"/>
        <w:spacing w:after="60" w:line="324" w:lineRule="auto"/>
      </w:pPr>
      <w:r>
        <w:rPr>
          <w:rFonts w:ascii="맑은 고딕" w:hAnsi="맑은 고딕" w:eastAsia="맑은 고딕"/>
          <w:sz w:val="20"/>
        </w:rPr>
        <w:t>식량안보 제약은 거의 공짜다. 옥수수 면적 40% 하한을 걸어도 회복률이 16.0% → 15.9%로만 떨어진다.</w:t>
      </w:r>
    </w:p>
    <w:p>
      <w:pPr>
        <w:spacing w:after="240"/>
      </w:pPr>
      <w:r>
        <w:rPr>
          <w:rFonts w:ascii="맑은 고딕" w:hAnsi="맑은 고딕" w:eastAsia="맑은 고딕"/>
          <w:b w:val="0"/>
          <w:i w:val="0"/>
          <w:sz w:val="20"/>
        </w:rPr>
        <w:t>방법론적으로는 두 가지 발견이 있었다. 첫째, 작물 간 부셸을 더하는 목적함수는 퇴화한다 — 단위를 순이익($/ac)으로 맞춰야 비로소 조합 최적화가 자명하지 않은 문제가 된다. 둘째, 전환비용만 있는 단작 문제는 카운티별로 분리 가능해 정확해가 O(N)에 나온다. 조합 폭발은 결정변수가 많아서가 아니라 제약이 변수를 묶을 때 생기며, GA가 실제로 필요해지는 지점은 최소 수요 제약을 넣어 카운티를 서로 묶었을 때다. (H5는 이 조건부 의미에서만 지지된다.)</w:t>
      </w:r>
    </w:p>
    <w:p>
      <w:pPr>
        <w:pStyle w:val="Heading1"/>
      </w:pPr>
      <w:r>
        <w:t>8. 한계</w:t>
      </w:r>
    </w:p>
    <w:p>
      <w:pPr>
        <w:pStyle w:val="Heading2"/>
      </w:pPr>
      <w:r>
        <w:t>8.1 H8(재배 벨트 북상)은 이 모델로 판정할 수 없다</w:t>
      </w:r>
    </w:p>
    <w:p>
      <w:pPr>
        <w:spacing w:after="120"/>
      </w:pPr>
      <w:r>
        <w:rPr>
          <w:rFonts w:ascii="맑은 고딕" w:hAnsi="맑은 고딕" w:eastAsia="맑은 고딕"/>
          <w:b w:val="0"/>
          <w:i w:val="0"/>
          <w:sz w:val="20"/>
        </w:rPr>
        <w:t>개요는 온난화 시 옥수수 벨트가 북상할 것으로 예상했다(H8). 그러나 위도대별 옥수수 → 대두 전환율은 9.8 · 8.4 · 6.4 · 6.7 · 12.6 · 10.4%(남 → 북)로 뚜렷한 남북 기울기가 없다. 이는 모델이 북상을 부정한 것이 아니라 판정할 수 없는 것이다. 본 모델의 온도 채널은 29℃ 초과 고온 피해뿐이고, 실제 농학에서 옥수수 벨트를 북으로 밀어 올리는 힘인 생육기간 연장·서리일수 감소·적산온도 확보가 피처셋에 아예 없기 때문이다. H8을 제대로 다루려면 이런 피처가 추가로 필요하다 — 향후 과제다.</w:t>
      </w:r>
    </w:p>
    <w:p>
      <w:pPr>
        <w:pStyle w:val="Heading2"/>
      </w:pPr>
      <w:r>
        <w:t>8.2 그 밖의 한계</w:t>
      </w:r>
    </w:p>
    <w:p>
      <w:pPr>
        <w:pStyle w:val="ListBullet"/>
        <w:spacing w:after="60" w:line="324" w:lineRule="auto"/>
      </w:pPr>
      <w:r>
        <w:rPr>
          <w:rFonts w:ascii="맑은 고딕" w:hAnsi="맑은 고딕" w:eastAsia="맑은 고딕"/>
          <w:sz w:val="20"/>
        </w:rPr>
        <w:t>작물이 2개뿐이다. 실제 선택지에는 밀·면화 등이 있고, 무엇보다 미국 중서부의 표준 관행은 옥수수–대두 윤작이다. "카운티가 작물 하나를 고른다"는 단작 가정 자체가 단순화이므로, 결과는 "이 카운티의 주력을 어느 쪽으로 기울일까"로 읽어야 하며 "밭을 통째로 바꾼다"로 읽으면 안 된다.</w:t>
      </w:r>
    </w:p>
    <w:p>
      <w:pPr>
        <w:pStyle w:val="ListBullet"/>
        <w:spacing w:after="60" w:line="324" w:lineRule="auto"/>
      </w:pPr>
      <w:r>
        <w:rPr>
          <w:rFonts w:ascii="맑은 고딕" w:hAnsi="맑은 고딕" w:eastAsia="맑은 고딕"/>
          <w:sz w:val="20"/>
        </w:rPr>
        <w:t>+2℃는 예측이 아니라 처방된 시나리오다. 34년간 관측된 온난화는 +0.42℃에 불과하다. 이는 IPCC 수준의 정책 시나리오이며, 트리 모델은 학습 범위 밖 외삽에 약하므로 단일 예측이 아니라 시나리오로 다뤄야 한다.</w:t>
      </w:r>
    </w:p>
    <w:p>
      <w:pPr>
        <w:pStyle w:val="ListBullet"/>
        <w:spacing w:after="60" w:line="324" w:lineRule="auto"/>
      </w:pPr>
      <w:r>
        <w:rPr>
          <w:rFonts w:ascii="맑은 고딕" w:hAnsi="맑은 고딕" w:eastAsia="맑은 고딕"/>
          <w:sz w:val="20"/>
        </w:rPr>
        <w:t>가격과 변동비는 데이터에 없는 외부 가정이다(옥수수 $4.50/bu·$400/ac, 대두 $10.50/bu·$205/ac). 특히 옥수수 변동비가 대두의 2배라는 비대칭이 대두 전환을 만드는 핵심 동력이므로, 결과의 방향이 이 값에 의존한다. 발표·제출 전 USDA ERS로 출처를 확정하고 민감도 분석을 붙일 것을 권한다.</w:t>
      </w:r>
    </w:p>
    <w:p>
      <w:pPr>
        <w:pStyle w:val="ListBullet"/>
        <w:spacing w:after="60" w:line="324" w:lineRule="auto"/>
      </w:pPr>
      <w:r>
        <w:rPr>
          <w:rFonts w:ascii="맑은 고딕" w:hAnsi="맑은 고딕" w:eastAsia="맑은 고딕"/>
          <w:sz w:val="20"/>
        </w:rPr>
        <w:t>현재 배분 x̄는 재배 면적이 아니라 관측 수확량 기반 근사다. 작물별 실제 재배 면적 자료가 없다.</w:t>
      </w:r>
    </w:p>
    <w:p>
      <w:pPr>
        <w:pStyle w:val="ListBullet"/>
        <w:spacing w:after="60" w:line="324" w:lineRule="auto"/>
      </w:pPr>
      <w:r>
        <w:rPr>
          <w:rFonts w:ascii="맑은 고딕" w:hAnsi="맑은 고딕" w:eastAsia="맑은 고딕"/>
          <w:sz w:val="20"/>
        </w:rPr>
        <w:t>강수는 시나리오 간 고정했다. 온난화에 수반되는 강수 패턴 변화를 모델링하지 않았으며, 균일 +2℃ 이동을 가정해 분포의 분산·일교차 변화도 반영하지 않았다.</w:t>
      </w:r>
    </w:p>
    <w:p>
      <w:pPr>
        <w:pStyle w:val="ListBullet"/>
        <w:spacing w:after="60" w:line="324" w:lineRule="auto"/>
      </w:pPr>
      <w:r>
        <w:rPr>
          <w:rFonts w:ascii="맑은 고딕" w:hAnsi="맑은 고딕" w:eastAsia="맑은 고딕"/>
          <w:sz w:val="20"/>
        </w:rPr>
        <w:t>데이터가 2015년까지다. 이후의 품종 개량·농법 변화는 반영되지 않았다.</w:t>
      </w:r>
    </w:p>
    <w:p>
      <w:pPr>
        <w:pStyle w:val="ListBullet"/>
        <w:spacing w:after="60" w:line="324" w:lineRule="auto"/>
      </w:pPr>
      <w:r>
        <w:rPr>
          <w:rFonts w:ascii="맑은 고딕" w:hAnsi="맑은 고딕" w:eastAsia="맑은 고딕"/>
          <w:sz w:val="20"/>
        </w:rPr>
        <w:t>예측오차와 의사결정 임계가 같은 자릿수다. 옥수수 RMSE 20 bu/ac는 순이익 약 $90/ac에 해당해 무릎 λ(42 $/ac)와 같은 자릿수다. 따라서 개별 카운티 단위의 전환 권고는 노이즈에 취약하며, 지역·위도대 등 집계 수준의 결론이 훨씬 견고하다.</w:t>
      </w:r>
    </w:p>
    <w:p>
      <w:pPr>
        <w:pStyle w:val="ListBullet"/>
        <w:spacing w:after="60" w:line="324" w:lineRule="auto"/>
      </w:pPr>
      <w:r>
        <w:rPr>
          <w:rFonts w:ascii="맑은 고딕" w:hAnsi="맑은 고딕" w:eastAsia="맑은 고딕"/>
          <w:sz w:val="20"/>
        </w:rPr>
        <w:t>상관이지 인과가 아니다. 고정효과로 지역·연도 교란을 상당 부분 통제했으나, 관측 데이터 기반 분석을 실험적 인과로 과대 해석해서는 안 된다.</w:t>
      </w:r>
    </w:p>
    <w:p/>
    <w:p>
      <w:pPr>
        <w:spacing w:after="80"/>
      </w:pPr>
      <w:r>
        <w:rPr>
          <w:rFonts w:ascii="맑은 고딕" w:hAnsi="맑은 고딕" w:eastAsia="맑은 고딕"/>
          <w:b/>
          <w:i w:val="0"/>
          <w:sz w:val="20"/>
        </w:rPr>
        <w:t>참고문헌</w:t>
      </w:r>
    </w:p>
    <w:p>
      <w:pPr>
        <w:spacing w:after="40"/>
      </w:pPr>
      <w:r>
        <w:rPr>
          <w:rFonts w:ascii="맑은 고딕" w:hAnsi="맑은 고딕" w:eastAsia="맑은 고딕"/>
          <w:b w:val="0"/>
          <w:i w:val="0"/>
          <w:color w:val="5A5A5A"/>
          <w:sz w:val="18"/>
        </w:rPr>
        <w:t>Schlenker, W., &amp; Roberts, M. J. (2009). Nonlinear temperature effects indicate severe damages to U.S. crop yields under climate change. PNAS, 106(37), 15594–15598.</w:t>
      </w:r>
    </w:p>
    <w:p>
      <w:pPr>
        <w:spacing w:after="40"/>
      </w:pPr>
      <w:r>
        <w:rPr>
          <w:rFonts w:ascii="맑은 고딕" w:hAnsi="맑은 고딕" w:eastAsia="맑은 고딕"/>
          <w:b w:val="0"/>
          <w:i w:val="0"/>
          <w:color w:val="5A5A5A"/>
          <w:sz w:val="18"/>
        </w:rPr>
        <w:t>Metawa, N., Hassan, M. K., &amp; Elhoseny, M. (2017). Genetic algorithm based model for optimizing bank lending decisions. Expert Systems with Applications, 80, 75–82.</w:t>
      </w:r>
    </w:p>
    <w:p>
      <w:pPr>
        <w:spacing w:after="120"/>
      </w:pPr>
      <w:r>
        <w:rPr>
          <w:rFonts w:ascii="맑은 고딕" w:hAnsi="맑은 고딕" w:eastAsia="맑은 고딕"/>
          <w:b w:val="0"/>
          <w:i w:val="0"/>
          <w:color w:val="5A5A5A"/>
          <w:sz w:val="18"/>
        </w:rPr>
        <w:t>USDA ERS. Commodity Costs and Returns (옥수수·대두 operating cost 기준).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36" w:lineRule="auto"/>
    </w:pPr>
    <w:rPr>
      <w:rFonts w:ascii="맑은 고딕" w:hAnsi="맑은 고딕" w:eastAsia="맑은 고딕"/>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color w:val="1A1A1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