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8, 10, 12.9 – 12.12);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tổng hợp của anh: </w:t>
      </w:r>
      <w:r>
        <w:rPr>
          <w:rFonts w:ascii="Consolas" w:hAnsi="Consolas"/>
          <w:sz w:val="19"/>
        </w:rPr>
        <w:t>GLS-QLSX-APIs/docs/PHIEU-THU-CHI-DEMOLAO-TONG-HOP.md</w:t>
      </w:r>
      <w:r>
        <w:t>.</w:t>
      </w:r>
    </w:p>
    <w:p>
      <w:pPr>
        <w:jc w:val="both"/>
      </w:pPr>
      <w:r>
        <w:t xml:space="preserve">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mới. Anh triển khai xong thì đổi link theo mục 4.</w:t>
      </w:r>
    </w:p>
    <w:p>
      <w:pPr>
        <w:pStyle w:val="Heading1"/>
      </w:pPr>
      <w:r>
        <w:rPr>
          <w:color w:val="145C4A"/>
        </w:rPr>
        <w:t>1. Các luồng đã nối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/api/handover/…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sửa source (mục 2), chạy ở máy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 xml:space="preserve">đã tạo thật </w:t>
            </w:r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 thật; ghi sổ xong (STATUS 12/13)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 thật sau khi mở 4022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</w:t>
            </w:r>
          </w:p>
        </w:tc>
        <w:tc>
          <w:tcPr>
            <w:tcW w:type="dxa" w:w="2160"/>
          </w:tcPr>
          <w:p>
            <w:r/>
            <w:r>
              <w:t>chạy thật; ghi sổ xong thì phiếu xe thành "đã trả chủ xe"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tự đọc lúc mở phiếu và trước khi cho xe 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 xml:space="preserve">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màn Khách hàng → tab Công nợ</w:t>
            </w:r>
          </w:p>
        </w:tc>
      </w:tr>
      <w:tr>
        <w:tc>
          <w:tcPr>
            <w:tcW w:type="dxa" w:w="2160"/>
          </w:tcPr>
          <w:p>
            <w:r/>
            <w:r>
              <w:t>Rút phiếu chi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ghi sổ rồi thì không rút, báo đối soát</w:t>
            </w:r>
          </w:p>
        </w:tc>
      </w:tr>
    </w:tbl>
    <w:p/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(bỏ ghi cứng).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t xml:space="preserve">Vụ việc: có từ khoá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xe, tìm trên toàn bộ DO, Total đúng sau lọc; nguồn cũ thì lọc trong trang như trước.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Phiếu thu / chi: </w:t>
            </w:r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toán, tài khoản tiền mặc định tự điền đúng (gửi kèm loại tiền); </w:t>
            </w:r>
            <w:r>
              <w:rPr>
                <w:rFonts w:ascii="Consolas" w:hAnsi="Consolas"/>
                <w:sz w:val="19"/>
              </w:rPr>
              <w:t>Amount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BaseAmount</w:t>
            </w:r>
            <w:r>
              <w:t xml:space="preserve"> header tách đúng nguyên tệ / quy đổi; phân loại theo mã loại chứng từ, không theo tên. Sửa mục 9 câu 1 · 2 · 6 tài liệu của anh.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nguồn; DO hiện số phiếu, xe, tài xế; tỷ giá đọc xuôi.</w:t>
            </w:r>
          </w:p>
        </w:tc>
      </w:tr>
    </w:tbl>
    <w:p/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>Quốc gia 11 nay có 497 mã. Trong hai repo không chỗ nào ghi cứng 137 / 402.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t xml:space="preserve">Đối tượng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>, hai SO ở mục 1, các phiếu chi thử. Phiếu chi thử chưa ghi sổ đã được rút.</w:t>
      </w:r>
    </w:p>
    <w:p>
      <w:pPr>
        <w:pStyle w:val="Heading1"/>
      </w:pPr>
      <w:r>
        <w:rPr>
          <w:color w:val="145C4A"/>
        </w:rPr>
        <w:t>4. Khi anh triển khai: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tài khoản tích hợp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pStyle w:val="Heading1"/>
      </w:pPr>
      <w:r>
        <w:rPr>
          <w:color w:val="145C4A"/>
        </w:rPr>
        <w:t>5. Việc còn mở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Bút toán chi phí thuê xe</w:t>
            </w:r>
            <w:r>
              <w:t xml:space="preserve"> </w:t>
            </w:r>
            <w:r>
              <w:rPr>
                <w:i/>
              </w:rPr>
              <w:t>Nợ 621 / Có 4022</w:t>
            </w:r>
            <w:r>
              <w:t xml:space="preserve"> (không qua tiền)</w:t>
            </w:r>
          </w:p>
        </w:tc>
        <w:tc>
          <w:tcPr>
            <w:tcW w:type="dxa" w:w="2880"/>
          </w:tcPr>
          <w:p>
            <w:r/>
            <w:r>
              <w:t xml:space="preserve">Source chưa có chứng từ bút toán tổng hợp; định nghĩa thủ tục sổ cái chỉ nằm trong DB. Bên em đề nghị đường </w:t>
            </w:r>
            <w:r>
              <w:rPr>
                <w:rFonts w:ascii="Consolas" w:hAnsi="Consolas"/>
                <w:sz w:val="19"/>
              </w:rPr>
              <w:t>POST 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>), xem hợp đồng 12.12.4.</w:t>
            </w:r>
          </w:p>
        </w:tc>
        <w:tc>
          <w:tcPr>
            <w:tcW w:type="dxa" w:w="2880"/>
          </w:tcPr>
          <w:p>
            <w:r/>
            <w:r>
              <w:t xml:space="preserve">bên em làm khi đọc được cấu trúc sổ cái (chủ dự án cấp quyền đọc DB, hoặc anh gửi định nghĩa 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Tài khoản tích hợp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epl_logistics</w:t>
            </w:r>
            <w:r>
              <w:t xml:space="preserve"> thay token cá nhân</w:t>
            </w:r>
          </w:p>
        </w:tc>
        <w:tc>
          <w:tcPr>
            <w:tcW w:type="dxa" w:w="2880"/>
          </w:tcPr>
          <w:p>
            <w:r/>
            <w:r>
              <w:t xml:space="preserve">Tệp tạo đã sẵn: nhân viên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chi nhánh 1368, cùng nhóm quyền người gửi hiện nay, mật khẩu chỉ nằm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>. Chủ dự án chạy tệp.</w:t>
            </w:r>
          </w:p>
        </w:tc>
        <w:tc>
          <w:tcPr>
            <w:tcW w:type="dxa" w:w="2880"/>
          </w:tcPr>
          <w:p>
            <w:r/>
            <w:r>
              <w:t xml:space="preserve">chủ dự án chạy; anh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vào cấu hình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USD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 đang tắt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t>anh bật trong danh mục tiền tệ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  <w:tr>
        <w:tc>
          <w:tcPr>
            <w:tcW w:type="dxa" w:w="2880"/>
          </w:tcPr>
          <w:p>
            <w:r/>
            <w:r>
              <w:t>Màn "Tài khoản" ở hồ sơ nhân viên bên WEB</w:t>
            </w:r>
          </w:p>
        </w:tc>
        <w:tc>
          <w:tcPr>
            <w:tcW w:type="dxa" w:w="2880"/>
          </w:tcPr>
          <w:p>
            <w:r/>
            <w:r>
              <w:t xml:space="preserve">chưa nối API </w:t>
            </w:r>
            <w:r>
              <w:rPr>
                <w:rFonts w:ascii="Consolas" w:hAnsi="Consolas"/>
                <w:sz w:val="19"/>
              </w:rPr>
              <w:t>account/upsert</w:t>
            </w:r>
          </w:p>
        </w:tc>
        <w:tc>
          <w:tcPr>
            <w:tcW w:type="dxa" w:w="2880"/>
          </w:tcPr>
          <w:p>
            <w:r/>
            <w:r>
              <w:t>anh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).</w:t>
      </w:r>
    </w:p>
    <w:p>
      <w:pPr>
        <w:pStyle w:val="ListBullet"/>
      </w:pPr>
      <w:r>
        <w:t xml:space="preserve">Bảng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</w:p>
    <w:p>
      <w:pPr>
        <w:pStyle w:val="ListBullet2"/>
      </w:pPr>
      <w:r>
        <w:rPr>
          <w:rFonts w:ascii="Consolas" w:hAnsi="Consolas"/>
          <w:sz w:val="19"/>
        </w:rPr>
        <w:t>kiem/thu_xe_thue_ke_toan.py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</w:p>
    <w:p>
      <w:pPr>
        <w:pStyle w:val="ListBullet2"/>
      </w:pPr>
      <w:r>
        <w:rPr>
          <w:rFonts w:ascii="Consolas" w:hAnsi="Consolas"/>
          <w:sz w:val="19"/>
        </w:rPr>
        <w:t>kiem/thu_ban_giao.py</w:t>
      </w:r>
    </w:p>
    <w:p>
      <w:pPr>
        <w:pStyle w:val="ListBullet2"/>
      </w:pPr>
      <w:r>
        <w:rPr>
          <w:rFonts w:ascii="Consolas" w:hAnsi="Consolas"/>
          <w:sz w:val="19"/>
        </w:rPr>
        <w:t>kiem/thu_dinh_khoan.py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