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(34 bảng) · </w:t>
      </w:r>
      <w:r>
        <w:rPr>
          <w:b/>
        </w:rPr>
        <w:t>C. API</w:t>
      </w:r>
    </w:p>
    <w:p>
      <w:pPr>
        <w:jc w:val="both"/>
      </w:pPr>
      <w:r>
        <w:t xml:space="preserve">(123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không có cước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thuê lại xe ngoài giá 1).</w:t>
      </w:r>
    </w:p>
    <w:p>
      <w:pPr>
        <w:jc w:val="both"/>
      </w:pPr>
      <w:r>
        <w:t xml:space="preserve">Giao diện giấu bằng lớp CSS </w:t>
      </w:r>
      <w:r>
        <w:rPr>
          <w:rFonts w:ascii="Consolas" w:hAnsi="Consolas"/>
          <w:sz w:val="19"/>
        </w:rPr>
        <w:t>tien</w:t>
      </w:r>
      <w:r>
        <w:t xml:space="preserve"> trên thân trang </w:t>
      </w:r>
      <w:r>
        <w:rPr>
          <w:rFonts w:ascii="Consolas" w:hAnsi="Consolas"/>
          <w:sz w:val="19"/>
        </w:rPr>
        <w:t>vai-&lt;vai&gt;</w:t>
      </w:r>
      <w:r>
        <w:t xml:space="preserve">; </w:t>
      </w:r>
      <w:r>
        <w:rPr>
          <w:b/>
        </w:rPr>
        <w:t>máy chủ cũng bỏ hẳn các khoá đó</w:t>
      </w:r>
      <w:r>
        <w:t xml:space="preserve"> ở</w:t>
      </w:r>
    </w:p>
    <w:p>
      <w:pPr>
        <w:jc w:val="both"/>
      </w:pPr>
      <w:r>
        <w:t>hai báo cáo của màn Tổng quan (</w:t>
      </w:r>
      <w:r>
        <w:rPr>
          <w:rFonts w:ascii="Consolas" w:hAnsi="Consolas"/>
          <w:sz w:val="19"/>
        </w:rPr>
        <w:t>thay_tien_ban()</w:t>
      </w:r>
      <w:r>
        <w:t xml:space="preserve"> trong </w:t>
      </w:r>
      <w:r>
        <w:rPr>
          <w:rFonts w:ascii="Consolas" w:hAnsi="Consolas"/>
          <w:sz w:val="19"/>
        </w:rPr>
        <w:t>services/phan_quyen.py</w:t>
      </w:r>
      <w:r>
        <w:t>). Các API khác còn trả</w:t>
      </w:r>
    </w:p>
    <w:p>
      <w:pPr>
        <w:jc w:val="both"/>
      </w:pPr>
      <w:r>
        <w:t xml:space="preserve">đủ — xem mục B1 trong </w:t>
      </w:r>
      <w:r>
        <w:rPr>
          <w:rFonts w:ascii="Consolas" w:hAnsi="Consolas"/>
          <w:sz w:val="19"/>
        </w:rPr>
        <w:t>CONG_VIEC_CHO_ANH_KHAMPLA_CHOT.md</w:t>
      </w:r>
      <w:r>
        <w:t>.</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625/371</w:t>
      </w:r>
      <w:r>
        <w:t xml:space="preserve"> (xe nhà) hoặc</w:t>
      </w:r>
    </w:p>
    <w:p>
      <w:pPr>
        <w:jc w:val="both"/>
      </w:pPr>
      <w:r>
        <w:t xml:space="preserve">   </w:t>
      </w:r>
      <w:r>
        <w:rPr>
          <w:rFonts w:ascii="Consolas" w:hAnsi="Consolas"/>
          <w:sz w:val="19"/>
        </w:rPr>
        <w:t>4022/371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Xe liên kết</w:t>
      </w:r>
      <w:r>
        <w:t>: EPL trả chủ xe = giá thuê × tấn − 2 %/phiếu − một đơn vị tiền mỗi tấn vượt 40 t − các</w:t>
      </w:r>
    </w:p>
    <w:p>
      <w:pPr>
        <w:jc w:val="both"/>
      </w:pPr>
      <w:r>
        <w:t xml:space="preserve">  khoản EPL đã ứng (quy về tiền thuê). Lãi = tiền khách trả − tiền thuê, so với nhau sau khi cùng quy</w:t>
      </w:r>
    </w:p>
    <w:p>
      <w:pPr>
        <w:jc w:val="both"/>
      </w:pPr>
      <w:r>
        <w:t xml:space="preserve">  về Kíp. Quỹ bấm *Trả chủ xe* sau khi phiếu khoá.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A6. Sổ chứng từ</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 xml:space="preserve">không cộng sổ. Mã tài khoản đang dùng: kho </w:t>
      </w:r>
      <w:r>
        <w:rPr>
          <w:rFonts w:ascii="Consolas" w:hAnsi="Consolas"/>
          <w:sz w:val="19"/>
        </w:rPr>
        <w:t>371</w:t>
      </w:r>
      <w:r>
        <w:t xml:space="preserve">, nhà cung cấp </w:t>
      </w:r>
      <w:r>
        <w:rPr>
          <w:rFonts w:ascii="Consolas" w:hAnsi="Consolas"/>
          <w:sz w:val="19"/>
        </w:rPr>
        <w:t>402</w:t>
      </w:r>
      <w:r>
        <w:t xml:space="preserve">,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để trống tên, chờ bên kế toán cấp (</w:t>
      </w:r>
      <w:r>
        <w:rPr>
          <w:rFonts w:ascii="Consolas" w:hAnsi="Consolas"/>
          <w:sz w:val="19"/>
        </w:rPr>
        <w:t>TIEN</w:t>
      </w:r>
      <w:r>
        <w:t xml:space="preserve"> trong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34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r>
              <w:t xml:space="preserve">, </w:t>
            </w:r>
            <w:r>
              <w:rPr>
                <w:rFonts w:ascii="Consolas" w:hAnsi="Consolas"/>
                <w:sz w:val="19"/>
              </w:rPr>
              <w:t>driver_licenses</w:t>
            </w:r>
          </w:p>
        </w:tc>
        <w:tc>
          <w:tcPr>
            <w:tcW w:type="dxa" w:w="2880"/>
          </w:tcPr>
          <w:p>
            <w:r/>
            <w:r>
              <w:t>Tài xế và bằng lái</w:t>
            </w:r>
          </w:p>
        </w:tc>
        <w:tc>
          <w:tcPr>
            <w:tcW w:type="dxa" w:w="2880"/>
          </w:tcPr>
          <w:p>
            <w:r/>
            <w:r>
              <w:rPr>
                <w:rFonts w:ascii="Consolas" w:hAnsi="Consolas"/>
                <w:sz w:val="19"/>
              </w:rPr>
              <w:t>license_no</w:t>
            </w:r>
            <w:r>
              <w:t xml:space="preserve">, </w:t>
            </w:r>
            <w:r>
              <w:rPr>
                <w:rFonts w:ascii="Consolas" w:hAnsi="Consolas"/>
                <w:sz w:val="19"/>
              </w:rPr>
              <w:t>expiry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Nhà cung cấp và các đợt trả</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w:t>
            </w:r>
            <w:r>
              <w:t xml:space="preserve"> (cước và tiền tệ của nó), phần xe liên kết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112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/api/trips/{id}/invoice</w:t>
            </w:r>
          </w:p>
        </w:tc>
        <w:tc>
          <w:tcPr>
            <w:tcW w:type="dxa" w:w="4320"/>
          </w:tcPr>
          <w:p>
            <w:r/>
            <w:r>
              <w:t xml:space="preserve">Xuất hoá đơn. </w:t>
            </w:r>
            <w:r>
              <w:rPr>
                <w:b/>
              </w:rPr>
              <w:t>Từ chối nếu là DO gom</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w:t>
            </w:r>
          </w:p>
        </w:tc>
      </w:tr>
      <w:tr>
        <w:tc>
          <w:tcPr>
            <w:tcW w:type="dxa" w:w="4320"/>
          </w:tcPr>
          <w:p>
            <w:r/>
            <w:r>
              <w:rPr>
                <w:rFonts w:ascii="Consolas" w:hAnsi="Consolas"/>
                <w:sz w:val="19"/>
              </w:rPr>
              <w:t>POST /api/trips/{id}/tra-chu-xe</w:t>
            </w:r>
          </w:p>
        </w:tc>
        <w:tc>
          <w:tcPr>
            <w:tcW w:type="dxa" w:w="4320"/>
          </w:tcPr>
          <w:p>
            <w:r/>
            <w:r>
              <w:t xml:space="preserve">Quỹ trả chủ xe liên kết → </w:t>
            </w:r>
            <w:r>
              <w:rPr>
                <w:rFonts w:ascii="Consolas" w:hAnsi="Consolas"/>
                <w:sz w:val="19"/>
              </w:rPr>
              <w:t>PC_CX</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Khách hàng</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Xe đầu kéo, chi tiết kèm lịch sử rơ-moóc, chi phí sửa chữa, phiếu gần đây</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Ba bảng báo cáo trong Excel của họ</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Sếp đặt địa chỉ API và token kế toán ngay trong màn hình, không cần khởi động lại;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PHIEU_GOM</w:t>
            </w:r>
            <w:r>
              <w:t xml:space="preserve"> (409)</w:t>
            </w:r>
          </w:p>
        </w:tc>
        <w:tc>
          <w:tcPr>
            <w:tcW w:type="dxa" w:w="4320"/>
          </w:tcPr>
          <w:p>
            <w:r/>
            <w:r>
              <w:t>Xuất hoá đơn cho phiếu gom</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