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(màn </w:t>
      </w:r>
      <w:r>
        <w:rPr>
          <w:b/>
        </w:rPr>
        <w:t>Cấp phát</w:t>
      </w:r>
      <w:r>
        <w:t xml:space="preserve">) </w:t>
      </w:r>
      <w:r>
        <w:rPr>
          <w:b/>
        </w:rPr>
        <w:t>chưa đổi</w:t>
      </w:r>
      <w:r>
        <w:t xml:space="preserve">, vẫn ghi tab </w:t>
      </w:r>
      <w:r>
        <w:rPr>
          <w:i/>
        </w:rPr>
        <w:t>Phiếu lĩnh nhiên liệu</w:t>
      </w:r>
      <w:r>
        <w:t xml:space="preserve">, </w:t>
      </w:r>
      <w:r>
        <w:rPr>
          <w:i/>
        </w:rPr>
        <w:t>Phiếu tạm ứng đi đường</w:t>
      </w:r>
      <w:r>
        <w:t xml:space="preserve"> — phần kho, tiền là của anh Toàn, anh Tune. Tờ </w:t>
      </w:r>
      <w:r>
        <w:rPr>
          <w:b/>
        </w:rPr>
        <w:t>PC_TU</w:t>
      </w:r>
      <w:r>
        <w:t xml:space="preserve"> </w:t>
      </w:r>
      <w:r>
        <w:rPr>
          <w:i/>
        </w:rPr>
        <w:t>Phiếu chi tạm ứng</w:t>
      </w:r>
      <w:r>
        <w:t xml:space="preserve"> là tờ quỹ chi tiền thật, giữ tên.</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đề nghị tạm ứng, phiếu đề nghị xuất nhiên liệu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(thanh nút trên cùng của phiếu). Máy lập mỗi kho một tờ phiếu đề nghị xuất nhiên liệu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(thanh nút trên cùng):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đề nghị xuất nhiên liệu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đề nghị xuất nhiên liệu,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đề nghị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tạm ứng đi đường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tạm ứng đi đường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tạm ứng đi đường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tạm ứng đi đường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(dầu 8.550.000 + tạm ứng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Mở màn Phiếu chi · Phiếu thu ở tờ phiếu đề nghị xuất nhiên liệu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