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Mở một phiếu </w:t>
      </w:r>
      <w:r>
        <w:rPr>
          <w:b/>
        </w:rPr>
        <w:t>xe thuê ngoài đã khoá</w:t>
      </w:r>
      <w:r>
        <w:t xml:space="preserve"> (ví dụ </w:t>
      </w:r>
      <w:r>
        <w:rPr>
          <w:rFonts w:ascii="Consolas" w:hAnsi="Consolas"/>
          <w:sz w:val="19"/>
        </w:rPr>
        <w:t>T4-0430-08/EPL</w:t>
      </w:r>
      <w:r>
        <w:t xml:space="preserve">) → bấm </w:t>
      </w:r>
      <w:r>
        <w:rPr>
          <w:b/>
        </w:rPr>
        <w:t>Trả chủ xe · … USD</w:t>
      </w:r>
      <w:r>
        <w:t>.</w:t>
      </w:r>
    </w:p>
    <w:p>
      <w:pPr>
        <w:jc w:val="both"/>
      </w:pPr>
      <w:r>
        <w:t>*Phải thấy:* hộp tính rõ *tiền thuê − phí 2 % − quá tải − các khoản EPL đã ứng*; xong sinh tờ</w:t>
      </w:r>
    </w:p>
    <w:p>
      <w:pPr>
        <w:jc w:val="both"/>
      </w:pPr>
      <w:r>
        <w:t>*Phiếu chi trả chủ xe liên kết*.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