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(34 bảng) · </w:t>
      </w:r>
      <w:r>
        <w:rPr>
          <w:b/>
        </w:rPr>
        <w:t>C. API</w:t>
      </w:r>
    </w:p>
    <w:p>
      <w:pPr>
        <w:jc w:val="both"/>
      </w:pPr>
      <w:r>
        <w:t xml:space="preserve">(124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cước riêng cho chặng gom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thuê lại xe ngoài giá 1).</w:t>
      </w:r>
    </w:p>
    <w:p>
      <w:pPr>
        <w:jc w:val="both"/>
      </w:pPr>
      <w:r>
        <w:t xml:space="preserve">Giao diện giấu bằng lớp CSS </w:t>
      </w:r>
      <w:r>
        <w:rPr>
          <w:rFonts w:ascii="Consolas" w:hAnsi="Consolas"/>
          <w:sz w:val="19"/>
        </w:rPr>
        <w:t>tien</w:t>
      </w:r>
      <w:r>
        <w:t xml:space="preserve"> trên thân trang </w:t>
      </w:r>
      <w:r>
        <w:rPr>
          <w:rFonts w:ascii="Consolas" w:hAnsi="Consolas"/>
          <w:sz w:val="19"/>
        </w:rPr>
        <w:t>vai-&lt;vai&gt;</w:t>
      </w:r>
      <w:r>
        <w:t xml:space="preserve">; </w:t>
      </w:r>
      <w:r>
        <w:rPr>
          <w:b/>
        </w:rPr>
        <w:t>máy chủ cũng bỏ hẳn các khoá đó</w:t>
      </w:r>
      <w:r>
        <w:t xml:space="preserve"> ở</w:t>
      </w:r>
    </w:p>
    <w:p>
      <w:pPr>
        <w:jc w:val="both"/>
      </w:pPr>
      <w:r>
        <w:t>hai báo cáo của màn Tổng quan (</w:t>
      </w:r>
      <w:r>
        <w:rPr>
          <w:rFonts w:ascii="Consolas" w:hAnsi="Consolas"/>
          <w:sz w:val="19"/>
        </w:rPr>
        <w:t>thay_tien_ban()</w:t>
      </w:r>
      <w:r>
        <w:t xml:space="preserve"> trong </w:t>
      </w:r>
      <w:r>
        <w:rPr>
          <w:rFonts w:ascii="Consolas" w:hAnsi="Consolas"/>
          <w:sz w:val="19"/>
        </w:rPr>
        <w:t>services/phan_quyen.py</w:t>
      </w:r>
      <w:r>
        <w:t>). Các API khác còn trả</w:t>
      </w:r>
    </w:p>
    <w:p>
      <w:pPr>
        <w:jc w:val="both"/>
      </w:pPr>
      <w:r>
        <w:t xml:space="preserve">đủ — xem mục B1 trong </w:t>
      </w:r>
      <w:r>
        <w:rPr>
          <w:rFonts w:ascii="Consolas" w:hAnsi="Consolas"/>
          <w:sz w:val="19"/>
        </w:rPr>
        <w:t>CONG_VIEC_CHO_ANH_KHAMPLA_CHOT.md</w:t>
      </w:r>
      <w:r>
        <w:t>.</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625/1371</w:t>
      </w:r>
      <w:r>
        <w:t xml:space="preserve"> (xe nhà) hoặc</w:t>
      </w:r>
    </w:p>
    <w:p>
      <w:pPr>
        <w:jc w:val="both"/>
      </w:pPr>
      <w:r>
        <w:t xml:space="preserve">   </w:t>
      </w:r>
      <w:r>
        <w:rPr>
          <w:rFonts w:ascii="Consolas" w:hAnsi="Consolas"/>
          <w:sz w:val="19"/>
        </w:rPr>
        <w:t>4022/1371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Xe liên kết</w:t>
      </w:r>
      <w:r>
        <w:t>: EPL trả chủ xe = giá thuê × tấn − 2 %/phiếu − một đơn vị tiền mỗi tấn vượt 40 t − các</w:t>
      </w:r>
    </w:p>
    <w:p>
      <w:pPr>
        <w:jc w:val="both"/>
      </w:pPr>
      <w:r>
        <w:t xml:space="preserve">  khoản EPL đã ứng (quy về tiền thuê). Lãi = tiền khách trả − tiền thuê, so với nhau sau khi cùng quy</w:t>
      </w:r>
    </w:p>
    <w:p>
      <w:pPr>
        <w:jc w:val="both"/>
      </w:pPr>
      <w:r>
        <w:t xml:space="preserve">  về Kíp. Quỹ bấm *Trả chủ xe* sau khi phiếu khoá.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không cộng sổ. Mã tài khoản (anh Khampla trả lời 22/09, theo sá-la-ban kế toán doanh nghiệp Lào): kho</w:t>
      </w:r>
    </w:p>
    <w:p>
      <w:pPr>
        <w:jc w:val="both"/>
      </w:pPr>
      <w:r>
        <w:rPr>
          <w:rFonts w:ascii="Consolas" w:hAnsi="Consolas"/>
          <w:sz w:val="19"/>
        </w:rPr>
        <w:t>1371</w:t>
      </w:r>
      <w:r>
        <w:t xml:space="preserve"> (con của 137), nhà cung cấp </w:t>
      </w:r>
      <w:r>
        <w:rPr>
          <w:rFonts w:ascii="Consolas" w:hAnsi="Consolas"/>
          <w:sz w:val="19"/>
        </w:rPr>
        <w:t>4021</w:t>
      </w:r>
      <w:r>
        <w:t xml:space="preserve"> (con của 402, tách theo NCC), tiền mặt Kíp </w:t>
      </w:r>
      <w:r>
        <w:rPr>
          <w:rFonts w:ascii="Consolas" w:hAnsi="Consolas"/>
          <w:sz w:val="19"/>
        </w:rPr>
        <w:t>1011</w:t>
      </w:r>
      <w:r>
        <w:t>, tiền mặt</w:t>
      </w:r>
    </w:p>
    <w:p>
      <w:pPr>
        <w:jc w:val="both"/>
      </w:pPr>
      <w:r>
        <w:t xml:space="preserve">ngoại tệ </w:t>
      </w:r>
      <w:r>
        <w:rPr>
          <w:rFonts w:ascii="Consolas" w:hAnsi="Consolas"/>
          <w:sz w:val="19"/>
        </w:rPr>
        <w:t>1012</w:t>
      </w:r>
      <w:r>
        <w:t xml:space="preserve">, ngân hàng Kíp </w:t>
      </w:r>
      <w:r>
        <w:rPr>
          <w:rFonts w:ascii="Consolas" w:hAnsi="Consolas"/>
          <w:sz w:val="19"/>
        </w:rPr>
        <w:t>1021</w:t>
      </w:r>
      <w:r>
        <w:t xml:space="preserve">, ngân hàng ngoại tệ </w:t>
      </w:r>
      <w:r>
        <w:rPr>
          <w:rFonts w:ascii="Consolas" w:hAnsi="Consolas"/>
          <w:sz w:val="19"/>
        </w:rPr>
        <w:t>1022</w:t>
      </w:r>
      <w:r>
        <w:t xml:space="preserve"> — vế tiền chọn tự động theo cách thu/chi</w:t>
      </w:r>
    </w:p>
    <w:p>
      <w:pPr>
        <w:jc w:val="both"/>
      </w:pPr>
      <w:r>
        <w:t xml:space="preserve">và tiền tệ của tờ;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 xml:space="preserve">để trống tên, chờ bên kế toán cấp (hàng khách gửi, giá vốn). Tất cả nằm ở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34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Nhà cung cấp và các đợt trả</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w:t>
            </w:r>
            <w:r>
              <w:t xml:space="preserve"> (cước và tiền tệ của nó), phần xe liên kết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112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 </w:t>
            </w:r>
            <w:r>
              <w:rPr>
                <w:b/>
              </w:rPr>
              <w:t>số và ngày phiếu quặng</w:t>
            </w:r>
            <w:r>
              <w:t xml:space="preserve"> cũng vậy (C3.7: kế toán nhập khi nhận giấy, Bãi chỉ đính kèm ảnh)</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/api/trips/{id}/bao-ve</w:t>
            </w:r>
          </w:p>
        </w:tc>
        <w:tc>
          <w:tcPr>
            <w:tcW w:type="dxa" w:w="4320"/>
          </w:tcPr>
          <w:p>
            <w:r/>
            <w:r>
              <w:rPr>
                <w:b/>
              </w:rPr>
              <w:t>Tài xế báo đã về</w:t>
            </w:r>
            <w:r>
              <w:t xml:space="preserve"> (C2.1): ngày về, km về. Chỉ ghi hai số và đánh mốc tới điểm cuối, không tự chuyển "đã tới" — Bãi cân rồi mới xác nhận</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/api/trips/{id}/invoice</w:t>
            </w:r>
          </w:p>
        </w:tc>
        <w:tc>
          <w:tcPr>
            <w:tcW w:type="dxa" w:w="4320"/>
          </w:tcPr>
          <w:p>
            <w:r/>
            <w:r>
              <w:t>Xuất hoá đơn — phiếu gom cũng xuất được (B4: khách trả cước riêng cho chặng gom)</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w:t>
            </w:r>
          </w:p>
        </w:tc>
      </w:tr>
      <w:tr>
        <w:tc>
          <w:tcPr>
            <w:tcW w:type="dxa" w:w="4320"/>
          </w:tcPr>
          <w:p>
            <w:r/>
            <w:r>
              <w:rPr>
                <w:rFonts w:ascii="Consolas" w:hAnsi="Consolas"/>
                <w:sz w:val="19"/>
              </w:rPr>
              <w:t>POST /api/trips/{id}/tra-chu-xe</w:t>
            </w:r>
          </w:p>
        </w:tc>
        <w:tc>
          <w:tcPr>
            <w:tcW w:type="dxa" w:w="4320"/>
          </w:tcPr>
          <w:p>
            <w:r/>
            <w:r>
              <w:t xml:space="preserve">Quỹ trả chủ xe liên kết → </w:t>
            </w:r>
            <w:r>
              <w:rPr>
                <w:rFonts w:ascii="Consolas" w:hAnsi="Consolas"/>
                <w:sz w:val="19"/>
              </w:rPr>
              <w:t>PC_CX</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Khách hàng</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Xe đầu kéo, chi tiết kèm lịch sử rơ-moóc, chi phí sửa chữa, phiếu gần đây</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Ba bảng báo cáo trong Excel của họ</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