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3C3C3C"/>
          <w:sz w:val="26"/>
        </w:rPr>
        <w:t>HLI × IIIOHR</w:t>
      </w:r>
    </w:p>
    <w:p>
      <w:pPr>
        <w:pStyle w:val="Title"/>
        <w:jc w:val="center"/>
      </w:pPr>
      <w:r>
        <w:t>Academic Blueprint and Master Table of Contents</w:t>
      </w:r>
    </w:p>
    <w:p>
      <w:pPr>
        <w:pStyle w:val="ManualHeading2"/>
        <w:jc w:val="center"/>
      </w:pPr>
      <w:r>
        <w:t>Postgraduate Certificate in Clinical Trichology and Hair Restoration Medicine</w:t>
      </w:r>
    </w:p>
    <w:p>
      <w:pPr>
        <w:pStyle w:val="Subtitle"/>
        <w:jc w:val="center"/>
      </w:pPr>
      <w:r>
        <w:t>Governing document for manual development, doctor education standards, and LMS architecture for iiohr.com</w:t>
      </w:r>
    </w:p>
    <w:p/>
    <w:tbl>
      <w:tblPr>
        <w:tblW w:type="auto" w:w="0"/>
        <w:jc w:val="center"/>
        <w:tblLayout w:type="fixed"/>
        <w:tblLook w:firstColumn="1" w:firstRow="1" w:lastColumn="0" w:lastRow="0" w:noHBand="0" w:noVBand="1" w:val="04A0"/>
      </w:tblPr>
      <w:tblGrid>
        <w:gridCol w:w="4873"/>
        <w:gridCol w:w="4873"/>
      </w:tblGrid>
      <w:tr>
        <w:tc>
          <w:tcPr>
            <w:tcW w:type="dxa" w:w="2835"/>
            <w:vAlign w:val="center"/>
            <w:tcMar>
              <w:top w:w="90" w:type="dxa"/>
              <w:start w:w="110" w:type="dxa"/>
              <w:bottom w:w="90" w:type="dxa"/>
              <w:end w:w="110" w:type="dxa"/>
            </w:tcMar>
            <w:shd w:fill="EAF1F7"/>
          </w:tcPr>
          <w:p>
            <w:pPr>
              <w:pStyle w:val="BodyCustom"/>
            </w:pPr>
            <w:r>
              <w:rPr>
                <w:b/>
              </w:rPr>
              <w:t>Document purpose</w:t>
            </w:r>
          </w:p>
        </w:tc>
        <w:tc>
          <w:tcPr>
            <w:tcW w:type="dxa" w:w="5102"/>
            <w:vAlign w:val="center"/>
            <w:tcMar>
              <w:top w:w="90" w:type="dxa"/>
              <w:start w:w="110" w:type="dxa"/>
              <w:bottom w:w="90" w:type="dxa"/>
              <w:end w:w="110" w:type="dxa"/>
            </w:tcMar>
          </w:tcPr>
          <w:p>
            <w:pPr>
              <w:pStyle w:val="BodyCustom"/>
            </w:pPr>
            <w:r>
              <w:t>Academic and digital course architecture</w:t>
            </w:r>
          </w:p>
        </w:tc>
      </w:tr>
      <w:tr>
        <w:tc>
          <w:tcPr>
            <w:tcW w:type="dxa" w:w="2835"/>
            <w:vAlign w:val="center"/>
            <w:tcMar>
              <w:top w:w="90" w:type="dxa"/>
              <w:start w:w="110" w:type="dxa"/>
              <w:bottom w:w="90" w:type="dxa"/>
              <w:end w:w="110" w:type="dxa"/>
            </w:tcMar>
            <w:shd w:fill="EAF1F7"/>
          </w:tcPr>
          <w:p>
            <w:pPr>
              <w:pStyle w:val="BodyCustom"/>
            </w:pPr>
            <w:r>
              <w:rPr>
                <w:b/>
              </w:rPr>
              <w:t>Primary audience</w:t>
            </w:r>
          </w:p>
        </w:tc>
        <w:tc>
          <w:tcPr>
            <w:tcW w:type="dxa" w:w="5102"/>
            <w:vAlign w:val="center"/>
            <w:tcMar>
              <w:top w:w="90" w:type="dxa"/>
              <w:start w:w="110" w:type="dxa"/>
              <w:bottom w:w="90" w:type="dxa"/>
              <w:end w:w="110" w:type="dxa"/>
            </w:tcMar>
          </w:tcPr>
          <w:p>
            <w:pPr>
              <w:pStyle w:val="BodyCustom"/>
            </w:pPr>
            <w:r>
              <w:t>Medical doctors and physician-level learners</w:t>
            </w:r>
          </w:p>
        </w:tc>
      </w:tr>
      <w:tr>
        <w:tc>
          <w:tcPr>
            <w:tcW w:type="dxa" w:w="2835"/>
            <w:vAlign w:val="center"/>
            <w:tcMar>
              <w:top w:w="90" w:type="dxa"/>
              <w:start w:w="110" w:type="dxa"/>
              <w:bottom w:w="90" w:type="dxa"/>
              <w:end w:w="110" w:type="dxa"/>
            </w:tcMar>
            <w:shd w:fill="EAF1F7"/>
          </w:tcPr>
          <w:p>
            <w:pPr>
              <w:pStyle w:val="BodyCustom"/>
            </w:pPr>
            <w:r>
              <w:rPr>
                <w:b/>
              </w:rPr>
              <w:t>Planned use</w:t>
            </w:r>
          </w:p>
        </w:tc>
        <w:tc>
          <w:tcPr>
            <w:tcW w:type="dxa" w:w="5102"/>
            <w:vAlign w:val="center"/>
            <w:tcMar>
              <w:top w:w="90" w:type="dxa"/>
              <w:start w:w="110" w:type="dxa"/>
              <w:bottom w:w="90" w:type="dxa"/>
              <w:end w:w="110" w:type="dxa"/>
            </w:tcMar>
          </w:tcPr>
          <w:p>
            <w:pPr>
              <w:pStyle w:val="BodyCustom"/>
            </w:pPr>
            <w:r>
              <w:t>University-ready curriculum backbone + online training build</w:t>
            </w:r>
          </w:p>
        </w:tc>
      </w:tr>
    </w:tbl>
    <w:p>
      <w:pPr>
        <w:pStyle w:val="SmallNote"/>
        <w:jc w:val="center"/>
      </w:pPr>
      <w:r>
        <w:t>Designed as the governing architecture for a postgraduate doctor training program that can later support CPD/CME alignment, university co-badging, and structured online certification.</w:t>
      </w:r>
    </w:p>
    <w:p>
      <w:r>
        <w:br w:type="page"/>
      </w:r>
    </w:p>
    <w:p>
      <w:pPr>
        <w:pStyle w:val="ManualHeading1"/>
      </w:pPr>
      <w:r>
        <w:t>1. Executive Intent</w:t>
      </w:r>
    </w:p>
    <w:p>
      <w:pPr>
        <w:pStyle w:val="BodyCustom"/>
      </w:pPr>
      <w:r>
        <w:t>This document defines the academic structure, certification logic, program outcomes, module architecture, and digital learning map for the IIIOHR doctor education platform. It is intended to govern the next-generation rewrite of the academy’s comprehensive training manual and to serve as the source architecture for the online course environment on iiohr.com.</w:t>
      </w:r>
    </w:p>
    <w:p>
      <w:pPr>
        <w:pStyle w:val="BodyCustom"/>
      </w:pPr>
      <w:r>
        <w:t>The program is designed to elevate doctors beyond introductory trichology into clinically mature, dermatology-adjacent competence in hair and scalp medicine. The emphasis is on diagnostic reasoning, evidence-based management, structured use of trichoscopy and laboratory investigation, disciplined treatment planning, and responsible integration of regenerative and surgical options.</w:t>
      </w:r>
    </w:p>
    <w:p>
      <w:pPr>
        <w:pStyle w:val="BodyCustom"/>
      </w:pPr>
      <w:r>
        <w:t>The academic character of the course should feel postgraduate, clinically serious, and internationally credible. It should not resemble a consumer beauty course, nor a narrowly procedural hair transplant workshop. It must instead function as a physician training pathway in hair loss medicine, scalp disease, regenerative medicine, and hair restoration decision-making.</w:t>
      </w:r>
    </w:p>
    <w:p>
      <w:pPr>
        <w:pStyle w:val="BodyCustom"/>
      </w:pPr>
      <w:r>
        <w:t>External curriculum positioning should remain transparent and academically defensible. Established professional trichology bodies emphasise in-depth knowledge of hair loss and scalp disorders, diagnosis, and treatment, often paired with clinical training or case-based application. Physician-directed medical trichology programs similarly emphasise structured assessment, trichoscopy, targeted management, counselling, and knowing when to treat, reassure, or refer. This blueprint adopts those strengths while extending further into regenerative and surgical science.</w:t>
      </w:r>
    </w:p>
    <w:p>
      <w:pPr>
        <w:pStyle w:val="ManualHeading1"/>
      </w:pPr>
      <w:r>
        <w:t>2. Program Design Principles</w:t>
      </w:r>
    </w:p>
    <w:p>
      <w:pPr>
        <w:pStyle w:val="BodyCustom"/>
        <w:ind w:left="283"/>
      </w:pPr>
      <w:r>
        <w:rPr>
          <w:b/>
        </w:rPr>
        <w:t xml:space="preserve">• </w:t>
      </w:r>
      <w:r>
        <w:t>Diagnostic reasoning over descriptive recall</w:t>
      </w:r>
    </w:p>
    <w:p>
      <w:pPr>
        <w:pStyle w:val="BodyCustom"/>
        <w:ind w:left="283"/>
      </w:pPr>
      <w:r>
        <w:rPr>
          <w:b/>
        </w:rPr>
        <w:t xml:space="preserve">• </w:t>
      </w:r>
      <w:r>
        <w:t>Clear separation of evidence tiers: established, consensus-based, emerging, and academy-signature</w:t>
      </w:r>
    </w:p>
    <w:p>
      <w:pPr>
        <w:pStyle w:val="BodyCustom"/>
        <w:ind w:left="283"/>
      </w:pPr>
      <w:r>
        <w:rPr>
          <w:b/>
        </w:rPr>
        <w:t xml:space="preserve">• </w:t>
      </w:r>
      <w:r>
        <w:t>Strong pathology depth, especially in cicatricial alopecia and inflammatory scalp disease</w:t>
      </w:r>
    </w:p>
    <w:p>
      <w:pPr>
        <w:pStyle w:val="BodyCustom"/>
        <w:ind w:left="283"/>
      </w:pPr>
      <w:r>
        <w:rPr>
          <w:b/>
        </w:rPr>
        <w:t xml:space="preserve">• </w:t>
      </w:r>
      <w:r>
        <w:t>Clinical usability through structured workup and treatment pathways</w:t>
      </w:r>
    </w:p>
    <w:p>
      <w:pPr>
        <w:pStyle w:val="BodyCustom"/>
        <w:ind w:left="283"/>
      </w:pPr>
      <w:r>
        <w:rPr>
          <w:b/>
        </w:rPr>
        <w:t xml:space="preserve">• </w:t>
      </w:r>
      <w:r>
        <w:t>Integration of medicine, regeneration, and surgery without collapsing their evidence boundaries</w:t>
      </w:r>
    </w:p>
    <w:p>
      <w:pPr>
        <w:pStyle w:val="BodyCustom"/>
        <w:ind w:left="283"/>
      </w:pPr>
      <w:r>
        <w:rPr>
          <w:b/>
        </w:rPr>
        <w:t xml:space="preserve">• </w:t>
      </w:r>
      <w:r>
        <w:t>University-readiness through assessable learning outcomes, competencies, moderation logic, and governance</w:t>
      </w:r>
    </w:p>
    <w:p>
      <w:pPr>
        <w:pStyle w:val="BodyCustom"/>
        <w:ind w:left="283"/>
      </w:pPr>
      <w:r>
        <w:rPr>
          <w:b/>
        </w:rPr>
        <w:t xml:space="preserve">• </w:t>
      </w:r>
      <w:r>
        <w:t>LMS-first structuring so every written chapter can become an online lesson without rebuilding content from scratch</w:t>
      </w:r>
    </w:p>
    <w:p>
      <w:pPr>
        <w:pStyle w:val="ManualHeading1"/>
      </w:pPr>
      <w:r>
        <w:t>3. Proposed Award Framework</w:t>
      </w:r>
    </w:p>
    <w:tbl>
      <w:tblPr>
        <w:tblW w:type="auto" w:w="0"/>
        <w:jc w:val="center"/>
        <w:tblLayout w:type="fixed"/>
        <w:tblLook w:firstColumn="1" w:firstRow="1" w:lastColumn="0" w:lastRow="0" w:noHBand="0" w:noVBand="1" w:val="04A0"/>
      </w:tblPr>
      <w:tblGrid>
        <w:gridCol w:w="4873"/>
        <w:gridCol w:w="4873"/>
      </w:tblGrid>
      <w:tr>
        <w:tc>
          <w:tcPr>
            <w:tcW w:type="dxa" w:w="2948"/>
            <w:tcMar>
              <w:top w:w="90" w:type="dxa"/>
              <w:start w:w="110" w:type="dxa"/>
              <w:bottom w:w="90" w:type="dxa"/>
              <w:end w:w="110" w:type="dxa"/>
            </w:tcMar>
            <w:shd w:fill="EAF1F7"/>
            <w:vAlign w:val="center"/>
          </w:tcPr>
          <w:p>
            <w:pPr>
              <w:pStyle w:val="BodyCustom"/>
            </w:pPr>
            <w:r>
              <w:rPr>
                <w:b/>
              </w:rPr>
              <w:t>Working award title</w:t>
            </w:r>
          </w:p>
        </w:tc>
        <w:tc>
          <w:tcPr>
            <w:tcW w:type="dxa" w:w="5669"/>
            <w:tcMar>
              <w:top w:w="90" w:type="dxa"/>
              <w:start w:w="110" w:type="dxa"/>
              <w:bottom w:w="90" w:type="dxa"/>
              <w:end w:w="110" w:type="dxa"/>
            </w:tcMar>
            <w:vAlign w:val="center"/>
          </w:tcPr>
          <w:p>
            <w:pPr>
              <w:pStyle w:val="BodyCustom"/>
            </w:pPr>
            <w:r>
              <w:t>Postgraduate Certificate in Clinical Trichology and Hair Restoration Medicine</w:t>
            </w:r>
          </w:p>
        </w:tc>
      </w:tr>
      <w:tr>
        <w:tc>
          <w:tcPr>
            <w:tcW w:type="dxa" w:w="2948"/>
            <w:tcMar>
              <w:top w:w="90" w:type="dxa"/>
              <w:start w:w="110" w:type="dxa"/>
              <w:bottom w:w="90" w:type="dxa"/>
              <w:end w:w="110" w:type="dxa"/>
            </w:tcMar>
            <w:shd w:fill="EAF1F7"/>
            <w:vAlign w:val="center"/>
          </w:tcPr>
          <w:p>
            <w:pPr>
              <w:pStyle w:val="BodyCustom"/>
            </w:pPr>
            <w:r>
              <w:rPr>
                <w:b/>
              </w:rPr>
              <w:t>Academy-facing brand</w:t>
            </w:r>
          </w:p>
        </w:tc>
        <w:tc>
          <w:tcPr>
            <w:tcW w:type="dxa" w:w="5669"/>
            <w:tcMar>
              <w:top w:w="90" w:type="dxa"/>
              <w:start w:w="110" w:type="dxa"/>
              <w:bottom w:w="90" w:type="dxa"/>
              <w:end w:w="110" w:type="dxa"/>
            </w:tcMar>
            <w:vAlign w:val="center"/>
          </w:tcPr>
          <w:p>
            <w:pPr>
              <w:pStyle w:val="BodyCustom"/>
            </w:pPr>
            <w:r>
              <w:t>Advanced Fellowship in Clinical Trichology, Hair Loss Medicine and Hair Restoration</w:t>
            </w:r>
          </w:p>
        </w:tc>
      </w:tr>
      <w:tr>
        <w:tc>
          <w:tcPr>
            <w:tcW w:type="dxa" w:w="2948"/>
            <w:tcMar>
              <w:top w:w="90" w:type="dxa"/>
              <w:start w:w="110" w:type="dxa"/>
              <w:bottom w:w="90" w:type="dxa"/>
              <w:end w:w="110" w:type="dxa"/>
            </w:tcMar>
            <w:shd w:fill="EAF1F7"/>
            <w:vAlign w:val="center"/>
          </w:tcPr>
          <w:p>
            <w:pPr>
              <w:pStyle w:val="BodyCustom"/>
            </w:pPr>
            <w:r>
              <w:rPr>
                <w:b/>
              </w:rPr>
              <w:t>Delivery model</w:t>
            </w:r>
          </w:p>
        </w:tc>
        <w:tc>
          <w:tcPr>
            <w:tcW w:type="dxa" w:w="5669"/>
            <w:tcMar>
              <w:top w:w="90" w:type="dxa"/>
              <w:start w:w="110" w:type="dxa"/>
              <w:bottom w:w="90" w:type="dxa"/>
              <w:end w:w="110" w:type="dxa"/>
            </w:tcMar>
            <w:vAlign w:val="center"/>
          </w:tcPr>
          <w:p>
            <w:pPr>
              <w:pStyle w:val="BodyCustom"/>
            </w:pPr>
            <w:r>
              <w:t>Twelve-week core online program with future extension streams</w:t>
            </w:r>
          </w:p>
        </w:tc>
      </w:tr>
      <w:tr>
        <w:tc>
          <w:tcPr>
            <w:tcW w:type="dxa" w:w="2948"/>
            <w:tcMar>
              <w:top w:w="90" w:type="dxa"/>
              <w:start w:w="110" w:type="dxa"/>
              <w:bottom w:w="90" w:type="dxa"/>
              <w:end w:w="110" w:type="dxa"/>
            </w:tcMar>
            <w:shd w:fill="EAF1F7"/>
            <w:vAlign w:val="center"/>
          </w:tcPr>
          <w:p>
            <w:pPr>
              <w:pStyle w:val="BodyCustom"/>
            </w:pPr>
            <w:r>
              <w:rPr>
                <w:b/>
              </w:rPr>
              <w:t>Primary audience</w:t>
            </w:r>
          </w:p>
        </w:tc>
        <w:tc>
          <w:tcPr>
            <w:tcW w:type="dxa" w:w="5669"/>
            <w:tcMar>
              <w:top w:w="90" w:type="dxa"/>
              <w:start w:w="110" w:type="dxa"/>
              <w:bottom w:w="90" w:type="dxa"/>
              <w:end w:w="110" w:type="dxa"/>
            </w:tcMar>
            <w:vAlign w:val="center"/>
          </w:tcPr>
          <w:p>
            <w:pPr>
              <w:pStyle w:val="BodyCustom"/>
            </w:pPr>
            <w:r>
              <w:t>Medical doctors, GPs with special interest, aesthetic physicians, hair transplant physicians, and dermatology trainees</w:t>
            </w:r>
          </w:p>
        </w:tc>
      </w:tr>
      <w:tr>
        <w:tc>
          <w:tcPr>
            <w:tcW w:type="dxa" w:w="2948"/>
            <w:tcMar>
              <w:top w:w="90" w:type="dxa"/>
              <w:start w:w="110" w:type="dxa"/>
              <w:bottom w:w="90" w:type="dxa"/>
              <w:end w:w="110" w:type="dxa"/>
            </w:tcMar>
            <w:shd w:fill="EAF1F7"/>
            <w:vAlign w:val="center"/>
          </w:tcPr>
          <w:p>
            <w:pPr>
              <w:pStyle w:val="BodyCustom"/>
            </w:pPr>
            <w:r>
              <w:rPr>
                <w:b/>
              </w:rPr>
              <w:t>Entry requirement</w:t>
            </w:r>
          </w:p>
        </w:tc>
        <w:tc>
          <w:tcPr>
            <w:tcW w:type="dxa" w:w="5669"/>
            <w:tcMar>
              <w:top w:w="90" w:type="dxa"/>
              <w:start w:w="110" w:type="dxa"/>
              <w:bottom w:w="90" w:type="dxa"/>
              <w:end w:w="110" w:type="dxa"/>
            </w:tcMar>
            <w:vAlign w:val="center"/>
          </w:tcPr>
          <w:p>
            <w:pPr>
              <w:pStyle w:val="BodyCustom"/>
            </w:pPr>
            <w:r>
              <w:t>Medical degree or equivalent primary medical qualification, current registration in jurisdiction of practice, and recommended minimum of two years postgraduate clinical experience</w:t>
            </w:r>
          </w:p>
        </w:tc>
      </w:tr>
      <w:tr>
        <w:tc>
          <w:tcPr>
            <w:tcW w:type="dxa" w:w="2948"/>
            <w:tcMar>
              <w:top w:w="90" w:type="dxa"/>
              <w:start w:w="110" w:type="dxa"/>
              <w:bottom w:w="90" w:type="dxa"/>
              <w:end w:w="110" w:type="dxa"/>
            </w:tcMar>
            <w:shd w:fill="EAF1F7"/>
            <w:vAlign w:val="center"/>
          </w:tcPr>
          <w:p>
            <w:pPr>
              <w:pStyle w:val="BodyCustom"/>
            </w:pPr>
            <w:r>
              <w:rPr>
                <w:b/>
              </w:rPr>
              <w:t>Exit standard</w:t>
            </w:r>
          </w:p>
        </w:tc>
        <w:tc>
          <w:tcPr>
            <w:tcW w:type="dxa" w:w="5669"/>
            <w:tcMar>
              <w:top w:w="90" w:type="dxa"/>
              <w:start w:w="110" w:type="dxa"/>
              <w:bottom w:w="90" w:type="dxa"/>
              <w:end w:w="110" w:type="dxa"/>
            </w:tcMar>
            <w:vAlign w:val="center"/>
          </w:tcPr>
          <w:p>
            <w:pPr>
              <w:pStyle w:val="BodyCustom"/>
            </w:pPr>
            <w:r>
              <w:t>Doctor-level competence in structured diagnosis and management of common and selected complex hair and scalp disorders</w:t>
            </w:r>
          </w:p>
        </w:tc>
      </w:tr>
      <w:tr>
        <w:tc>
          <w:tcPr>
            <w:tcW w:type="dxa" w:w="2948"/>
            <w:tcMar>
              <w:top w:w="90" w:type="dxa"/>
              <w:start w:w="110" w:type="dxa"/>
              <w:bottom w:w="90" w:type="dxa"/>
              <w:end w:w="110" w:type="dxa"/>
            </w:tcMar>
            <w:shd w:fill="EAF1F7"/>
            <w:vAlign w:val="center"/>
          </w:tcPr>
          <w:p>
            <w:pPr>
              <w:pStyle w:val="BodyCustom"/>
            </w:pPr>
            <w:r>
              <w:rPr>
                <w:b/>
              </w:rPr>
              <w:t>Evidence policy</w:t>
            </w:r>
          </w:p>
        </w:tc>
        <w:tc>
          <w:tcPr>
            <w:tcW w:type="dxa" w:w="5669"/>
            <w:tcMar>
              <w:top w:w="90" w:type="dxa"/>
              <w:start w:w="110" w:type="dxa"/>
              <w:bottom w:w="90" w:type="dxa"/>
              <w:end w:w="110" w:type="dxa"/>
            </w:tcMar>
            <w:vAlign w:val="center"/>
          </w:tcPr>
          <w:p>
            <w:pPr>
              <w:pStyle w:val="BodyCustom"/>
            </w:pPr>
            <w:r>
              <w:t>All teaching must label where material is standard of care, consensus-based, emerging, or academy-signature</w:t>
            </w:r>
          </w:p>
        </w:tc>
      </w:tr>
      <w:tr>
        <w:tc>
          <w:tcPr>
            <w:tcW w:type="dxa" w:w="2948"/>
            <w:tcMar>
              <w:top w:w="90" w:type="dxa"/>
              <w:start w:w="110" w:type="dxa"/>
              <w:bottom w:w="90" w:type="dxa"/>
              <w:end w:w="110" w:type="dxa"/>
            </w:tcMar>
            <w:shd w:fill="EAF1F7"/>
            <w:vAlign w:val="center"/>
          </w:tcPr>
          <w:p>
            <w:pPr>
              <w:pStyle w:val="BodyCustom"/>
            </w:pPr>
            <w:r>
              <w:rPr>
                <w:b/>
              </w:rPr>
              <w:t>Future partnership intent</w:t>
            </w:r>
          </w:p>
        </w:tc>
        <w:tc>
          <w:tcPr>
            <w:tcW w:type="dxa" w:w="5669"/>
            <w:tcMar>
              <w:top w:w="90" w:type="dxa"/>
              <w:start w:w="110" w:type="dxa"/>
              <w:bottom w:w="90" w:type="dxa"/>
              <w:end w:w="110" w:type="dxa"/>
            </w:tcMar>
            <w:vAlign w:val="center"/>
          </w:tcPr>
          <w:p>
            <w:pPr>
              <w:pStyle w:val="BodyCustom"/>
            </w:pPr>
            <w:r>
              <w:t>Built to support university co-badging, CPD/CME alignment, faculty moderation, and external academic review</w:t>
            </w:r>
          </w:p>
        </w:tc>
      </w:tr>
    </w:tbl>
    <w:p>
      <w:pPr>
        <w:pStyle w:val="ManualHeading1"/>
      </w:pPr>
      <w:r>
        <w:t>4. Graduate Competencies</w:t>
      </w:r>
    </w:p>
    <w:p>
      <w:pPr>
        <w:pStyle w:val="BodyCustom"/>
      </w:pPr>
      <w:r>
        <w:t>On successful completion, the doctor should be able to:</w:t>
      </w:r>
    </w:p>
    <w:p>
      <w:pPr>
        <w:pStyle w:val="BodyCustom"/>
        <w:ind w:left="283"/>
      </w:pPr>
      <w:r>
        <w:rPr>
          <w:b/>
        </w:rPr>
        <w:t xml:space="preserve">• </w:t>
      </w:r>
      <w:r>
        <w:t>Perform a structured hair and scalp consultation and document it to a defensible clinical standard.</w:t>
      </w:r>
    </w:p>
    <w:p>
      <w:pPr>
        <w:pStyle w:val="BodyCustom"/>
        <w:ind w:left="283"/>
      </w:pPr>
      <w:r>
        <w:rPr>
          <w:b/>
        </w:rPr>
        <w:t xml:space="preserve">• </w:t>
      </w:r>
      <w:r>
        <w:t>Differentiate patterned loss, diffuse shedding, inflammatory scalp disease, scarring alopecia, and hair shaft breakage using history, examination, and trichoscopy.</w:t>
      </w:r>
    </w:p>
    <w:p>
      <w:pPr>
        <w:pStyle w:val="BodyCustom"/>
        <w:ind w:left="283"/>
      </w:pPr>
      <w:r>
        <w:rPr>
          <w:b/>
        </w:rPr>
        <w:t xml:space="preserve">• </w:t>
      </w:r>
      <w:r>
        <w:t>Order and interpret relevant investigations, including blood work and biopsy decision-making where indicated.</w:t>
      </w:r>
    </w:p>
    <w:p>
      <w:pPr>
        <w:pStyle w:val="BodyCustom"/>
        <w:ind w:left="283"/>
      </w:pPr>
      <w:r>
        <w:rPr>
          <w:b/>
        </w:rPr>
        <w:t xml:space="preserve">• </w:t>
      </w:r>
      <w:r>
        <w:t>Build evidence-based treatment plans for male and female hair loss, including long-term maintenance and monitoring.</w:t>
      </w:r>
    </w:p>
    <w:p>
      <w:pPr>
        <w:pStyle w:val="BodyCustom"/>
        <w:ind w:left="283"/>
      </w:pPr>
      <w:r>
        <w:rPr>
          <w:b/>
        </w:rPr>
        <w:t xml:space="preserve">• </w:t>
      </w:r>
      <w:r>
        <w:t>Use trichoscopy as a routine diagnostic language rather than a purely illustrative tool.</w:t>
      </w:r>
    </w:p>
    <w:p>
      <w:pPr>
        <w:pStyle w:val="BodyCustom"/>
        <w:ind w:left="283"/>
      </w:pPr>
      <w:r>
        <w:rPr>
          <w:b/>
        </w:rPr>
        <w:t xml:space="preserve">• </w:t>
      </w:r>
      <w:r>
        <w:t>Recognise urgent, high-risk, or referral-level presentations, especially cicatricial alopecia and significant inflammatory disease.</w:t>
      </w:r>
    </w:p>
    <w:p>
      <w:pPr>
        <w:pStyle w:val="BodyCustom"/>
        <w:ind w:left="283"/>
      </w:pPr>
      <w:r>
        <w:rPr>
          <w:b/>
        </w:rPr>
        <w:t xml:space="preserve">• </w:t>
      </w:r>
      <w:r>
        <w:t>Integrate medical, regenerative, and surgical options appropriately while respecting evidence boundaries and contraindications.</w:t>
      </w:r>
    </w:p>
    <w:p>
      <w:pPr>
        <w:pStyle w:val="BodyCustom"/>
        <w:ind w:left="283"/>
      </w:pPr>
      <w:r>
        <w:rPr>
          <w:b/>
        </w:rPr>
        <w:t xml:space="preserve">• </w:t>
      </w:r>
      <w:r>
        <w:t>Assess transplant candidacy, donor safety, and long-term planning in progressive hair loss.</w:t>
      </w:r>
    </w:p>
    <w:p>
      <w:pPr>
        <w:pStyle w:val="BodyCustom"/>
        <w:ind w:left="283"/>
      </w:pPr>
      <w:r>
        <w:rPr>
          <w:b/>
        </w:rPr>
        <w:t xml:space="preserve">• </w:t>
      </w:r>
      <w:r>
        <w:t>Critically appraise emerging treatments and explain uncertainty, limitations, and expected outcomes to patients clearly.</w:t>
      </w:r>
    </w:p>
    <w:p>
      <w:pPr>
        <w:pStyle w:val="BodyCustom"/>
        <w:ind w:left="283"/>
      </w:pPr>
      <w:r>
        <w:rPr>
          <w:b/>
        </w:rPr>
        <w:t xml:space="preserve">• </w:t>
      </w:r>
      <w:r>
        <w:t>Practise with ethical transparency, informed consent discipline, and psychologically informed communication.</w:t>
      </w:r>
    </w:p>
    <w:p>
      <w:r>
        <w:br w:type="page"/>
      </w:r>
    </w:p>
    <w:p>
      <w:pPr>
        <w:pStyle w:val="ManualHeading1"/>
      </w:pPr>
      <w:r>
        <w:t>5. Program Structure</w:t>
      </w:r>
    </w:p>
    <w:p>
      <w:pPr>
        <w:pStyle w:val="BodyCustom"/>
      </w:pPr>
      <w:r>
        <w:t>The core course is designed as a twelve-week postgraduate doctor program divided into seven major sections and twenty-eight modules. Each module will later be broken into online lessons, downloadable summaries, quizzes, image interpretation activities, and capstone case tasks.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737"/>
            <w:shd w:fill="D9E7F5"/>
            <w:tcMar>
              <w:top w:w="90" w:type="dxa"/>
              <w:start w:w="110" w:type="dxa"/>
              <w:bottom w:w="90" w:type="dxa"/>
              <w:end w:w="110" w:type="dxa"/>
            </w:tcMar>
            <w:vAlign w:val="center"/>
          </w:tcPr>
          <w:p>
            <w:pPr>
              <w:pStyle w:val="BodyCustom"/>
            </w:pPr>
            <w:r>
              <w:rPr>
                <w:b/>
              </w:rPr>
              <w:t>Section</w:t>
            </w:r>
          </w:p>
        </w:tc>
        <w:tc>
          <w:tcPr>
            <w:tcW w:type="dxa" w:w="3061"/>
            <w:shd w:fill="D9E7F5"/>
            <w:tcMar>
              <w:top w:w="90" w:type="dxa"/>
              <w:start w:w="110" w:type="dxa"/>
              <w:bottom w:w="90" w:type="dxa"/>
              <w:end w:w="110" w:type="dxa"/>
            </w:tcMar>
            <w:vAlign w:val="center"/>
          </w:tcPr>
          <w:p>
            <w:pPr>
              <w:pStyle w:val="BodyCustom"/>
            </w:pPr>
            <w:r>
              <w:rPr>
                <w:b/>
              </w:rPr>
              <w:t>Section title</w:t>
            </w:r>
          </w:p>
        </w:tc>
        <w:tc>
          <w:tcPr>
            <w:tcW w:type="dxa" w:w="2268"/>
            <w:shd w:fill="D9E7F5"/>
            <w:tcMar>
              <w:top w:w="90" w:type="dxa"/>
              <w:start w:w="110" w:type="dxa"/>
              <w:bottom w:w="90" w:type="dxa"/>
              <w:end w:w="110" w:type="dxa"/>
            </w:tcMar>
            <w:vAlign w:val="center"/>
          </w:tcPr>
          <w:p>
            <w:pPr>
              <w:pStyle w:val="BodyCustom"/>
            </w:pPr>
            <w:r>
              <w:rPr>
                <w:b/>
              </w:rPr>
              <w:t>Primary academic emphasis</w:t>
            </w:r>
          </w:p>
        </w:tc>
        <w:tc>
          <w:tcPr>
            <w:tcW w:type="dxa" w:w="2381"/>
            <w:shd w:fill="D9E7F5"/>
            <w:tcMar>
              <w:top w:w="90" w:type="dxa"/>
              <w:start w:w="110" w:type="dxa"/>
              <w:bottom w:w="90" w:type="dxa"/>
              <w:end w:w="110" w:type="dxa"/>
            </w:tcMar>
            <w:vAlign w:val="center"/>
          </w:tcPr>
          <w:p>
            <w:pPr>
              <w:pStyle w:val="BodyCustom"/>
            </w:pPr>
            <w:r>
              <w:rPr>
                <w:b/>
              </w:rPr>
              <w:t>Indicative module span</w:t>
            </w:r>
          </w:p>
        </w:tc>
      </w:tr>
      <w:tr>
        <w:tc>
          <w:tcPr>
            <w:tcW w:type="dxa" w:w="737"/>
            <w:tcMar>
              <w:top w:w="90" w:type="dxa"/>
              <w:start w:w="110" w:type="dxa"/>
              <w:bottom w:w="90" w:type="dxa"/>
              <w:end w:w="110" w:type="dxa"/>
            </w:tcMar>
            <w:shd w:fill="F4F8FB"/>
            <w:vAlign w:val="center"/>
          </w:tcPr>
          <w:p>
            <w:pPr>
              <w:pStyle w:val="BodyCustom"/>
            </w:pPr>
            <w:r>
              <w:t>I</w:t>
            </w:r>
          </w:p>
        </w:tc>
        <w:tc>
          <w:tcPr>
            <w:tcW w:type="dxa" w:w="3061"/>
            <w:tcMar>
              <w:top w:w="90" w:type="dxa"/>
              <w:start w:w="110" w:type="dxa"/>
              <w:bottom w:w="90" w:type="dxa"/>
              <w:end w:w="110" w:type="dxa"/>
            </w:tcMar>
            <w:vAlign w:val="center"/>
          </w:tcPr>
          <w:p>
            <w:pPr>
              <w:pStyle w:val="BodyCustom"/>
            </w:pPr>
            <w:r>
              <w:t>Foundations of Clinical Trichology</w:t>
            </w:r>
          </w:p>
        </w:tc>
        <w:tc>
          <w:tcPr>
            <w:tcW w:type="dxa" w:w="2268"/>
            <w:tcMar>
              <w:top w:w="90" w:type="dxa"/>
              <w:start w:w="110" w:type="dxa"/>
              <w:bottom w:w="90" w:type="dxa"/>
              <w:end w:w="110" w:type="dxa"/>
            </w:tcMar>
            <w:vAlign w:val="center"/>
          </w:tcPr>
          <w:p>
            <w:pPr>
              <w:pStyle w:val="BodyCustom"/>
            </w:pPr>
            <w:r>
              <w:t>Core science, follicle biology, signalling, scalp science</w:t>
            </w:r>
          </w:p>
        </w:tc>
        <w:tc>
          <w:tcPr>
            <w:tcW w:type="dxa" w:w="2381"/>
            <w:tcMar>
              <w:top w:w="90" w:type="dxa"/>
              <w:start w:w="110" w:type="dxa"/>
              <w:bottom w:w="90" w:type="dxa"/>
              <w:end w:w="110" w:type="dxa"/>
            </w:tcMar>
            <w:vAlign w:val="center"/>
          </w:tcPr>
          <w:p>
            <w:pPr>
              <w:pStyle w:val="BodyCustom"/>
            </w:pPr>
            <w:r>
              <w:t>Modules 1–3</w:t>
            </w:r>
          </w:p>
        </w:tc>
      </w:tr>
      <w:tr>
        <w:tc>
          <w:tcPr>
            <w:tcW w:type="dxa" w:w="737"/>
            <w:tcMar>
              <w:top w:w="90" w:type="dxa"/>
              <w:start w:w="110" w:type="dxa"/>
              <w:bottom w:w="90" w:type="dxa"/>
              <w:end w:w="110" w:type="dxa"/>
            </w:tcMar>
            <w:shd w:fill="F4F8FB"/>
            <w:vAlign w:val="center"/>
          </w:tcPr>
          <w:p>
            <w:pPr>
              <w:pStyle w:val="BodyCustom"/>
            </w:pPr>
            <w:r>
              <w:t>II</w:t>
            </w:r>
          </w:p>
        </w:tc>
        <w:tc>
          <w:tcPr>
            <w:tcW w:type="dxa" w:w="3061"/>
            <w:tcMar>
              <w:top w:w="90" w:type="dxa"/>
              <w:start w:w="110" w:type="dxa"/>
              <w:bottom w:w="90" w:type="dxa"/>
              <w:end w:w="110" w:type="dxa"/>
            </w:tcMar>
            <w:vAlign w:val="center"/>
          </w:tcPr>
          <w:p>
            <w:pPr>
              <w:pStyle w:val="BodyCustom"/>
            </w:pPr>
            <w:r>
              <w:t>Diagnostic Trichology</w:t>
            </w:r>
          </w:p>
        </w:tc>
        <w:tc>
          <w:tcPr>
            <w:tcW w:type="dxa" w:w="2268"/>
            <w:tcMar>
              <w:top w:w="90" w:type="dxa"/>
              <w:start w:w="110" w:type="dxa"/>
              <w:bottom w:w="90" w:type="dxa"/>
              <w:end w:w="110" w:type="dxa"/>
            </w:tcMar>
            <w:vAlign w:val="center"/>
          </w:tcPr>
          <w:p>
            <w:pPr>
              <w:pStyle w:val="BodyCustom"/>
            </w:pPr>
            <w:r>
              <w:t>History, examination, trichoscopy, investigations, biopsy logic</w:t>
            </w:r>
          </w:p>
        </w:tc>
        <w:tc>
          <w:tcPr>
            <w:tcW w:type="dxa" w:w="2381"/>
            <w:tcMar>
              <w:top w:w="90" w:type="dxa"/>
              <w:start w:w="110" w:type="dxa"/>
              <w:bottom w:w="90" w:type="dxa"/>
              <w:end w:w="110" w:type="dxa"/>
            </w:tcMar>
            <w:vAlign w:val="center"/>
          </w:tcPr>
          <w:p>
            <w:pPr>
              <w:pStyle w:val="BodyCustom"/>
            </w:pPr>
            <w:r>
              <w:t>Modules 4–7</w:t>
            </w:r>
          </w:p>
        </w:tc>
      </w:tr>
      <w:tr>
        <w:tc>
          <w:tcPr>
            <w:tcW w:type="dxa" w:w="737"/>
            <w:tcMar>
              <w:top w:w="90" w:type="dxa"/>
              <w:start w:w="110" w:type="dxa"/>
              <w:bottom w:w="90" w:type="dxa"/>
              <w:end w:w="110" w:type="dxa"/>
            </w:tcMar>
            <w:shd w:fill="F4F8FB"/>
            <w:vAlign w:val="center"/>
          </w:tcPr>
          <w:p>
            <w:pPr>
              <w:pStyle w:val="BodyCustom"/>
            </w:pPr>
            <w:r>
              <w:t>III</w:t>
            </w:r>
          </w:p>
        </w:tc>
        <w:tc>
          <w:tcPr>
            <w:tcW w:type="dxa" w:w="3061"/>
            <w:tcMar>
              <w:top w:w="90" w:type="dxa"/>
              <w:start w:w="110" w:type="dxa"/>
              <w:bottom w:w="90" w:type="dxa"/>
              <w:end w:w="110" w:type="dxa"/>
            </w:tcMar>
            <w:vAlign w:val="center"/>
          </w:tcPr>
          <w:p>
            <w:pPr>
              <w:pStyle w:val="BodyCustom"/>
            </w:pPr>
            <w:r>
              <w:t>Non-Scarring Alopecias</w:t>
            </w:r>
          </w:p>
        </w:tc>
        <w:tc>
          <w:tcPr>
            <w:tcW w:type="dxa" w:w="2268"/>
            <w:tcMar>
              <w:top w:w="90" w:type="dxa"/>
              <w:start w:w="110" w:type="dxa"/>
              <w:bottom w:w="90" w:type="dxa"/>
              <w:end w:w="110" w:type="dxa"/>
            </w:tcMar>
            <w:vAlign w:val="center"/>
          </w:tcPr>
          <w:p>
            <w:pPr>
              <w:pStyle w:val="BodyCustom"/>
            </w:pPr>
            <w:r>
              <w:t>AGA, female pattern loss, TE, AA, shaft disorders</w:t>
            </w:r>
          </w:p>
        </w:tc>
        <w:tc>
          <w:tcPr>
            <w:tcW w:type="dxa" w:w="2381"/>
            <w:tcMar>
              <w:top w:w="90" w:type="dxa"/>
              <w:start w:w="110" w:type="dxa"/>
              <w:bottom w:w="90" w:type="dxa"/>
              <w:end w:w="110" w:type="dxa"/>
            </w:tcMar>
            <w:vAlign w:val="center"/>
          </w:tcPr>
          <w:p>
            <w:pPr>
              <w:pStyle w:val="BodyCustom"/>
            </w:pPr>
            <w:r>
              <w:t>Modules 8–12</w:t>
            </w:r>
          </w:p>
        </w:tc>
      </w:tr>
      <w:tr>
        <w:tc>
          <w:tcPr>
            <w:tcW w:type="dxa" w:w="737"/>
            <w:tcMar>
              <w:top w:w="90" w:type="dxa"/>
              <w:start w:w="110" w:type="dxa"/>
              <w:bottom w:w="90" w:type="dxa"/>
              <w:end w:w="110" w:type="dxa"/>
            </w:tcMar>
            <w:shd w:fill="F4F8FB"/>
            <w:vAlign w:val="center"/>
          </w:tcPr>
          <w:p>
            <w:pPr>
              <w:pStyle w:val="BodyCustom"/>
            </w:pPr>
            <w:r>
              <w:t>IV</w:t>
            </w:r>
          </w:p>
        </w:tc>
        <w:tc>
          <w:tcPr>
            <w:tcW w:type="dxa" w:w="3061"/>
            <w:tcMar>
              <w:top w:w="90" w:type="dxa"/>
              <w:start w:w="110" w:type="dxa"/>
              <w:bottom w:w="90" w:type="dxa"/>
              <w:end w:w="110" w:type="dxa"/>
            </w:tcMar>
            <w:vAlign w:val="center"/>
          </w:tcPr>
          <w:p>
            <w:pPr>
              <w:pStyle w:val="BodyCustom"/>
            </w:pPr>
            <w:r>
              <w:t>Scarring Alopecias and Scalp Disease</w:t>
            </w:r>
          </w:p>
        </w:tc>
        <w:tc>
          <w:tcPr>
            <w:tcW w:type="dxa" w:w="2268"/>
            <w:tcMar>
              <w:top w:w="90" w:type="dxa"/>
              <w:start w:w="110" w:type="dxa"/>
              <w:bottom w:w="90" w:type="dxa"/>
              <w:end w:w="110" w:type="dxa"/>
            </w:tcMar>
            <w:vAlign w:val="center"/>
          </w:tcPr>
          <w:p>
            <w:pPr>
              <w:pStyle w:val="BodyCustom"/>
            </w:pPr>
            <w:r>
              <w:t>Cicatricial alopecia, inflammatory disease, infections</w:t>
            </w:r>
          </w:p>
        </w:tc>
        <w:tc>
          <w:tcPr>
            <w:tcW w:type="dxa" w:w="2381"/>
            <w:tcMar>
              <w:top w:w="90" w:type="dxa"/>
              <w:start w:w="110" w:type="dxa"/>
              <w:bottom w:w="90" w:type="dxa"/>
              <w:end w:w="110" w:type="dxa"/>
            </w:tcMar>
            <w:vAlign w:val="center"/>
          </w:tcPr>
          <w:p>
            <w:pPr>
              <w:pStyle w:val="BodyCustom"/>
            </w:pPr>
            <w:r>
              <w:t>Modules 13–16</w:t>
            </w:r>
          </w:p>
        </w:tc>
      </w:tr>
      <w:tr>
        <w:tc>
          <w:tcPr>
            <w:tcW w:type="dxa" w:w="737"/>
            <w:tcMar>
              <w:top w:w="90" w:type="dxa"/>
              <w:start w:w="110" w:type="dxa"/>
              <w:bottom w:w="90" w:type="dxa"/>
              <w:end w:w="110" w:type="dxa"/>
            </w:tcMar>
            <w:shd w:fill="F4F8FB"/>
            <w:vAlign w:val="center"/>
          </w:tcPr>
          <w:p>
            <w:pPr>
              <w:pStyle w:val="BodyCustom"/>
            </w:pPr>
            <w:r>
              <w:t>V</w:t>
            </w:r>
          </w:p>
        </w:tc>
        <w:tc>
          <w:tcPr>
            <w:tcW w:type="dxa" w:w="3061"/>
            <w:tcMar>
              <w:top w:w="90" w:type="dxa"/>
              <w:start w:w="110" w:type="dxa"/>
              <w:bottom w:w="90" w:type="dxa"/>
              <w:end w:w="110" w:type="dxa"/>
            </w:tcMar>
            <w:vAlign w:val="center"/>
          </w:tcPr>
          <w:p>
            <w:pPr>
              <w:pStyle w:val="BodyCustom"/>
            </w:pPr>
            <w:r>
              <w:t>Therapeutics in Hair Medicine</w:t>
            </w:r>
          </w:p>
        </w:tc>
        <w:tc>
          <w:tcPr>
            <w:tcW w:type="dxa" w:w="2268"/>
            <w:tcMar>
              <w:top w:w="90" w:type="dxa"/>
              <w:start w:w="110" w:type="dxa"/>
              <w:bottom w:w="90" w:type="dxa"/>
              <w:end w:w="110" w:type="dxa"/>
            </w:tcMar>
            <w:vAlign w:val="center"/>
          </w:tcPr>
          <w:p>
            <w:pPr>
              <w:pStyle w:val="BodyCustom"/>
            </w:pPr>
            <w:r>
              <w:t>Medical treatment, nutrition, lifestyle, regenerative medicine</w:t>
            </w:r>
          </w:p>
        </w:tc>
        <w:tc>
          <w:tcPr>
            <w:tcW w:type="dxa" w:w="2381"/>
            <w:tcMar>
              <w:top w:w="90" w:type="dxa"/>
              <w:start w:w="110" w:type="dxa"/>
              <w:bottom w:w="90" w:type="dxa"/>
              <w:end w:w="110" w:type="dxa"/>
            </w:tcMar>
            <w:vAlign w:val="center"/>
          </w:tcPr>
          <w:p>
            <w:pPr>
              <w:pStyle w:val="BodyCustom"/>
            </w:pPr>
            <w:r>
              <w:t>Modules 17–19</w:t>
            </w:r>
          </w:p>
        </w:tc>
      </w:tr>
      <w:tr>
        <w:tc>
          <w:tcPr>
            <w:tcW w:type="dxa" w:w="737"/>
            <w:tcMar>
              <w:top w:w="90" w:type="dxa"/>
              <w:start w:w="110" w:type="dxa"/>
              <w:bottom w:w="90" w:type="dxa"/>
              <w:end w:w="110" w:type="dxa"/>
            </w:tcMar>
            <w:shd w:fill="F4F8FB"/>
            <w:vAlign w:val="center"/>
          </w:tcPr>
          <w:p>
            <w:pPr>
              <w:pStyle w:val="BodyCustom"/>
            </w:pPr>
            <w:r>
              <w:t>VI</w:t>
            </w:r>
          </w:p>
        </w:tc>
        <w:tc>
          <w:tcPr>
            <w:tcW w:type="dxa" w:w="3061"/>
            <w:tcMar>
              <w:top w:w="90" w:type="dxa"/>
              <w:start w:w="110" w:type="dxa"/>
              <w:bottom w:w="90" w:type="dxa"/>
              <w:end w:w="110" w:type="dxa"/>
            </w:tcMar>
            <w:vAlign w:val="center"/>
          </w:tcPr>
          <w:p>
            <w:pPr>
              <w:pStyle w:val="BodyCustom"/>
            </w:pPr>
            <w:r>
              <w:t>Hair Restoration Surgery and Procedural Science</w:t>
            </w:r>
          </w:p>
        </w:tc>
        <w:tc>
          <w:tcPr>
            <w:tcW w:type="dxa" w:w="2268"/>
            <w:tcMar>
              <w:top w:w="90" w:type="dxa"/>
              <w:start w:w="110" w:type="dxa"/>
              <w:bottom w:w="90" w:type="dxa"/>
              <w:end w:w="110" w:type="dxa"/>
            </w:tcMar>
            <w:vAlign w:val="center"/>
          </w:tcPr>
          <w:p>
            <w:pPr>
              <w:pStyle w:val="BodyCustom"/>
            </w:pPr>
            <w:r>
              <w:t>Transplant principles, advanced FUE, long hair FUE, partial transection</w:t>
            </w:r>
          </w:p>
        </w:tc>
        <w:tc>
          <w:tcPr>
            <w:tcW w:type="dxa" w:w="2381"/>
            <w:tcMar>
              <w:top w:w="90" w:type="dxa"/>
              <w:start w:w="110" w:type="dxa"/>
              <w:bottom w:w="90" w:type="dxa"/>
              <w:end w:w="110" w:type="dxa"/>
            </w:tcMar>
            <w:vAlign w:val="center"/>
          </w:tcPr>
          <w:p>
            <w:pPr>
              <w:pStyle w:val="BodyCustom"/>
            </w:pPr>
            <w:r>
              <w:t>Modules 20–24</w:t>
            </w:r>
          </w:p>
        </w:tc>
      </w:tr>
      <w:tr>
        <w:tc>
          <w:tcPr>
            <w:tcW w:type="dxa" w:w="737"/>
            <w:tcMar>
              <w:top w:w="90" w:type="dxa"/>
              <w:start w:w="110" w:type="dxa"/>
              <w:bottom w:w="90" w:type="dxa"/>
              <w:end w:w="110" w:type="dxa"/>
            </w:tcMar>
            <w:shd w:fill="F4F8FB"/>
            <w:vAlign w:val="center"/>
          </w:tcPr>
          <w:p>
            <w:pPr>
              <w:pStyle w:val="BodyCustom"/>
            </w:pPr>
            <w:r>
              <w:t>VII</w:t>
            </w:r>
          </w:p>
        </w:tc>
        <w:tc>
          <w:tcPr>
            <w:tcW w:type="dxa" w:w="3061"/>
            <w:tcMar>
              <w:top w:w="90" w:type="dxa"/>
              <w:start w:w="110" w:type="dxa"/>
              <w:bottom w:w="90" w:type="dxa"/>
              <w:end w:w="110" w:type="dxa"/>
            </w:tcMar>
            <w:vAlign w:val="center"/>
          </w:tcPr>
          <w:p>
            <w:pPr>
              <w:pStyle w:val="BodyCustom"/>
            </w:pPr>
            <w:r>
              <w:t>Professional Practice, Research, and Certification</w:t>
            </w:r>
          </w:p>
        </w:tc>
        <w:tc>
          <w:tcPr>
            <w:tcW w:type="dxa" w:w="2268"/>
            <w:tcMar>
              <w:top w:w="90" w:type="dxa"/>
              <w:start w:w="110" w:type="dxa"/>
              <w:bottom w:w="90" w:type="dxa"/>
              <w:end w:w="110" w:type="dxa"/>
            </w:tcMar>
            <w:vAlign w:val="center"/>
          </w:tcPr>
          <w:p>
            <w:pPr>
              <w:pStyle w:val="BodyCustom"/>
            </w:pPr>
            <w:r>
              <w:t>Ethics, evidence appraisal, capstone integration, final assessment</w:t>
            </w:r>
          </w:p>
        </w:tc>
        <w:tc>
          <w:tcPr>
            <w:tcW w:type="dxa" w:w="2381"/>
            <w:tcMar>
              <w:top w:w="90" w:type="dxa"/>
              <w:start w:w="110" w:type="dxa"/>
              <w:bottom w:w="90" w:type="dxa"/>
              <w:end w:w="110" w:type="dxa"/>
            </w:tcMar>
            <w:vAlign w:val="center"/>
          </w:tcPr>
          <w:p>
            <w:pPr>
              <w:pStyle w:val="BodyCustom"/>
            </w:pPr>
            <w:r>
              <w:t>Modules 25–28</w:t>
            </w:r>
          </w:p>
        </w:tc>
      </w:tr>
    </w:tbl>
    <w:p>
      <w:pPr>
        <w:pStyle w:val="ManualHeading1"/>
      </w:pPr>
      <w:r>
        <w:t>6. Master Table of Contents</w:t>
      </w:r>
    </w:p>
    <w:p>
      <w:pPr>
        <w:pStyle w:val="ManualHeading2"/>
      </w:pPr>
      <w:r>
        <w:t>Section I — Foundations of Clinical Trichology</w:t>
      </w:r>
    </w:p>
    <w:p>
      <w:pPr>
        <w:pStyle w:val="BodyCustom"/>
        <w:ind w:left="340"/>
      </w:pPr>
      <w:r>
        <w:rPr>
          <w:b/>
        </w:rPr>
        <w:t xml:space="preserve">• </w:t>
      </w:r>
      <w:r>
        <w:t>Module 1. Introduction to Clinical Trichology and Hair Restoration Medicine</w:t>
      </w:r>
    </w:p>
    <w:p>
      <w:pPr>
        <w:pStyle w:val="BodyCustom"/>
        <w:ind w:left="340"/>
      </w:pPr>
      <w:r>
        <w:rPr>
          <w:b/>
        </w:rPr>
        <w:t xml:space="preserve">• </w:t>
      </w:r>
      <w:r>
        <w:t>Module 2. Hair Follicle Biology and Scalp Science</w:t>
      </w:r>
    </w:p>
    <w:p>
      <w:pPr>
        <w:pStyle w:val="BodyCustom"/>
        <w:ind w:left="340"/>
      </w:pPr>
      <w:r>
        <w:rPr>
          <w:b/>
        </w:rPr>
        <w:t xml:space="preserve">• </w:t>
      </w:r>
      <w:r>
        <w:t>Module 3. Molecular and Hormonal Regulation of Hair Growth</w:t>
      </w:r>
    </w:p>
    <w:p>
      <w:pPr>
        <w:pStyle w:val="ManualHeading2"/>
      </w:pPr>
      <w:r>
        <w:t>Section II — Diagnostic Trichology</w:t>
      </w:r>
    </w:p>
    <w:p>
      <w:pPr>
        <w:pStyle w:val="BodyCustom"/>
        <w:ind w:left="340"/>
      </w:pPr>
      <w:r>
        <w:rPr>
          <w:b/>
        </w:rPr>
        <w:t xml:space="preserve">• </w:t>
      </w:r>
      <w:r>
        <w:t>Module 4. Clinical Consultation and Hair Loss History-Taking</w:t>
      </w:r>
    </w:p>
    <w:p>
      <w:pPr>
        <w:pStyle w:val="BodyCustom"/>
        <w:ind w:left="340"/>
      </w:pPr>
      <w:r>
        <w:rPr>
          <w:b/>
        </w:rPr>
        <w:t xml:space="preserve">• </w:t>
      </w:r>
      <w:r>
        <w:t>Module 5. Clinical Examination of Hair and Scalp</w:t>
      </w:r>
    </w:p>
    <w:p>
      <w:pPr>
        <w:pStyle w:val="BodyCustom"/>
        <w:ind w:left="340"/>
      </w:pPr>
      <w:r>
        <w:rPr>
          <w:b/>
        </w:rPr>
        <w:t xml:space="preserve">• </w:t>
      </w:r>
      <w:r>
        <w:t>Module 6. Trichoscopy: Foundations to Advanced Interpretation</w:t>
      </w:r>
    </w:p>
    <w:p>
      <w:pPr>
        <w:pStyle w:val="BodyCustom"/>
        <w:ind w:left="340"/>
      </w:pPr>
      <w:r>
        <w:rPr>
          <w:b/>
        </w:rPr>
        <w:t xml:space="preserve">• </w:t>
      </w:r>
      <w:r>
        <w:t>Module 7. Laboratory Investigations, Endocrine Workup, and Biopsy Logic</w:t>
      </w:r>
    </w:p>
    <w:p>
      <w:pPr>
        <w:pStyle w:val="ManualHeading2"/>
      </w:pPr>
      <w:r>
        <w:t>Section III — Non-Scarring Alopecias</w:t>
      </w:r>
    </w:p>
    <w:p>
      <w:pPr>
        <w:pStyle w:val="BodyCustom"/>
        <w:ind w:left="340"/>
      </w:pPr>
      <w:r>
        <w:rPr>
          <w:b/>
        </w:rPr>
        <w:t xml:space="preserve">• </w:t>
      </w:r>
      <w:r>
        <w:t>Module 8. Androgenetic Alopecia in Males</w:t>
      </w:r>
    </w:p>
    <w:p>
      <w:pPr>
        <w:pStyle w:val="BodyCustom"/>
        <w:ind w:left="340"/>
      </w:pPr>
      <w:r>
        <w:rPr>
          <w:b/>
        </w:rPr>
        <w:t xml:space="preserve">• </w:t>
      </w:r>
      <w:r>
        <w:t>Module 9. Female Pattern Hair Loss and Hormonal Hair Loss in Women</w:t>
      </w:r>
    </w:p>
    <w:p>
      <w:pPr>
        <w:pStyle w:val="BodyCustom"/>
        <w:ind w:left="340"/>
      </w:pPr>
      <w:r>
        <w:rPr>
          <w:b/>
        </w:rPr>
        <w:t xml:space="preserve">• </w:t>
      </w:r>
      <w:r>
        <w:t>Module 10. Telogen Effluvium and Diffuse Shedding Disorders</w:t>
      </w:r>
    </w:p>
    <w:p>
      <w:pPr>
        <w:pStyle w:val="BodyCustom"/>
        <w:ind w:left="340"/>
      </w:pPr>
      <w:r>
        <w:rPr>
          <w:b/>
        </w:rPr>
        <w:t xml:space="preserve">• </w:t>
      </w:r>
      <w:r>
        <w:t>Module 11. Alopecia Areata and Immune-Mediated Hair Loss</w:t>
      </w:r>
    </w:p>
    <w:p>
      <w:pPr>
        <w:pStyle w:val="BodyCustom"/>
        <w:ind w:left="340"/>
      </w:pPr>
      <w:r>
        <w:rPr>
          <w:b/>
        </w:rPr>
        <w:t xml:space="preserve">• </w:t>
      </w:r>
      <w:r>
        <w:t>Module 12. Hair Shaft Disorders and Breakage Syndromes</w:t>
      </w:r>
    </w:p>
    <w:p>
      <w:pPr>
        <w:pStyle w:val="ManualHeading2"/>
      </w:pPr>
      <w:r>
        <w:t>Section IV — Scarring Alopecias and Scalp Disease</w:t>
      </w:r>
    </w:p>
    <w:p>
      <w:pPr>
        <w:pStyle w:val="BodyCustom"/>
        <w:ind w:left="340"/>
      </w:pPr>
      <w:r>
        <w:rPr>
          <w:b/>
        </w:rPr>
        <w:t xml:space="preserve">• </w:t>
      </w:r>
      <w:r>
        <w:t>Module 13. Principles of Cicatricial Alopecia</w:t>
      </w:r>
    </w:p>
    <w:p>
      <w:pPr>
        <w:pStyle w:val="BodyCustom"/>
        <w:ind w:left="340"/>
      </w:pPr>
      <w:r>
        <w:rPr>
          <w:b/>
        </w:rPr>
        <w:t xml:space="preserve">• </w:t>
      </w:r>
      <w:r>
        <w:t>Module 14. Lymphocytic Cicatricial Alopecias</w:t>
      </w:r>
    </w:p>
    <w:p>
      <w:pPr>
        <w:pStyle w:val="BodyCustom"/>
        <w:ind w:left="340"/>
      </w:pPr>
      <w:r>
        <w:rPr>
          <w:b/>
        </w:rPr>
        <w:t xml:space="preserve">• </w:t>
      </w:r>
      <w:r>
        <w:t>Module 15. Neutrophilic and Mixed Cicatricial Alopecias</w:t>
      </w:r>
    </w:p>
    <w:p>
      <w:pPr>
        <w:pStyle w:val="BodyCustom"/>
        <w:ind w:left="340"/>
      </w:pPr>
      <w:r>
        <w:rPr>
          <w:b/>
        </w:rPr>
        <w:t xml:space="preserve">• </w:t>
      </w:r>
      <w:r>
        <w:t>Module 16. Inflammatory and Infectious Scalp Disorders</w:t>
      </w:r>
    </w:p>
    <w:p>
      <w:pPr>
        <w:pStyle w:val="ManualHeading2"/>
      </w:pPr>
      <w:r>
        <w:t>Section V — Therapeutics in Hair Medicine</w:t>
      </w:r>
    </w:p>
    <w:p>
      <w:pPr>
        <w:pStyle w:val="BodyCustom"/>
        <w:ind w:left="340"/>
      </w:pPr>
      <w:r>
        <w:rPr>
          <w:b/>
        </w:rPr>
        <w:t xml:space="preserve">• </w:t>
      </w:r>
      <w:r>
        <w:t>Module 17. Medical Management of Hair Loss</w:t>
      </w:r>
    </w:p>
    <w:p>
      <w:pPr>
        <w:pStyle w:val="BodyCustom"/>
        <w:ind w:left="340"/>
      </w:pPr>
      <w:r>
        <w:rPr>
          <w:b/>
        </w:rPr>
        <w:t xml:space="preserve">• </w:t>
      </w:r>
      <w:r>
        <w:t>Module 18. Nutritional, Lifestyle, and Systemic Support</w:t>
      </w:r>
    </w:p>
    <w:p>
      <w:pPr>
        <w:pStyle w:val="BodyCustom"/>
        <w:ind w:left="340"/>
      </w:pPr>
      <w:r>
        <w:rPr>
          <w:b/>
        </w:rPr>
        <w:t xml:space="preserve">• </w:t>
      </w:r>
      <w:r>
        <w:t>Module 19. Regenerative Medicine in Trichology</w:t>
      </w:r>
    </w:p>
    <w:p>
      <w:pPr>
        <w:pStyle w:val="ManualHeading2"/>
      </w:pPr>
      <w:r>
        <w:t>Section VI — Hair Restoration Surgery and Advanced Procedural Science</w:t>
      </w:r>
    </w:p>
    <w:p>
      <w:pPr>
        <w:pStyle w:val="BodyCustom"/>
        <w:ind w:left="340"/>
      </w:pPr>
      <w:r>
        <w:rPr>
          <w:b/>
        </w:rPr>
        <w:t xml:space="preserve">• </w:t>
      </w:r>
      <w:r>
        <w:t>Module 20. Principles of Hair Transplantation</w:t>
      </w:r>
    </w:p>
    <w:p>
      <w:pPr>
        <w:pStyle w:val="BodyCustom"/>
        <w:ind w:left="340"/>
      </w:pPr>
      <w:r>
        <w:rPr>
          <w:b/>
        </w:rPr>
        <w:t xml:space="preserve">• </w:t>
      </w:r>
      <w:r>
        <w:t>Module 21. Advanced FUE Science</w:t>
      </w:r>
    </w:p>
    <w:p>
      <w:pPr>
        <w:pStyle w:val="BodyCustom"/>
        <w:ind w:left="340"/>
      </w:pPr>
      <w:r>
        <w:rPr>
          <w:b/>
        </w:rPr>
        <w:t xml:space="preserve">• </w:t>
      </w:r>
      <w:r>
        <w:t>Module 22. Long Hair FUE and Unshaven Techniques</w:t>
      </w:r>
    </w:p>
    <w:p>
      <w:pPr>
        <w:pStyle w:val="BodyCustom"/>
        <w:ind w:left="340"/>
      </w:pPr>
      <w:r>
        <w:rPr>
          <w:b/>
        </w:rPr>
        <w:t xml:space="preserve">• </w:t>
      </w:r>
      <w:r>
        <w:t>Module 23. Partial Transection and Regenerative Donor Concepts</w:t>
      </w:r>
    </w:p>
    <w:p>
      <w:pPr>
        <w:pStyle w:val="BodyCustom"/>
        <w:ind w:left="340"/>
      </w:pPr>
      <w:r>
        <w:rPr>
          <w:b/>
        </w:rPr>
        <w:t xml:space="preserve">• </w:t>
      </w:r>
      <w:r>
        <w:t>Module 24. Surgical Recovery, Optimisation, and Complication Management</w:t>
      </w:r>
    </w:p>
    <w:p>
      <w:pPr>
        <w:pStyle w:val="ManualHeading2"/>
      </w:pPr>
      <w:r>
        <w:t>Section VII — Professional Practice, Research, and Certification</w:t>
      </w:r>
    </w:p>
    <w:p>
      <w:pPr>
        <w:pStyle w:val="BodyCustom"/>
        <w:ind w:left="340"/>
      </w:pPr>
      <w:r>
        <w:rPr>
          <w:b/>
        </w:rPr>
        <w:t xml:space="preserve">• </w:t>
      </w:r>
      <w:r>
        <w:t>Module 25. Consultation Mastery, Ethics, and Psychological Care</w:t>
      </w:r>
    </w:p>
    <w:p>
      <w:pPr>
        <w:pStyle w:val="BodyCustom"/>
        <w:ind w:left="340"/>
      </w:pPr>
      <w:r>
        <w:rPr>
          <w:b/>
        </w:rPr>
        <w:t xml:space="preserve">• </w:t>
      </w:r>
      <w:r>
        <w:t>Module 26. Research Literacy and Evidence Appraisal</w:t>
      </w:r>
    </w:p>
    <w:p>
      <w:pPr>
        <w:pStyle w:val="BodyCustom"/>
        <w:ind w:left="340"/>
      </w:pPr>
      <w:r>
        <w:rPr>
          <w:b/>
        </w:rPr>
        <w:t xml:space="preserve">• </w:t>
      </w:r>
      <w:r>
        <w:t>Module 27. Capstone Case Review and Clinical Integration</w:t>
      </w:r>
    </w:p>
    <w:p>
      <w:pPr>
        <w:pStyle w:val="BodyCustom"/>
        <w:ind w:left="340"/>
      </w:pPr>
      <w:r>
        <w:rPr>
          <w:b/>
        </w:rPr>
        <w:t xml:space="preserve">• </w:t>
      </w:r>
      <w:r>
        <w:t>Module 28. Final Assessment and Certification</w:t>
      </w:r>
    </w:p>
    <w:p>
      <w:r>
        <w:br w:type="page"/>
      </w:r>
    </w:p>
    <w:p>
      <w:pPr>
        <w:pStyle w:val="ManualHeading1"/>
      </w:pPr>
      <w:r>
        <w:t>7. Standard Lesson Architecture for Manual and LMS Conversion</w:t>
      </w:r>
    </w:p>
    <w:p>
      <w:pPr>
        <w:pStyle w:val="BodyCustom"/>
      </w:pPr>
      <w:r>
        <w:t>Every chapter in the written manual should be drafted so it can be converted directly into an online lesson. Each lesson should follow a consistent pedagogic architecture rather than a free-form chapter style.</w:t>
      </w:r>
    </w:p>
    <w:p>
      <w:pPr>
        <w:pStyle w:val="BodyCustom"/>
        <w:ind w:left="340"/>
      </w:pPr>
      <w:r>
        <w:rPr>
          <w:b/>
        </w:rPr>
        <w:t xml:space="preserve">• </w:t>
      </w:r>
      <w:r>
        <w:t>Lesson overview</w:t>
      </w:r>
    </w:p>
    <w:p>
      <w:pPr>
        <w:pStyle w:val="BodyCustom"/>
        <w:ind w:left="340"/>
      </w:pPr>
      <w:r>
        <w:rPr>
          <w:b/>
        </w:rPr>
        <w:t xml:space="preserve">• </w:t>
      </w:r>
      <w:r>
        <w:t>Learning objectives</w:t>
      </w:r>
    </w:p>
    <w:p>
      <w:pPr>
        <w:pStyle w:val="BodyCustom"/>
        <w:ind w:left="340"/>
      </w:pPr>
      <w:r>
        <w:rPr>
          <w:b/>
        </w:rPr>
        <w:t xml:space="preserve">• </w:t>
      </w:r>
      <w:r>
        <w:t>Why this lesson matters clinically</w:t>
      </w:r>
    </w:p>
    <w:p>
      <w:pPr>
        <w:pStyle w:val="BodyCustom"/>
        <w:ind w:left="340"/>
      </w:pPr>
      <w:r>
        <w:rPr>
          <w:b/>
        </w:rPr>
        <w:t xml:space="preserve">• </w:t>
      </w:r>
      <w:r>
        <w:t>Core scientific or clinical content</w:t>
      </w:r>
    </w:p>
    <w:p>
      <w:pPr>
        <w:pStyle w:val="BodyCustom"/>
        <w:ind w:left="340"/>
      </w:pPr>
      <w:r>
        <w:rPr>
          <w:b/>
        </w:rPr>
        <w:t xml:space="preserve">• </w:t>
      </w:r>
      <w:r>
        <w:t>Clinical reasoning framework</w:t>
      </w:r>
    </w:p>
    <w:p>
      <w:pPr>
        <w:pStyle w:val="BodyCustom"/>
        <w:ind w:left="340"/>
      </w:pPr>
      <w:r>
        <w:rPr>
          <w:b/>
        </w:rPr>
        <w:t xml:space="preserve">• </w:t>
      </w:r>
      <w:r>
        <w:t>Red flags and referral thresholds</w:t>
      </w:r>
    </w:p>
    <w:p>
      <w:pPr>
        <w:pStyle w:val="BodyCustom"/>
        <w:ind w:left="340"/>
      </w:pPr>
      <w:r>
        <w:rPr>
          <w:b/>
        </w:rPr>
        <w:t xml:space="preserve">• </w:t>
      </w:r>
      <w:r>
        <w:t>Evidence-tier callouts</w:t>
      </w:r>
    </w:p>
    <w:p>
      <w:pPr>
        <w:pStyle w:val="BodyCustom"/>
        <w:ind w:left="340"/>
      </w:pPr>
      <w:r>
        <w:rPr>
          <w:b/>
        </w:rPr>
        <w:t xml:space="preserve">• </w:t>
      </w:r>
      <w:r>
        <w:t>Trichoscopy, pathology, or laboratory correlation where relevant</w:t>
      </w:r>
    </w:p>
    <w:p>
      <w:pPr>
        <w:pStyle w:val="BodyCustom"/>
        <w:ind w:left="340"/>
      </w:pPr>
      <w:r>
        <w:rPr>
          <w:b/>
        </w:rPr>
        <w:t xml:space="preserve">• </w:t>
      </w:r>
      <w:r>
        <w:t>Treatment algorithm or decision pathway where relevant</w:t>
      </w:r>
    </w:p>
    <w:p>
      <w:pPr>
        <w:pStyle w:val="BodyCustom"/>
        <w:ind w:left="340"/>
      </w:pPr>
      <w:r>
        <w:rPr>
          <w:b/>
        </w:rPr>
        <w:t xml:space="preserve">• </w:t>
      </w:r>
      <w:r>
        <w:t>Key takeaways</w:t>
      </w:r>
    </w:p>
    <w:p>
      <w:pPr>
        <w:pStyle w:val="BodyCustom"/>
        <w:ind w:left="340"/>
      </w:pPr>
      <w:r>
        <w:rPr>
          <w:b/>
        </w:rPr>
        <w:t xml:space="preserve">• </w:t>
      </w:r>
      <w:r>
        <w:t>End-of-lesson quiz or image interpretation task</w:t>
      </w:r>
    </w:p>
    <w:p>
      <w:pPr>
        <w:pStyle w:val="BodyCustom"/>
        <w:ind w:left="340"/>
      </w:pPr>
      <w:r>
        <w:rPr>
          <w:b/>
        </w:rPr>
        <w:t xml:space="preserve">• </w:t>
      </w:r>
      <w:r>
        <w:t>Suggested reading and references</w:t>
      </w:r>
    </w:p>
    <w:p>
      <w:pPr>
        <w:pStyle w:val="ManualHeading1"/>
      </w:pPr>
      <w:r>
        <w:t>8. Assessment Model</w:t>
      </w:r>
    </w:p>
    <w:p>
      <w:pPr>
        <w:pStyle w:val="BodyCustom"/>
      </w:pPr>
      <w:r>
        <w:t>To satisfy doctor expectations and future academic review, the program should not rely on passive completion alone. Assessment must reflect clinical reasoning, interpretation skill, and treatment judgement.</w:t>
      </w:r>
    </w:p>
    <w:p>
      <w:pPr>
        <w:pStyle w:val="BodyCustom"/>
        <w:ind w:left="340"/>
      </w:pPr>
      <w:r>
        <w:rPr>
          <w:b/>
        </w:rPr>
        <w:t xml:space="preserve">• </w:t>
      </w:r>
      <w:r>
        <w:t>Module quizzes using MCQs and single-best-answer questions</w:t>
      </w:r>
    </w:p>
    <w:p>
      <w:pPr>
        <w:pStyle w:val="BodyCustom"/>
        <w:ind w:left="340"/>
      </w:pPr>
      <w:r>
        <w:rPr>
          <w:b/>
        </w:rPr>
        <w:t xml:space="preserve">• </w:t>
      </w:r>
      <w:r>
        <w:t>Image-based interpretation tasks, especially trichoscopy and scalp photography</w:t>
      </w:r>
    </w:p>
    <w:p>
      <w:pPr>
        <w:pStyle w:val="BodyCustom"/>
        <w:ind w:left="340"/>
      </w:pPr>
      <w:r>
        <w:rPr>
          <w:b/>
        </w:rPr>
        <w:t xml:space="preserve">• </w:t>
      </w:r>
      <w:r>
        <w:t>Short-answer questions testing structured workup logic</w:t>
      </w:r>
    </w:p>
    <w:p>
      <w:pPr>
        <w:pStyle w:val="BodyCustom"/>
        <w:ind w:left="340"/>
      </w:pPr>
      <w:r>
        <w:rPr>
          <w:b/>
        </w:rPr>
        <w:t xml:space="preserve">• </w:t>
      </w:r>
      <w:r>
        <w:t>Case-based clinical reasoning assignments with model responses</w:t>
      </w:r>
    </w:p>
    <w:p>
      <w:pPr>
        <w:pStyle w:val="BodyCustom"/>
        <w:ind w:left="340"/>
      </w:pPr>
      <w:r>
        <w:rPr>
          <w:b/>
        </w:rPr>
        <w:t xml:space="preserve">• </w:t>
      </w:r>
      <w:r>
        <w:t>Treatment planning portfolios for selected cases</w:t>
      </w:r>
    </w:p>
    <w:p>
      <w:pPr>
        <w:pStyle w:val="BodyCustom"/>
        <w:ind w:left="340"/>
      </w:pPr>
      <w:r>
        <w:rPr>
          <w:b/>
        </w:rPr>
        <w:t xml:space="preserve">• </w:t>
      </w:r>
      <w:r>
        <w:t>Final integrated examination across medicine, diagnosis, regeneration, and surgery</w:t>
      </w:r>
    </w:p>
    <w:p>
      <w:pPr>
        <w:pStyle w:val="BodyCustom"/>
        <w:ind w:left="340"/>
      </w:pPr>
      <w:r>
        <w:rPr>
          <w:b/>
        </w:rPr>
        <w:t xml:space="preserve">• </w:t>
      </w:r>
      <w:r>
        <w:t>Optional faculty-reviewed viva or oral defence for distinction-level certification</w:t>
      </w:r>
    </w:p>
    <w:p>
      <w:pPr>
        <w:pStyle w:val="ManualHeading1"/>
      </w:pPr>
      <w:r>
        <w:t>9. Certification Logic</w:t>
      </w:r>
    </w:p>
    <w:tbl>
      <w:tblPr>
        <w:tblW w:type="auto" w:w="0"/>
        <w:jc w:val="center"/>
        <w:tblLayout w:type="fixed"/>
        <w:tblLook w:firstColumn="1" w:firstRow="1" w:lastColumn="0" w:lastRow="0" w:noHBand="0" w:noVBand="1" w:val="04A0"/>
      </w:tblPr>
      <w:tblGrid>
        <w:gridCol w:w="4873"/>
        <w:gridCol w:w="4873"/>
      </w:tblGrid>
      <w:tr>
        <w:tc>
          <w:tcPr>
            <w:tcW w:type="dxa" w:w="3061"/>
            <w:tcMar>
              <w:top w:w="90" w:type="dxa"/>
              <w:start w:w="110" w:type="dxa"/>
              <w:bottom w:w="90" w:type="dxa"/>
              <w:end w:w="110" w:type="dxa"/>
            </w:tcMar>
            <w:shd w:fill="EAF1F7"/>
            <w:vAlign w:val="center"/>
          </w:tcPr>
          <w:p>
            <w:pPr>
              <w:pStyle w:val="BodyCustom"/>
            </w:pPr>
            <w:r>
              <w:rPr>
                <w:b/>
              </w:rPr>
              <w:t>Completion rule</w:t>
            </w:r>
          </w:p>
        </w:tc>
        <w:tc>
          <w:tcPr>
            <w:tcW w:type="dxa" w:w="5556"/>
            <w:tcMar>
              <w:top w:w="90" w:type="dxa"/>
              <w:start w:w="110" w:type="dxa"/>
              <w:bottom w:w="90" w:type="dxa"/>
              <w:end w:w="110" w:type="dxa"/>
            </w:tcMar>
            <w:vAlign w:val="center"/>
          </w:tcPr>
          <w:p>
            <w:pPr>
              <w:pStyle w:val="BodyCustom"/>
            </w:pPr>
            <w:r>
              <w:t>All core lessons completed and all mandatory assessments submitted</w:t>
            </w:r>
          </w:p>
        </w:tc>
      </w:tr>
      <w:tr>
        <w:tc>
          <w:tcPr>
            <w:tcW w:type="dxa" w:w="3061"/>
            <w:tcMar>
              <w:top w:w="90" w:type="dxa"/>
              <w:start w:w="110" w:type="dxa"/>
              <w:bottom w:w="90" w:type="dxa"/>
              <w:end w:w="110" w:type="dxa"/>
            </w:tcMar>
            <w:shd w:fill="EAF1F7"/>
            <w:vAlign w:val="center"/>
          </w:tcPr>
          <w:p>
            <w:pPr>
              <w:pStyle w:val="BodyCustom"/>
            </w:pPr>
            <w:r>
              <w:rPr>
                <w:b/>
              </w:rPr>
              <w:t>Pass threshold</w:t>
            </w:r>
          </w:p>
        </w:tc>
        <w:tc>
          <w:tcPr>
            <w:tcW w:type="dxa" w:w="5556"/>
            <w:tcMar>
              <w:top w:w="90" w:type="dxa"/>
              <w:start w:w="110" w:type="dxa"/>
              <w:bottom w:w="90" w:type="dxa"/>
              <w:end w:w="110" w:type="dxa"/>
            </w:tcMar>
            <w:vAlign w:val="center"/>
          </w:tcPr>
          <w:p>
            <w:pPr>
              <w:pStyle w:val="BodyCustom"/>
            </w:pPr>
            <w:r>
              <w:t>Recommended overall pass standard of at least 70%, with higher thresholds possible for selected clinical modules</w:t>
            </w:r>
          </w:p>
        </w:tc>
      </w:tr>
      <w:tr>
        <w:tc>
          <w:tcPr>
            <w:tcW w:type="dxa" w:w="3061"/>
            <w:tcMar>
              <w:top w:w="90" w:type="dxa"/>
              <w:start w:w="110" w:type="dxa"/>
              <w:bottom w:w="90" w:type="dxa"/>
              <w:end w:w="110" w:type="dxa"/>
            </w:tcMar>
            <w:shd w:fill="EAF1F7"/>
            <w:vAlign w:val="center"/>
          </w:tcPr>
          <w:p>
            <w:pPr>
              <w:pStyle w:val="BodyCustom"/>
            </w:pPr>
            <w:r>
              <w:rPr>
                <w:b/>
              </w:rPr>
              <w:t>Critical safety rule</w:t>
            </w:r>
          </w:p>
        </w:tc>
        <w:tc>
          <w:tcPr>
            <w:tcW w:type="dxa" w:w="5556"/>
            <w:tcMar>
              <w:top w:w="90" w:type="dxa"/>
              <w:start w:w="110" w:type="dxa"/>
              <w:bottom w:w="90" w:type="dxa"/>
              <w:end w:w="110" w:type="dxa"/>
            </w:tcMar>
            <w:vAlign w:val="center"/>
          </w:tcPr>
          <w:p>
            <w:pPr>
              <w:pStyle w:val="BodyCustom"/>
            </w:pPr>
            <w:r>
              <w:t>Scarring alopecia, biopsy logic, and ethics modules should require mandatory pass status rather than simple participation</w:t>
            </w:r>
          </w:p>
        </w:tc>
      </w:tr>
      <w:tr>
        <w:tc>
          <w:tcPr>
            <w:tcW w:type="dxa" w:w="3061"/>
            <w:tcMar>
              <w:top w:w="90" w:type="dxa"/>
              <w:start w:w="110" w:type="dxa"/>
              <w:bottom w:w="90" w:type="dxa"/>
              <w:end w:w="110" w:type="dxa"/>
            </w:tcMar>
            <w:shd w:fill="EAF1F7"/>
            <w:vAlign w:val="center"/>
          </w:tcPr>
          <w:p>
            <w:pPr>
              <w:pStyle w:val="BodyCustom"/>
            </w:pPr>
            <w:r>
              <w:rPr>
                <w:b/>
              </w:rPr>
              <w:t>Faculty review</w:t>
            </w:r>
          </w:p>
        </w:tc>
        <w:tc>
          <w:tcPr>
            <w:tcW w:type="dxa" w:w="5556"/>
            <w:tcMar>
              <w:top w:w="90" w:type="dxa"/>
              <w:start w:w="110" w:type="dxa"/>
              <w:bottom w:w="90" w:type="dxa"/>
              <w:end w:w="110" w:type="dxa"/>
            </w:tcMar>
            <w:vAlign w:val="center"/>
          </w:tcPr>
          <w:p>
            <w:pPr>
              <w:pStyle w:val="BodyCustom"/>
            </w:pPr>
            <w:r>
              <w:t>Selected capstone cases and advanced procedural modules may require manual sign-off</w:t>
            </w:r>
          </w:p>
        </w:tc>
      </w:tr>
      <w:tr>
        <w:tc>
          <w:tcPr>
            <w:tcW w:type="dxa" w:w="3061"/>
            <w:tcMar>
              <w:top w:w="90" w:type="dxa"/>
              <w:start w:w="110" w:type="dxa"/>
              <w:bottom w:w="90" w:type="dxa"/>
              <w:end w:w="110" w:type="dxa"/>
            </w:tcMar>
            <w:shd w:fill="EAF1F7"/>
            <w:vAlign w:val="center"/>
          </w:tcPr>
          <w:p>
            <w:pPr>
              <w:pStyle w:val="BodyCustom"/>
            </w:pPr>
            <w:r>
              <w:rPr>
                <w:b/>
              </w:rPr>
              <w:t>Certificate release</w:t>
            </w:r>
          </w:p>
        </w:tc>
        <w:tc>
          <w:tcPr>
            <w:tcW w:type="dxa" w:w="5556"/>
            <w:tcMar>
              <w:top w:w="90" w:type="dxa"/>
              <w:start w:w="110" w:type="dxa"/>
              <w:bottom w:w="90" w:type="dxa"/>
              <w:end w:w="110" w:type="dxa"/>
            </w:tcMar>
            <w:vAlign w:val="center"/>
          </w:tcPr>
          <w:p>
            <w:pPr>
              <w:pStyle w:val="BodyCustom"/>
            </w:pPr>
            <w:r>
              <w:t>Digital certificate issued only when both automated and faculty requirements are satisfied</w:t>
            </w:r>
          </w:p>
        </w:tc>
      </w:tr>
      <w:tr>
        <w:tc>
          <w:tcPr>
            <w:tcW w:type="dxa" w:w="3061"/>
            <w:tcMar>
              <w:top w:w="90" w:type="dxa"/>
              <w:start w:w="110" w:type="dxa"/>
              <w:bottom w:w="90" w:type="dxa"/>
              <w:end w:w="110" w:type="dxa"/>
            </w:tcMar>
            <w:shd w:fill="EAF1F7"/>
            <w:vAlign w:val="center"/>
          </w:tcPr>
          <w:p>
            <w:pPr>
              <w:pStyle w:val="BodyCustom"/>
            </w:pPr>
            <w:r>
              <w:rPr>
                <w:b/>
              </w:rPr>
              <w:t>Future pathway</w:t>
            </w:r>
          </w:p>
        </w:tc>
        <w:tc>
          <w:tcPr>
            <w:tcW w:type="dxa" w:w="5556"/>
            <w:tcMar>
              <w:top w:w="90" w:type="dxa"/>
              <w:start w:w="110" w:type="dxa"/>
              <w:bottom w:w="90" w:type="dxa"/>
              <w:end w:w="110" w:type="dxa"/>
            </w:tcMar>
            <w:vAlign w:val="center"/>
          </w:tcPr>
          <w:p>
            <w:pPr>
              <w:pStyle w:val="BodyCustom"/>
            </w:pPr>
            <w:r>
              <w:t>Capability to add distinction, honours, or stream-specific endorsements such as regenerative medicine or surgical planning</w:t>
            </w:r>
          </w:p>
        </w:tc>
      </w:tr>
    </w:tbl>
    <w:p>
      <w:pPr>
        <w:pStyle w:val="ManualHeading1"/>
      </w:pPr>
      <w:r>
        <w:t>10. Evidence and Academic Integrity Framework</w:t>
      </w:r>
    </w:p>
    <w:p>
      <w:pPr>
        <w:pStyle w:val="BodyCustom"/>
      </w:pPr>
      <w:r>
        <w:t>Because this program aims for doctor confidence and potential university review, all content should be tagged within a visible evidence framework. Novelty should never be hidden inside standard teaching. This strengthens, rather than weakens, the academy’s credibility.</w:t>
      </w:r>
    </w:p>
    <w:p>
      <w:pPr>
        <w:pStyle w:val="BodyCustom"/>
      </w:pPr>
      <w:r>
        <w:rPr>
          <w:b/>
        </w:rPr>
        <w:t xml:space="preserve">Level A — Established clinical standard: </w:t>
      </w:r>
      <w:r>
        <w:t>Material broadly supported by guidelines, reviews, consensus statements, or long-standing specialist practice.</w:t>
      </w:r>
    </w:p>
    <w:p>
      <w:pPr>
        <w:pStyle w:val="BodyCustom"/>
      </w:pPr>
      <w:r>
        <w:rPr>
          <w:b/>
        </w:rPr>
        <w:t xml:space="preserve">Level B — Consensus-based contemporary practice: </w:t>
      </w:r>
      <w:r>
        <w:t>Material widely used in specialist practice but with variation in protocol, technique, or regional uptake.</w:t>
      </w:r>
    </w:p>
    <w:p>
      <w:pPr>
        <w:pStyle w:val="BodyCustom"/>
      </w:pPr>
      <w:r>
        <w:rPr>
          <w:b/>
        </w:rPr>
        <w:t xml:space="preserve">Level C — Emerging or evolving evidence: </w:t>
      </w:r>
      <w:r>
        <w:t>Promising approaches with increasing support but with unresolved heterogeneity, protocol variability, or limited long-term data.</w:t>
      </w:r>
    </w:p>
    <w:p>
      <w:pPr>
        <w:pStyle w:val="BodyCustom"/>
      </w:pPr>
      <w:r>
        <w:rPr>
          <w:b/>
        </w:rPr>
        <w:t xml:space="preserve">Level D — Academy-signature or advanced concept: </w:t>
      </w:r>
      <w:r>
        <w:t>Innovative techniques or frameworks taught transparently as advanced concepts requiring further outcomes tracking, audit, or publication.</w:t>
      </w:r>
    </w:p>
    <w:p>
      <w:pPr>
        <w:pStyle w:val="BodyCustom"/>
      </w:pPr>
      <w:r>
        <w:t>Within this framework, PRP can be taught as established-to-consensus practice depending on indication and protocol, while exosomes and related extracellular-vesicle therapies should be presented as promising but less standardised. Partial transection-based donor concepts should remain transparently positioned as academy-signature or emerging content unless and until peer-reviewed evidence matures further.</w:t>
      </w:r>
    </w:p>
    <w:p>
      <w:pPr>
        <w:pStyle w:val="ManualHeading1"/>
      </w:pPr>
      <w:r>
        <w:t>11. University-Readiness Considerations</w:t>
      </w:r>
    </w:p>
    <w:p>
      <w:pPr>
        <w:pStyle w:val="BodyCustom"/>
        <w:ind w:left="340"/>
      </w:pPr>
      <w:r>
        <w:rPr>
          <w:b/>
        </w:rPr>
        <w:t xml:space="preserve">• </w:t>
      </w:r>
      <w:r>
        <w:t>Written learning outcomes for every module and lesson</w:t>
      </w:r>
    </w:p>
    <w:p>
      <w:pPr>
        <w:pStyle w:val="BodyCustom"/>
        <w:ind w:left="340"/>
      </w:pPr>
      <w:r>
        <w:rPr>
          <w:b/>
        </w:rPr>
        <w:t xml:space="preserve">• </w:t>
      </w:r>
      <w:r>
        <w:t>Clear graduate competencies and scope boundaries</w:t>
      </w:r>
    </w:p>
    <w:p>
      <w:pPr>
        <w:pStyle w:val="BodyCustom"/>
        <w:ind w:left="340"/>
      </w:pPr>
      <w:r>
        <w:rPr>
          <w:b/>
        </w:rPr>
        <w:t xml:space="preserve">• </w:t>
      </w:r>
      <w:r>
        <w:t>Assessment blueprint linked to outcomes</w:t>
      </w:r>
    </w:p>
    <w:p>
      <w:pPr>
        <w:pStyle w:val="BodyCustom"/>
        <w:ind w:left="340"/>
      </w:pPr>
      <w:r>
        <w:rPr>
          <w:b/>
        </w:rPr>
        <w:t xml:space="preserve">• </w:t>
      </w:r>
      <w:r>
        <w:t>Faculty governance and moderation process</w:t>
      </w:r>
    </w:p>
    <w:p>
      <w:pPr>
        <w:pStyle w:val="BodyCustom"/>
        <w:ind w:left="340"/>
      </w:pPr>
      <w:r>
        <w:rPr>
          <w:b/>
        </w:rPr>
        <w:t xml:space="preserve">• </w:t>
      </w:r>
      <w:r>
        <w:t>Version-controlled manual and content updates</w:t>
      </w:r>
    </w:p>
    <w:p>
      <w:pPr>
        <w:pStyle w:val="BodyCustom"/>
        <w:ind w:left="340"/>
      </w:pPr>
      <w:r>
        <w:rPr>
          <w:b/>
        </w:rPr>
        <w:t xml:space="preserve">• </w:t>
      </w:r>
      <w:r>
        <w:t>Transparent referencing and reading lists</w:t>
      </w:r>
    </w:p>
    <w:p>
      <w:pPr>
        <w:pStyle w:val="BodyCustom"/>
        <w:ind w:left="340"/>
      </w:pPr>
      <w:r>
        <w:rPr>
          <w:b/>
        </w:rPr>
        <w:t xml:space="preserve">• </w:t>
      </w:r>
      <w:r>
        <w:t>Conflict-of-interest and sponsorship transparency</w:t>
      </w:r>
    </w:p>
    <w:p>
      <w:pPr>
        <w:pStyle w:val="BodyCustom"/>
        <w:ind w:left="340"/>
      </w:pPr>
      <w:r>
        <w:rPr>
          <w:b/>
        </w:rPr>
        <w:t xml:space="preserve">• </w:t>
      </w:r>
      <w:r>
        <w:t>External review pathway and possible co-badging framework</w:t>
      </w:r>
    </w:p>
    <w:p>
      <w:r>
        <w:br w:type="page"/>
      </w:r>
    </w:p>
    <w:p>
      <w:pPr>
        <w:pStyle w:val="ManualHeading1"/>
      </w:pPr>
      <w:r>
        <w:t>12. LMS Blueprint for iiohr.com</w:t>
      </w:r>
    </w:p>
    <w:p>
      <w:pPr>
        <w:pStyle w:val="BodyCustom"/>
      </w:pPr>
      <w:r>
        <w:t>The digital learning environment should present as a premium postgraduate doctor platform rather than a generic consumer LMS. Each doctor should enter through a professional dashboard and move through modules in a controlled, clinically serious format.</w:t>
      </w:r>
    </w:p>
    <w:p>
      <w:pPr>
        <w:pStyle w:val="BodyCustom"/>
        <w:ind w:left="340"/>
      </w:pPr>
      <w:r>
        <w:rPr>
          <w:b/>
        </w:rPr>
        <w:t xml:space="preserve">• </w:t>
      </w:r>
      <w:r>
        <w:t>Doctor dashboard with enrolled programs, current module, progress, assessment status, and certificate status</w:t>
      </w:r>
    </w:p>
    <w:p>
      <w:pPr>
        <w:pStyle w:val="BodyCustom"/>
        <w:ind w:left="340"/>
      </w:pPr>
      <w:r>
        <w:rPr>
          <w:b/>
        </w:rPr>
        <w:t xml:space="preserve">• </w:t>
      </w:r>
      <w:r>
        <w:t>Program pages with academic overview, outcomes, module list, and faculty information</w:t>
      </w:r>
    </w:p>
    <w:p>
      <w:pPr>
        <w:pStyle w:val="BodyCustom"/>
        <w:ind w:left="340"/>
      </w:pPr>
      <w:r>
        <w:rPr>
          <w:b/>
        </w:rPr>
        <w:t xml:space="preserve">• </w:t>
      </w:r>
      <w:r>
        <w:t>Lesson pages with rich text, images, evidence callouts, red flags, and downloadable resources</w:t>
      </w:r>
    </w:p>
    <w:p>
      <w:pPr>
        <w:pStyle w:val="BodyCustom"/>
        <w:ind w:left="340"/>
      </w:pPr>
      <w:r>
        <w:rPr>
          <w:b/>
        </w:rPr>
        <w:t xml:space="preserve">• </w:t>
      </w:r>
      <w:r>
        <w:t>Assessment pages for quizzes, short-answer tasks, image interpretation, and case-based reasoning</w:t>
      </w:r>
    </w:p>
    <w:p>
      <w:pPr>
        <w:pStyle w:val="BodyCustom"/>
        <w:ind w:left="340"/>
      </w:pPr>
      <w:r>
        <w:rPr>
          <w:b/>
        </w:rPr>
        <w:t xml:space="preserve">• </w:t>
      </w:r>
      <w:r>
        <w:t>Case library for longitudinal clinical scenarios</w:t>
      </w:r>
    </w:p>
    <w:p>
      <w:pPr>
        <w:pStyle w:val="BodyCustom"/>
        <w:ind w:left="340"/>
      </w:pPr>
      <w:r>
        <w:rPr>
          <w:b/>
        </w:rPr>
        <w:t xml:space="preserve">• </w:t>
      </w:r>
      <w:r>
        <w:t>Certificate page with eligibility status and downloadable certificates</w:t>
      </w:r>
    </w:p>
    <w:p>
      <w:pPr>
        <w:pStyle w:val="BodyCustom"/>
        <w:ind w:left="340"/>
      </w:pPr>
      <w:r>
        <w:rPr>
          <w:b/>
        </w:rPr>
        <w:t xml:space="preserve">• </w:t>
      </w:r>
      <w:r>
        <w:t>Admin layer for faculty review, content edits, moderation, and certificate release</w:t>
      </w:r>
    </w:p>
    <w:p>
      <w:pPr>
        <w:pStyle w:val="ManualHeading1"/>
      </w:pPr>
      <w:r>
        <w:t>13. Proposed Route Map</w:t>
      </w:r>
    </w:p>
    <w:p>
      <w:pPr>
        <w:pStyle w:val="BodyCustom"/>
        <w:ind w:left="340"/>
      </w:pPr>
      <w:r>
        <w:rPr>
          <w:b/>
        </w:rPr>
        <w:t xml:space="preserve">• </w:t>
      </w:r>
      <w:r>
        <w:t>/doctors</w:t>
      </w:r>
    </w:p>
    <w:p>
      <w:pPr>
        <w:pStyle w:val="BodyCustom"/>
        <w:ind w:left="340"/>
      </w:pPr>
      <w:r>
        <w:rPr>
          <w:b/>
        </w:rPr>
        <w:t xml:space="preserve">• </w:t>
      </w:r>
      <w:r>
        <w:t>/doctors/programs</w:t>
      </w:r>
    </w:p>
    <w:p>
      <w:pPr>
        <w:pStyle w:val="BodyCustom"/>
        <w:ind w:left="340"/>
      </w:pPr>
      <w:r>
        <w:rPr>
          <w:b/>
        </w:rPr>
        <w:t xml:space="preserve">• </w:t>
      </w:r>
      <w:r>
        <w:t>/doctors/programs/[programSlug]</w:t>
      </w:r>
    </w:p>
    <w:p>
      <w:pPr>
        <w:pStyle w:val="BodyCustom"/>
        <w:ind w:left="340"/>
      </w:pPr>
      <w:r>
        <w:rPr>
          <w:b/>
        </w:rPr>
        <w:t xml:space="preserve">• </w:t>
      </w:r>
      <w:r>
        <w:t>/doctors/programs/[programSlug]/modules/[moduleSlug]</w:t>
      </w:r>
    </w:p>
    <w:p>
      <w:pPr>
        <w:pStyle w:val="BodyCustom"/>
        <w:ind w:left="340"/>
      </w:pPr>
      <w:r>
        <w:rPr>
          <w:b/>
        </w:rPr>
        <w:t xml:space="preserve">• </w:t>
      </w:r>
      <w:r>
        <w:t>/doctors/programs/[programSlug]/lessons/[lessonSlug]</w:t>
      </w:r>
    </w:p>
    <w:p>
      <w:pPr>
        <w:pStyle w:val="BodyCustom"/>
        <w:ind w:left="340"/>
      </w:pPr>
      <w:r>
        <w:rPr>
          <w:b/>
        </w:rPr>
        <w:t xml:space="preserve">• </w:t>
      </w:r>
      <w:r>
        <w:t>/doctors/programs/[programSlug]/assessments/[assessmentSlug]</w:t>
      </w:r>
    </w:p>
    <w:p>
      <w:pPr>
        <w:pStyle w:val="BodyCustom"/>
        <w:ind w:left="340"/>
      </w:pPr>
      <w:r>
        <w:rPr>
          <w:b/>
        </w:rPr>
        <w:t xml:space="preserve">• </w:t>
      </w:r>
      <w:r>
        <w:t>/doctors/dashboard</w:t>
      </w:r>
    </w:p>
    <w:p>
      <w:pPr>
        <w:pStyle w:val="BodyCustom"/>
        <w:ind w:left="340"/>
      </w:pPr>
      <w:r>
        <w:rPr>
          <w:b/>
        </w:rPr>
        <w:t xml:space="preserve">• </w:t>
      </w:r>
      <w:r>
        <w:t>/doctors/certificates</w:t>
      </w:r>
    </w:p>
    <w:p>
      <w:pPr>
        <w:pStyle w:val="ManualHeading1"/>
      </w:pPr>
      <w:r>
        <w:t>14. Content Model for Cursor Build</w:t>
      </w:r>
    </w:p>
    <w:tbl>
      <w:tblPr>
        <w:tblW w:type="auto" w:w="0"/>
        <w:jc w:val="center"/>
        <w:tblLayout w:type="fixed"/>
        <w:tblLook w:firstColumn="1" w:firstRow="1" w:lastColumn="0" w:lastRow="0" w:noHBand="0" w:noVBand="1" w:val="04A0"/>
      </w:tblPr>
      <w:tblGrid>
        <w:gridCol w:w="3249"/>
        <w:gridCol w:w="3249"/>
        <w:gridCol w:w="3249"/>
      </w:tblGrid>
      <w:tr>
        <w:tc>
          <w:tcPr>
            <w:tcW w:type="dxa" w:w="1701"/>
            <w:shd w:fill="D9E7F5"/>
            <w:tcMar>
              <w:top w:w="90" w:type="dxa"/>
              <w:start w:w="110" w:type="dxa"/>
              <w:bottom w:w="90" w:type="dxa"/>
              <w:end w:w="110" w:type="dxa"/>
            </w:tcMar>
            <w:vAlign w:val="center"/>
          </w:tcPr>
          <w:p>
            <w:pPr>
              <w:pStyle w:val="BodyCustom"/>
            </w:pPr>
            <w:r>
              <w:rPr>
                <w:b/>
              </w:rPr>
              <w:t>Object</w:t>
            </w:r>
          </w:p>
        </w:tc>
        <w:tc>
          <w:tcPr>
            <w:tcW w:type="dxa" w:w="2381"/>
            <w:shd w:fill="D9E7F5"/>
            <w:tcMar>
              <w:top w:w="90" w:type="dxa"/>
              <w:start w:w="110" w:type="dxa"/>
              <w:bottom w:w="90" w:type="dxa"/>
              <w:end w:w="110" w:type="dxa"/>
            </w:tcMar>
            <w:vAlign w:val="center"/>
          </w:tcPr>
          <w:p>
            <w:pPr>
              <w:pStyle w:val="BodyCustom"/>
            </w:pPr>
            <w:r>
              <w:rPr>
                <w:b/>
              </w:rPr>
              <w:t>Core purpose</w:t>
            </w:r>
          </w:p>
        </w:tc>
        <w:tc>
          <w:tcPr>
            <w:tcW w:type="dxa" w:w="4535"/>
            <w:shd w:fill="D9E7F5"/>
            <w:tcMar>
              <w:top w:w="90" w:type="dxa"/>
              <w:start w:w="110" w:type="dxa"/>
              <w:bottom w:w="90" w:type="dxa"/>
              <w:end w:w="110" w:type="dxa"/>
            </w:tcMar>
            <w:vAlign w:val="center"/>
          </w:tcPr>
          <w:p>
            <w:pPr>
              <w:pStyle w:val="BodyCustom"/>
            </w:pPr>
            <w:r>
              <w:rPr>
                <w:b/>
              </w:rPr>
              <w:t>Required fields</w:t>
            </w:r>
          </w:p>
        </w:tc>
      </w:tr>
      <w:tr>
        <w:tc>
          <w:tcPr>
            <w:tcW w:type="dxa" w:w="1701"/>
            <w:tcMar>
              <w:top w:w="90" w:type="dxa"/>
              <w:start w:w="110" w:type="dxa"/>
              <w:bottom w:w="90" w:type="dxa"/>
              <w:end w:w="110" w:type="dxa"/>
            </w:tcMar>
            <w:shd w:fill="F4F8FB"/>
            <w:vAlign w:val="center"/>
          </w:tcPr>
          <w:p>
            <w:pPr>
              <w:pStyle w:val="BodyCustom"/>
            </w:pPr>
            <w:r>
              <w:t>Program</w:t>
            </w:r>
          </w:p>
        </w:tc>
        <w:tc>
          <w:tcPr>
            <w:tcW w:type="dxa" w:w="2381"/>
            <w:tcMar>
              <w:top w:w="90" w:type="dxa"/>
              <w:start w:w="110" w:type="dxa"/>
              <w:bottom w:w="90" w:type="dxa"/>
              <w:end w:w="110" w:type="dxa"/>
            </w:tcMar>
            <w:vAlign w:val="center"/>
          </w:tcPr>
          <w:p>
            <w:pPr>
              <w:pStyle w:val="BodyCustom"/>
            </w:pPr>
            <w:r>
              <w:t>Top-level qualification container</w:t>
            </w:r>
          </w:p>
        </w:tc>
        <w:tc>
          <w:tcPr>
            <w:tcW w:type="dxa" w:w="4535"/>
            <w:tcMar>
              <w:top w:w="90" w:type="dxa"/>
              <w:start w:w="110" w:type="dxa"/>
              <w:bottom w:w="90" w:type="dxa"/>
              <w:end w:w="110" w:type="dxa"/>
            </w:tcMar>
            <w:vAlign w:val="center"/>
          </w:tcPr>
          <w:p>
            <w:pPr>
              <w:pStyle w:val="BodyCustom"/>
            </w:pPr>
            <w:r>
              <w:t>title, slug, qualification type, duration, overview, outcomes, certificate rules</w:t>
            </w:r>
          </w:p>
        </w:tc>
      </w:tr>
      <w:tr>
        <w:tc>
          <w:tcPr>
            <w:tcW w:type="dxa" w:w="1701"/>
            <w:tcMar>
              <w:top w:w="90" w:type="dxa"/>
              <w:start w:w="110" w:type="dxa"/>
              <w:bottom w:w="90" w:type="dxa"/>
              <w:end w:w="110" w:type="dxa"/>
            </w:tcMar>
            <w:shd w:fill="F4F8FB"/>
            <w:vAlign w:val="center"/>
          </w:tcPr>
          <w:p>
            <w:pPr>
              <w:pStyle w:val="BodyCustom"/>
            </w:pPr>
            <w:r>
              <w:t>Module</w:t>
            </w:r>
          </w:p>
        </w:tc>
        <w:tc>
          <w:tcPr>
            <w:tcW w:type="dxa" w:w="2381"/>
            <w:tcMar>
              <w:top w:w="90" w:type="dxa"/>
              <w:start w:w="110" w:type="dxa"/>
              <w:bottom w:w="90" w:type="dxa"/>
              <w:end w:w="110" w:type="dxa"/>
            </w:tcMar>
            <w:vAlign w:val="center"/>
          </w:tcPr>
          <w:p>
            <w:pPr>
              <w:pStyle w:val="BodyCustom"/>
            </w:pPr>
            <w:r>
              <w:t>Academic teaching unit</w:t>
            </w:r>
          </w:p>
        </w:tc>
        <w:tc>
          <w:tcPr>
            <w:tcW w:type="dxa" w:w="4535"/>
            <w:tcMar>
              <w:top w:w="90" w:type="dxa"/>
              <w:start w:w="110" w:type="dxa"/>
              <w:bottom w:w="90" w:type="dxa"/>
              <w:end w:w="110" w:type="dxa"/>
            </w:tcMar>
            <w:vAlign w:val="center"/>
          </w:tcPr>
          <w:p>
            <w:pPr>
              <w:pStyle w:val="BodyCustom"/>
            </w:pPr>
            <w:r>
              <w:t>title, slug, overview, learning outcomes, competencies, estimated duration, unlock rule, assessment rule</w:t>
            </w:r>
          </w:p>
        </w:tc>
      </w:tr>
      <w:tr>
        <w:tc>
          <w:tcPr>
            <w:tcW w:type="dxa" w:w="1701"/>
            <w:tcMar>
              <w:top w:w="90" w:type="dxa"/>
              <w:start w:w="110" w:type="dxa"/>
              <w:bottom w:w="90" w:type="dxa"/>
              <w:end w:w="110" w:type="dxa"/>
            </w:tcMar>
            <w:shd w:fill="F4F8FB"/>
            <w:vAlign w:val="center"/>
          </w:tcPr>
          <w:p>
            <w:pPr>
              <w:pStyle w:val="BodyCustom"/>
            </w:pPr>
            <w:r>
              <w:t>Lesson</w:t>
            </w:r>
          </w:p>
        </w:tc>
        <w:tc>
          <w:tcPr>
            <w:tcW w:type="dxa" w:w="2381"/>
            <w:tcMar>
              <w:top w:w="90" w:type="dxa"/>
              <w:start w:w="110" w:type="dxa"/>
              <w:bottom w:w="90" w:type="dxa"/>
              <w:end w:w="110" w:type="dxa"/>
            </w:tcMar>
            <w:vAlign w:val="center"/>
          </w:tcPr>
          <w:p>
            <w:pPr>
              <w:pStyle w:val="BodyCustom"/>
            </w:pPr>
            <w:r>
              <w:t>Deliverable learning page</w:t>
            </w:r>
          </w:p>
        </w:tc>
        <w:tc>
          <w:tcPr>
            <w:tcW w:type="dxa" w:w="4535"/>
            <w:tcMar>
              <w:top w:w="90" w:type="dxa"/>
              <w:start w:w="110" w:type="dxa"/>
              <w:bottom w:w="90" w:type="dxa"/>
              <w:end w:w="110" w:type="dxa"/>
            </w:tcMar>
            <w:vAlign w:val="center"/>
          </w:tcPr>
          <w:p>
            <w:pPr>
              <w:pStyle w:val="BodyCustom"/>
            </w:pPr>
            <w:r>
              <w:t>title, slug, objectives, body, key takeaways, red flags, evidence tier, references, quiz link, case link</w:t>
            </w:r>
          </w:p>
        </w:tc>
      </w:tr>
      <w:tr>
        <w:tc>
          <w:tcPr>
            <w:tcW w:type="dxa" w:w="1701"/>
            <w:tcMar>
              <w:top w:w="90" w:type="dxa"/>
              <w:start w:w="110" w:type="dxa"/>
              <w:bottom w:w="90" w:type="dxa"/>
              <w:end w:w="110" w:type="dxa"/>
            </w:tcMar>
            <w:shd w:fill="F4F8FB"/>
            <w:vAlign w:val="center"/>
          </w:tcPr>
          <w:p>
            <w:pPr>
              <w:pStyle w:val="BodyCustom"/>
            </w:pPr>
            <w:r>
              <w:t>Assessment</w:t>
            </w:r>
          </w:p>
        </w:tc>
        <w:tc>
          <w:tcPr>
            <w:tcW w:type="dxa" w:w="2381"/>
            <w:tcMar>
              <w:top w:w="90" w:type="dxa"/>
              <w:start w:w="110" w:type="dxa"/>
              <w:bottom w:w="90" w:type="dxa"/>
              <w:end w:w="110" w:type="dxa"/>
            </w:tcMar>
            <w:vAlign w:val="center"/>
          </w:tcPr>
          <w:p>
            <w:pPr>
              <w:pStyle w:val="BodyCustom"/>
            </w:pPr>
            <w:r>
              <w:t>Formal evaluation unit</w:t>
            </w:r>
          </w:p>
        </w:tc>
        <w:tc>
          <w:tcPr>
            <w:tcW w:type="dxa" w:w="4535"/>
            <w:tcMar>
              <w:top w:w="90" w:type="dxa"/>
              <w:start w:w="110" w:type="dxa"/>
              <w:bottom w:w="90" w:type="dxa"/>
              <w:end w:w="110" w:type="dxa"/>
            </w:tcMar>
            <w:vAlign w:val="center"/>
          </w:tcPr>
          <w:p>
            <w:pPr>
              <w:pStyle w:val="BodyCustom"/>
            </w:pPr>
            <w:r>
              <w:t>type, pass mark, retries, question bank, faculty review flag, completion dependency</w:t>
            </w:r>
          </w:p>
        </w:tc>
      </w:tr>
      <w:tr>
        <w:tc>
          <w:tcPr>
            <w:tcW w:type="dxa" w:w="1701"/>
            <w:tcMar>
              <w:top w:w="90" w:type="dxa"/>
              <w:start w:w="110" w:type="dxa"/>
              <w:bottom w:w="90" w:type="dxa"/>
              <w:end w:w="110" w:type="dxa"/>
            </w:tcMar>
            <w:shd w:fill="F4F8FB"/>
            <w:vAlign w:val="center"/>
          </w:tcPr>
          <w:p>
            <w:pPr>
              <w:pStyle w:val="BodyCustom"/>
            </w:pPr>
            <w:r>
              <w:t>Case</w:t>
            </w:r>
          </w:p>
        </w:tc>
        <w:tc>
          <w:tcPr>
            <w:tcW w:type="dxa" w:w="2381"/>
            <w:tcMar>
              <w:top w:w="90" w:type="dxa"/>
              <w:start w:w="110" w:type="dxa"/>
              <w:bottom w:w="90" w:type="dxa"/>
              <w:end w:w="110" w:type="dxa"/>
            </w:tcMar>
            <w:vAlign w:val="center"/>
          </w:tcPr>
          <w:p>
            <w:pPr>
              <w:pStyle w:val="BodyCustom"/>
            </w:pPr>
            <w:r>
              <w:t>Clinical application unit</w:t>
            </w:r>
          </w:p>
        </w:tc>
        <w:tc>
          <w:tcPr>
            <w:tcW w:type="dxa" w:w="4535"/>
            <w:tcMar>
              <w:top w:w="90" w:type="dxa"/>
              <w:start w:w="110" w:type="dxa"/>
              <w:bottom w:w="90" w:type="dxa"/>
              <w:end w:w="110" w:type="dxa"/>
            </w:tcMar>
            <w:vAlign w:val="center"/>
          </w:tcPr>
          <w:p>
            <w:pPr>
              <w:pStyle w:val="BodyCustom"/>
            </w:pPr>
            <w:r>
              <w:t>presentation, images, trichoscopy, labs, prompts, model answer, faculty notes</w:t>
            </w:r>
          </w:p>
        </w:tc>
      </w:tr>
      <w:tr>
        <w:tc>
          <w:tcPr>
            <w:tcW w:type="dxa" w:w="1701"/>
            <w:tcMar>
              <w:top w:w="90" w:type="dxa"/>
              <w:start w:w="110" w:type="dxa"/>
              <w:bottom w:w="90" w:type="dxa"/>
              <w:end w:w="110" w:type="dxa"/>
            </w:tcMar>
            <w:shd w:fill="F4F8FB"/>
            <w:vAlign w:val="center"/>
          </w:tcPr>
          <w:p>
            <w:pPr>
              <w:pStyle w:val="BodyCustom"/>
            </w:pPr>
            <w:r>
              <w:t>Certificate</w:t>
            </w:r>
          </w:p>
        </w:tc>
        <w:tc>
          <w:tcPr>
            <w:tcW w:type="dxa" w:w="2381"/>
            <w:tcMar>
              <w:top w:w="90" w:type="dxa"/>
              <w:start w:w="110" w:type="dxa"/>
              <w:bottom w:w="90" w:type="dxa"/>
              <w:end w:w="110" w:type="dxa"/>
            </w:tcMar>
            <w:vAlign w:val="center"/>
          </w:tcPr>
          <w:p>
            <w:pPr>
              <w:pStyle w:val="BodyCustom"/>
            </w:pPr>
            <w:r>
              <w:t>Completion record</w:t>
            </w:r>
          </w:p>
        </w:tc>
        <w:tc>
          <w:tcPr>
            <w:tcW w:type="dxa" w:w="4535"/>
            <w:tcMar>
              <w:top w:w="90" w:type="dxa"/>
              <w:start w:w="110" w:type="dxa"/>
              <w:bottom w:w="90" w:type="dxa"/>
              <w:end w:w="110" w:type="dxa"/>
            </w:tcMar>
            <w:vAlign w:val="center"/>
          </w:tcPr>
          <w:p>
            <w:pPr>
              <w:pStyle w:val="BodyCustom"/>
            </w:pPr>
            <w:r>
              <w:t>user, program, completion status, issue date, verification fields</w:t>
            </w:r>
          </w:p>
        </w:tc>
      </w:tr>
    </w:tbl>
    <w:p>
      <w:pPr>
        <w:pStyle w:val="ManualHeading1"/>
      </w:pPr>
      <w:r>
        <w:t>15. Immediate Development Priorities</w:t>
      </w:r>
    </w:p>
    <w:p>
      <w:pPr>
        <w:pStyle w:val="BodyCustom"/>
      </w:pPr>
      <w:r>
        <w:t>The first rewrite phase of the master manual should focus on the foundational and diagnostic sections before moving into the major disease modules. This ensures that later treatment and surgical lessons are built on a mature diagnostic framework.</w:t>
      </w:r>
    </w:p>
    <w:p>
      <w:pPr>
        <w:pStyle w:val="BodyCustom"/>
        <w:ind w:left="340"/>
      </w:pPr>
      <w:r>
        <w:rPr>
          <w:b/>
        </w:rPr>
        <w:t xml:space="preserve">• </w:t>
      </w:r>
      <w:r>
        <w:t>Module 1. Introduction to Clinical Trichology and Hair Restoration Medicine</w:t>
      </w:r>
    </w:p>
    <w:p>
      <w:pPr>
        <w:pStyle w:val="BodyCustom"/>
        <w:ind w:left="340"/>
      </w:pPr>
      <w:r>
        <w:rPr>
          <w:b/>
        </w:rPr>
        <w:t xml:space="preserve">• </w:t>
      </w:r>
      <w:r>
        <w:t>Module 2. Hair Follicle Biology and Scalp Science</w:t>
      </w:r>
    </w:p>
    <w:p>
      <w:pPr>
        <w:pStyle w:val="BodyCustom"/>
        <w:ind w:left="340"/>
      </w:pPr>
      <w:r>
        <w:rPr>
          <w:b/>
        </w:rPr>
        <w:t xml:space="preserve">• </w:t>
      </w:r>
      <w:r>
        <w:t>Module 3. Molecular and Hormonal Regulation of Hair Growth</w:t>
      </w:r>
    </w:p>
    <w:p>
      <w:pPr>
        <w:pStyle w:val="BodyCustom"/>
        <w:ind w:left="340"/>
      </w:pPr>
      <w:r>
        <w:rPr>
          <w:b/>
        </w:rPr>
        <w:t xml:space="preserve">• </w:t>
      </w:r>
      <w:r>
        <w:t>Module 4. Clinical Consultation and Hair Loss History-Taking</w:t>
      </w:r>
    </w:p>
    <w:p>
      <w:pPr>
        <w:pStyle w:val="BodyCustom"/>
        <w:ind w:left="340"/>
      </w:pPr>
      <w:r>
        <w:rPr>
          <w:b/>
        </w:rPr>
        <w:t xml:space="preserve">• </w:t>
      </w:r>
      <w:r>
        <w:t>Module 5. Clinical Examination of Hair and Scalp</w:t>
      </w:r>
    </w:p>
    <w:p>
      <w:pPr>
        <w:pStyle w:val="BodyCustom"/>
        <w:ind w:left="340"/>
      </w:pPr>
      <w:r>
        <w:rPr>
          <w:b/>
        </w:rPr>
        <w:t xml:space="preserve">• </w:t>
      </w:r>
      <w:r>
        <w:t>Module 6. Trichoscopy: Foundations to Advanced Interpretation</w:t>
      </w:r>
    </w:p>
    <w:p>
      <w:pPr>
        <w:pStyle w:val="BodyCustom"/>
        <w:ind w:left="340"/>
      </w:pPr>
      <w:r>
        <w:rPr>
          <w:b/>
        </w:rPr>
        <w:t xml:space="preserve">• </w:t>
      </w:r>
      <w:r>
        <w:t>Module 7. Laboratory Investigations, Endocrine Workup, and Biopsy Logic</w:t>
      </w:r>
    </w:p>
    <w:p>
      <w:pPr>
        <w:pStyle w:val="ManualHeading1"/>
      </w:pPr>
      <w:r>
        <w:t>16. Strategic Notes for Faculty and External Reviewers</w:t>
      </w:r>
    </w:p>
    <w:p>
      <w:pPr>
        <w:pStyle w:val="BodyCustom"/>
      </w:pPr>
      <w:r>
        <w:t>The strongest pathway to doctor confidence and possible university recognition is not to market the program as revolutionary, but to make it visibly rigorous. Innovation should be retained, but it must sit inside a disciplined educational structure with explicit evidence tagging, clear safety boundaries, and strong pathology depth.</w:t>
      </w:r>
    </w:p>
    <w:p>
      <w:pPr>
        <w:pStyle w:val="BodyCustom"/>
      </w:pPr>
      <w:r>
        <w:t>Academy-signature concepts such as partial transection, regenerative donor strategy, and advanced donor preservation should be taught transparently as advanced evolving frameworks. Their inclusion is valuable, but their educational positioning must remain scientifically proportionate.</w:t>
      </w:r>
    </w:p>
    <w:p>
      <w:pPr>
        <w:pStyle w:val="BodyCustom"/>
      </w:pPr>
      <w:r>
        <w:t>This blueprint should therefore be treated as the governing document for all further manual writing, lesson design, assessment creation, and LMS implementation. Any future chapter expansion should map back to this architecture rather than diverging into ad hoc content development.</w:t>
      </w:r>
    </w:p>
    <w:p>
      <w:pPr>
        <w:pStyle w:val="ManualHeading1"/>
      </w:pPr>
      <w:r>
        <w:t>17. Source Positioning Notes</w:t>
      </w:r>
    </w:p>
    <w:p>
      <w:pPr>
        <w:pStyle w:val="BodyCustom"/>
      </w:pPr>
      <w:r>
        <w:t>This blueprint was informed by the way established trichology bodies frame diagnosis and treatment training, by physician-facing medical trichology education that emphasises structured assessment and referral logic, and by the need to create a pathway that is more academically rigorous than most existing professional short courses.</w:t>
      </w:r>
    </w:p>
    <w:p>
      <w:pPr>
        <w:pStyle w:val="BodyCustom"/>
      </w:pPr>
      <w:r>
        <w:t>Professional trichology bodies commonly emphasise in-depth knowledge of hair loss and scalp problems, diagnosis, and treatment, often paired with practical or clinical training. Contemporary physician-directed medical trichology programs similarly emphasise evidence-based consultation, trichoscopy, targeted management, and knowing when to treat, reassure, or refer. These themes are intentionally embedded here as the baseline, with additional depth in regenerative and surgical science for the IIIOHR setting.</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C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Heading1">
    <w:name w:val="Manual Heading 1"/>
    <w:pPr>
      <w:spacing w:before="200" w:after="80"/>
    </w:pPr>
    <w:rPr>
      <w:rFonts w:ascii="Aptos" w:hAnsi="Aptos"/>
      <w:b/>
      <w:color w:val="142C48"/>
      <w:sz w:val="32"/>
    </w:rPr>
  </w:style>
  <w:style w:type="paragraph" w:customStyle="1" w:styleId="ManualHeading2">
    <w:name w:val="Manual Heading 2"/>
    <w:pPr>
      <w:spacing w:before="200" w:after="80"/>
    </w:pPr>
    <w:rPr>
      <w:rFonts w:ascii="Aptos" w:hAnsi="Aptos"/>
      <w:b/>
      <w:color w:val="204A75"/>
      <w:sz w:val="26"/>
    </w:rPr>
  </w:style>
  <w:style w:type="paragraph" w:customStyle="1" w:styleId="BodyCustom">
    <w:name w:val="Body Custom"/>
    <w:pPr>
      <w:spacing w:line="276" w:lineRule="auto" w:after="100"/>
    </w:pPr>
    <w:rPr>
      <w:rFonts w:ascii="Aptos" w:hAnsi="Aptos"/>
      <w:sz w:val="21"/>
    </w:rPr>
  </w:style>
  <w:style w:type="paragraph" w:customStyle="1" w:styleId="SmallNote">
    <w:name w:val="Small Note"/>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