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45C"/>
          <w:sz w:val="48"/>
        </w:rPr>
        <w:t>IIIOHR LMS Content Pack – Part 1</w:t>
      </w:r>
    </w:p>
    <w:p>
      <w:pPr>
        <w:jc w:val="center"/>
      </w:pPr>
      <w:r>
        <w:rPr>
          <w:b/>
          <w:sz w:val="32"/>
        </w:rPr>
        <w:t>Program Architecture, Module Records, Lesson Schema,</w:t>
        <w:br/>
        <w:t>Assessment Logic and Certification Framework</w:t>
      </w:r>
    </w:p>
    <w:p>
      <w:pPr>
        <w:jc w:val="center"/>
      </w:pPr>
      <w:r>
        <w:rPr>
          <w:i/>
        </w:rPr>
        <w:t>Prepared for the IIIOHR Doctor Education Platform</w:t>
        <w:br/>
        <w:t>Source-of-truth handoff document for Cursor build</w:t>
      </w:r>
    </w:p>
    <w:p>
      <w:pPr>
        <w:pStyle w:val="Heading1"/>
      </w:pPr>
      <w:r>
        <w:t>Purpose of This Document</w:t>
      </w:r>
    </w:p>
    <w:p>
      <w:r>
        <w:t>This document converts the academy backbone into a structured LMS-ready content architecture for the IIIOHR online doctor portal. It is designed to guide database design, route planning, lesson ingestion, assessment build-out, progress tracking, and future certificate issuance. It does not replace the academic manuals; it operationalises them.</w:t>
      </w:r>
    </w:p>
    <w:p>
      <w:pPr>
        <w:shd w:fill="EAF2F8"/>
      </w:pPr>
      <w:r>
        <w:rPr>
          <w:b/>
        </w:rPr>
        <w:t xml:space="preserve">How to use this pack: </w:t>
      </w:r>
      <w:r>
        <w:t>Use this document as the implementation bridge between the five training-manual volumes and the online course build in Cursor.</w:t>
      </w:r>
    </w:p>
    <w:p>
      <w:pPr>
        <w:pStyle w:val="Heading1"/>
      </w:pPr>
      <w:r>
        <w:t>A. Program-Level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</w:tcPr>
          <w:p>
            <w:pPr>
              <w:shd w:fill="D9EAF7"/>
            </w:pPr>
            <w:r>
              <w:rPr>
                <w:b/>
              </w:rPr>
              <w:t>Field</w:t>
            </w:r>
          </w:p>
        </w:tc>
        <w:tc>
          <w:tcPr>
            <w:tcW w:type="dxa" w:w="9216"/>
          </w:tcPr>
          <w:p>
            <w:pPr>
              <w:shd w:fill="D9EAF7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3744"/>
          </w:tcPr>
          <w:p>
            <w:r>
              <w:t>program_title</w:t>
            </w:r>
          </w:p>
        </w:tc>
        <w:tc>
          <w:tcPr>
            <w:tcW w:type="dxa" w:w="9216"/>
          </w:tcPr>
          <w:p>
            <w:r>
              <w:t>Postgraduate Certificate in Clinical Trichology and Hair Restoration Medicine</w:t>
            </w:r>
          </w:p>
        </w:tc>
      </w:tr>
      <w:tr>
        <w:tc>
          <w:tcPr>
            <w:tcW w:type="dxa" w:w="3744"/>
          </w:tcPr>
          <w:p>
            <w:r>
              <w:t>program_slug</w:t>
            </w:r>
          </w:p>
        </w:tc>
        <w:tc>
          <w:tcPr>
            <w:tcW w:type="dxa" w:w="9216"/>
          </w:tcPr>
          <w:p>
            <w:r>
              <w:t>postgraduate-certificate-clinical-trichology-hair-restoration-medicine</w:t>
            </w:r>
          </w:p>
        </w:tc>
      </w:tr>
      <w:tr>
        <w:tc>
          <w:tcPr>
            <w:tcW w:type="dxa" w:w="3744"/>
          </w:tcPr>
          <w:p>
            <w:r>
              <w:t>academy_branding</w:t>
            </w:r>
          </w:p>
        </w:tc>
        <w:tc>
          <w:tcPr>
            <w:tcW w:type="dxa" w:w="9216"/>
          </w:tcPr>
          <w:p>
            <w:r>
              <w:t>HLI / IIIOHR Advanced Trichology Academy</w:t>
            </w:r>
          </w:p>
        </w:tc>
      </w:tr>
      <w:tr>
        <w:tc>
          <w:tcPr>
            <w:tcW w:type="dxa" w:w="3744"/>
          </w:tcPr>
          <w:p>
            <w:r>
              <w:t>award_type</w:t>
            </w:r>
          </w:p>
        </w:tc>
        <w:tc>
          <w:tcPr>
            <w:tcW w:type="dxa" w:w="9216"/>
          </w:tcPr>
          <w:p>
            <w:r>
              <w:t>Postgraduate Certificate</w:t>
            </w:r>
          </w:p>
        </w:tc>
      </w:tr>
      <w:tr>
        <w:tc>
          <w:tcPr>
            <w:tcW w:type="dxa" w:w="3744"/>
          </w:tcPr>
          <w:p>
            <w:r>
              <w:t>delivery_mode</w:t>
            </w:r>
          </w:p>
        </w:tc>
        <w:tc>
          <w:tcPr>
            <w:tcW w:type="dxa" w:w="9216"/>
          </w:tcPr>
          <w:p>
            <w:r>
              <w:t>Online, modular, clinician-paced, with faculty-reviewed capstone</w:t>
            </w:r>
          </w:p>
        </w:tc>
      </w:tr>
      <w:tr>
        <w:tc>
          <w:tcPr>
            <w:tcW w:type="dxa" w:w="3744"/>
          </w:tcPr>
          <w:p>
            <w:r>
              <w:t>target_audience</w:t>
            </w:r>
          </w:p>
        </w:tc>
        <w:tc>
          <w:tcPr>
            <w:tcW w:type="dxa" w:w="9216"/>
          </w:tcPr>
          <w:p>
            <w:r>
              <w:t>Medical doctors, dermatology trainees, GPs with hair-loss interest, aesthetic physicians, hair transplant doctors</w:t>
            </w:r>
          </w:p>
        </w:tc>
      </w:tr>
      <w:tr>
        <w:tc>
          <w:tcPr>
            <w:tcW w:type="dxa" w:w="3744"/>
          </w:tcPr>
          <w:p>
            <w:r>
              <w:t>entry_requirements</w:t>
            </w:r>
          </w:p>
        </w:tc>
        <w:tc>
          <w:tcPr>
            <w:tcW w:type="dxa" w:w="9216"/>
          </w:tcPr>
          <w:p>
            <w:r>
              <w:t>Primary medical degree and current registration in jurisdiction of practice; recommended minimum 2 years post-graduate experience</w:t>
            </w:r>
          </w:p>
        </w:tc>
      </w:tr>
      <w:tr>
        <w:tc>
          <w:tcPr>
            <w:tcW w:type="dxa" w:w="3744"/>
          </w:tcPr>
          <w:p>
            <w:r>
              <w:t>program_duration</w:t>
            </w:r>
          </w:p>
        </w:tc>
        <w:tc>
          <w:tcPr>
            <w:tcW w:type="dxa" w:w="9216"/>
          </w:tcPr>
          <w:p>
            <w:r>
              <w:t>12-week core pathway with optional advanced extension tracks</w:t>
            </w:r>
          </w:p>
        </w:tc>
      </w:tr>
      <w:tr>
        <w:tc>
          <w:tcPr>
            <w:tcW w:type="dxa" w:w="3744"/>
          </w:tcPr>
          <w:p>
            <w:r>
              <w:t>program_overview</w:t>
            </w:r>
          </w:p>
        </w:tc>
        <w:tc>
          <w:tcPr>
            <w:tcW w:type="dxa" w:w="9216"/>
          </w:tcPr>
          <w:p>
            <w:r>
              <w:t>A postgraduate doctor-facing training program in clinical trichology, scalp disease, regenerative medicine, and hair restoration surgery.</w:t>
            </w:r>
          </w:p>
        </w:tc>
      </w:tr>
      <w:tr>
        <w:tc>
          <w:tcPr>
            <w:tcW w:type="dxa" w:w="3744"/>
          </w:tcPr>
          <w:p>
            <w:r>
              <w:t>graduate_outcomes</w:t>
            </w:r>
          </w:p>
        </w:tc>
        <w:tc>
          <w:tcPr>
            <w:tcW w:type="dxa" w:w="9216"/>
          </w:tcPr>
          <w:p>
            <w:r>
              <w:t>Diagnostic competence, trichoscopy use, investigation logic, evidence-based treatment planning, surgical candidacy judgement, ethical consultation, and outcomes-oriented practice</w:t>
            </w:r>
          </w:p>
        </w:tc>
      </w:tr>
      <w:tr>
        <w:tc>
          <w:tcPr>
            <w:tcW w:type="dxa" w:w="3744"/>
          </w:tcPr>
          <w:p>
            <w:r>
              <w:t>delivery_assets</w:t>
            </w:r>
          </w:p>
        </w:tc>
        <w:tc>
          <w:tcPr>
            <w:tcW w:type="dxa" w:w="9216"/>
          </w:tcPr>
          <w:p>
            <w:r>
              <w:t>Lesson pages, downloadable summaries, quizzes, case discussions, image interpretation, capstone portfolio, certificate engine</w:t>
            </w:r>
          </w:p>
        </w:tc>
      </w:tr>
      <w:tr>
        <w:tc>
          <w:tcPr>
            <w:tcW w:type="dxa" w:w="3744"/>
          </w:tcPr>
          <w:p>
            <w:r>
              <w:t>certificate_title</w:t>
            </w:r>
          </w:p>
        </w:tc>
        <w:tc>
          <w:tcPr>
            <w:tcW w:type="dxa" w:w="9216"/>
          </w:tcPr>
          <w:p>
            <w:r>
              <w:t>Certificate of Completion – Postgraduate Certificate in Clinical Trichology and Hair Restoration Medicine</w:t>
            </w:r>
          </w:p>
        </w:tc>
      </w:tr>
    </w:tbl>
    <w:p/>
    <w:p>
      <w:pPr>
        <w:pStyle w:val="Heading2"/>
      </w:pPr>
      <w:r>
        <w:t>Program Learning Outcomes</w:t>
      </w:r>
    </w:p>
    <w:p>
      <w:pPr>
        <w:pStyle w:val="ListBullet"/>
      </w:pPr>
      <w:r>
        <w:t>Perform a structured hair and scalp consultation and examination.</w:t>
      </w:r>
    </w:p>
    <w:p>
      <w:pPr>
        <w:pStyle w:val="ListBullet"/>
      </w:pPr>
      <w:r>
        <w:t>Differentiate patterned, diffuse, inflammatory, immune-mediated, and cicatricial hair loss.</w:t>
      </w:r>
    </w:p>
    <w:p>
      <w:pPr>
        <w:pStyle w:val="ListBullet"/>
      </w:pPr>
      <w:r>
        <w:t>Use trichoscopy and targeted investigations appropriately.</w:t>
      </w:r>
    </w:p>
    <w:p>
      <w:pPr>
        <w:pStyle w:val="ListBullet"/>
      </w:pPr>
      <w:r>
        <w:t>Build evidence-aware medical, regenerative, and surgical treatment plans.</w:t>
      </w:r>
    </w:p>
    <w:p>
      <w:pPr>
        <w:pStyle w:val="ListBullet"/>
      </w:pPr>
      <w:r>
        <w:t>Recognise red flags, contraindications, and referral thresholds.</w:t>
      </w:r>
    </w:p>
    <w:p>
      <w:pPr>
        <w:pStyle w:val="ListBullet"/>
      </w:pPr>
      <w:r>
        <w:t>Counsel patients ethically and manage expectations longitudinally.</w:t>
      </w:r>
    </w:p>
    <w:p>
      <w:pPr>
        <w:pStyle w:val="ListBullet"/>
      </w:pPr>
      <w:r>
        <w:t>Interpret emerging therapies through a disciplined evidence framework.</w:t>
      </w:r>
    </w:p>
    <w:p>
      <w:pPr>
        <w:pStyle w:val="ListBullet"/>
      </w:pPr>
      <w:r>
        <w:t>Complete capstone case reasoning at postgraduate level.</w:t>
      </w:r>
    </w:p>
    <w:p>
      <w:pPr>
        <w:pStyle w:val="Heading1"/>
      </w:pPr>
      <w:r>
        <w:t>B. Platform Architecture Summary</w:t>
      </w:r>
    </w:p>
    <w:p>
      <w:pPr>
        <w:pStyle w:val="ListBullet"/>
      </w:pPr>
      <w:r>
        <w:t>One program object contains sections, modules, lessons, assessments, resources, and certificate rules.</w:t>
      </w:r>
    </w:p>
    <w:p>
      <w:pPr>
        <w:pStyle w:val="ListBullet"/>
      </w:pPr>
      <w:r>
        <w:t>Each module belongs to a volume and a section, and can contain multiple lessons plus one or more assessments.</w:t>
      </w:r>
    </w:p>
    <w:p>
      <w:pPr>
        <w:pStyle w:val="ListBullet"/>
      </w:pPr>
      <w:r>
        <w:t>Each lesson can link to downloadable resources, cases, quizzes, references, and faculty notes.</w:t>
      </w:r>
    </w:p>
    <w:p>
      <w:pPr>
        <w:pStyle w:val="ListBullet"/>
      </w:pPr>
      <w:r>
        <w:t>Progress is calculated at lesson, module, volume, and program level.</w:t>
      </w:r>
    </w:p>
    <w:p>
      <w:pPr>
        <w:pStyle w:val="ListBullet"/>
      </w:pPr>
      <w:r>
        <w:t>Certificate eligibility is determined by lesson completion, assessment pass marks, and capstone approval.</w:t>
      </w:r>
    </w:p>
    <w:p>
      <w:pPr>
        <w:pStyle w:val="Heading2"/>
      </w:pPr>
      <w:r>
        <w:t>Recommended Core Objects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</w:tcPr>
          <w:p>
            <w:pPr>
              <w:shd w:fill="D9EAF7"/>
            </w:pPr>
            <w:r>
              <w:rPr>
                <w:b/>
              </w:rPr>
              <w:t>Object</w:t>
            </w:r>
          </w:p>
        </w:tc>
        <w:tc>
          <w:tcPr>
            <w:tcW w:type="dxa" w:w="2880"/>
          </w:tcPr>
          <w:p>
            <w:pPr>
              <w:shd w:fill="D9EAF7"/>
            </w:pPr>
            <w:r>
              <w:rPr>
                <w:b/>
              </w:rPr>
              <w:t>Purpose</w:t>
            </w:r>
          </w:p>
        </w:tc>
        <w:tc>
          <w:tcPr>
            <w:tcW w:type="dxa" w:w="4608"/>
          </w:tcPr>
          <w:p>
            <w:pPr>
              <w:shd w:fill="D9EAF7"/>
            </w:pPr>
            <w:r>
              <w:rPr>
                <w:b/>
              </w:rPr>
              <w:t>Key Notes</w:t>
            </w:r>
          </w:p>
        </w:tc>
      </w:tr>
      <w:tr>
        <w:tc>
          <w:tcPr>
            <w:tcW w:type="dxa" w:w="2016"/>
          </w:tcPr>
          <w:p>
            <w:r>
              <w:t>Program</w:t>
            </w:r>
          </w:p>
        </w:tc>
        <w:tc>
          <w:tcPr>
            <w:tcW w:type="dxa" w:w="2880"/>
          </w:tcPr>
          <w:p>
            <w:r>
              <w:t>Top-level academic entity</w:t>
            </w:r>
          </w:p>
        </w:tc>
        <w:tc>
          <w:tcPr>
            <w:tcW w:type="dxa" w:w="4608"/>
          </w:tcPr>
          <w:p>
            <w:r>
              <w:t>Supports multiple future doctor programs</w:t>
            </w:r>
          </w:p>
        </w:tc>
      </w:tr>
      <w:tr>
        <w:tc>
          <w:tcPr>
            <w:tcW w:type="dxa" w:w="2016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Groups modules thematically</w:t>
            </w:r>
          </w:p>
        </w:tc>
        <w:tc>
          <w:tcPr>
            <w:tcW w:type="dxa" w:w="4608"/>
          </w:tcPr>
          <w:p>
            <w:r>
              <w:t>Maps to major academic domains</w:t>
            </w:r>
          </w:p>
        </w:tc>
      </w:tr>
      <w:tr>
        <w:tc>
          <w:tcPr>
            <w:tcW w:type="dxa" w:w="2016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Core academic unit</w:t>
            </w:r>
          </w:p>
        </w:tc>
        <w:tc>
          <w:tcPr>
            <w:tcW w:type="dxa" w:w="4608"/>
          </w:tcPr>
          <w:p>
            <w:r>
              <w:t>Belongs to one volume and section</w:t>
            </w:r>
          </w:p>
        </w:tc>
      </w:tr>
      <w:tr>
        <w:tc>
          <w:tcPr>
            <w:tcW w:type="dxa" w:w="2016"/>
          </w:tcPr>
          <w:p>
            <w:r>
              <w:t>Lesson</w:t>
            </w:r>
          </w:p>
        </w:tc>
        <w:tc>
          <w:tcPr>
            <w:tcW w:type="dxa" w:w="2880"/>
          </w:tcPr>
          <w:p>
            <w:r>
              <w:t>Primary learning page</w:t>
            </w:r>
          </w:p>
        </w:tc>
        <w:tc>
          <w:tcPr>
            <w:tcW w:type="dxa" w:w="4608"/>
          </w:tcPr>
          <w:p>
            <w:r>
              <w:t>Rich text plus structured metadata</w:t>
            </w:r>
          </w:p>
        </w:tc>
      </w:tr>
      <w:tr>
        <w:tc>
          <w:tcPr>
            <w:tcW w:type="dxa" w:w="2016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Knowledge or reasoning evaluation</w:t>
            </w:r>
          </w:p>
        </w:tc>
        <w:tc>
          <w:tcPr>
            <w:tcW w:type="dxa" w:w="4608"/>
          </w:tcPr>
          <w:p>
            <w:r>
              <w:t>Supports MCQ, image, short answer, case</w:t>
            </w:r>
          </w:p>
        </w:tc>
      </w:tr>
      <w:tr>
        <w:tc>
          <w:tcPr>
            <w:tcW w:type="dxa" w:w="2016"/>
          </w:tcPr>
          <w:p>
            <w:r>
              <w:t>Case Study</w:t>
            </w:r>
          </w:p>
        </w:tc>
        <w:tc>
          <w:tcPr>
            <w:tcW w:type="dxa" w:w="2880"/>
          </w:tcPr>
          <w:p>
            <w:r>
              <w:t>Interactive clinical learning object</w:t>
            </w:r>
          </w:p>
        </w:tc>
        <w:tc>
          <w:tcPr>
            <w:tcW w:type="dxa" w:w="4608"/>
          </w:tcPr>
          <w:p>
            <w:r>
              <w:t>Can sit inside or outside assessments</w:t>
            </w:r>
          </w:p>
        </w:tc>
      </w:tr>
      <w:tr>
        <w:tc>
          <w:tcPr>
            <w:tcW w:type="dxa" w:w="2016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Citation/reference item</w:t>
            </w:r>
          </w:p>
        </w:tc>
        <w:tc>
          <w:tcPr>
            <w:tcW w:type="dxa" w:w="4608"/>
          </w:tcPr>
          <w:p>
            <w:r>
              <w:t>Attached at lesson or module level</w:t>
            </w:r>
          </w:p>
        </w:tc>
      </w:tr>
      <w:tr>
        <w:tc>
          <w:tcPr>
            <w:tcW w:type="dxa" w:w="2016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Downloadable PDF/atlas/checklist</w:t>
            </w:r>
          </w:p>
        </w:tc>
        <w:tc>
          <w:tcPr>
            <w:tcW w:type="dxa" w:w="4608"/>
          </w:tcPr>
          <w:p>
            <w:r>
              <w:t>Supports summary sheets and worksheets</w:t>
            </w:r>
          </w:p>
        </w:tc>
      </w:tr>
      <w:tr>
        <w:tc>
          <w:tcPr>
            <w:tcW w:type="dxa" w:w="2016"/>
          </w:tcPr>
          <w:p>
            <w:r>
              <w:t>Progress Record</w:t>
            </w:r>
          </w:p>
        </w:tc>
        <w:tc>
          <w:tcPr>
            <w:tcW w:type="dxa" w:w="2880"/>
          </w:tcPr>
          <w:p>
            <w:r>
              <w:t>Tracks completion and scores</w:t>
            </w:r>
          </w:p>
        </w:tc>
        <w:tc>
          <w:tcPr>
            <w:tcW w:type="dxa" w:w="4608"/>
          </w:tcPr>
          <w:p>
            <w:r>
              <w:t>User-specific</w:t>
            </w:r>
          </w:p>
        </w:tc>
      </w:tr>
      <w:tr>
        <w:tc>
          <w:tcPr>
            <w:tcW w:type="dxa" w:w="2016"/>
          </w:tcPr>
          <w:p>
            <w:r>
              <w:t>Certificate Record</w:t>
            </w:r>
          </w:p>
        </w:tc>
        <w:tc>
          <w:tcPr>
            <w:tcW w:type="dxa" w:w="2880"/>
          </w:tcPr>
          <w:p>
            <w:r>
              <w:t>Stores award issuance history</w:t>
            </w:r>
          </w:p>
        </w:tc>
        <w:tc>
          <w:tcPr>
            <w:tcW w:type="dxa" w:w="4608"/>
          </w:tcPr>
          <w:p>
            <w:r>
              <w:t>Includes distinction status if relevant</w:t>
            </w:r>
          </w:p>
        </w:tc>
      </w:tr>
    </w:tbl>
    <w:p/>
    <w:p>
      <w:pPr>
        <w:pStyle w:val="Heading1"/>
      </w:pPr>
      <w:r>
        <w:t>C. Master Module Registry</w:t>
      </w:r>
    </w:p>
    <w:p>
      <w:r>
        <w:t>The following registry is the recommended module-level dataset for initial ingestion. Overviews are concise operational descriptions; full academic prose remains in the manual volumes.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576"/>
          </w:tcPr>
          <w:p>
            <w:pPr>
              <w:shd w:fill="D9EAF7"/>
            </w:pPr>
            <w:r>
              <w:rPr>
                <w:b/>
              </w:rPr>
              <w:t>#</w:t>
            </w:r>
          </w:p>
        </w:tc>
        <w:tc>
          <w:tcPr>
            <w:tcW w:type="dxa" w:w="576"/>
          </w:tcPr>
          <w:p>
            <w:pPr>
              <w:shd w:fill="D9EAF7"/>
            </w:pPr>
            <w:r>
              <w:rPr>
                <w:b/>
              </w:rPr>
              <w:t>Vol</w:t>
            </w:r>
          </w:p>
        </w:tc>
        <w:tc>
          <w:tcPr>
            <w:tcW w:type="dxa" w:w="2592"/>
          </w:tcPr>
          <w:p>
            <w:pPr>
              <w:shd w:fill="D9EAF7"/>
            </w:pPr>
            <w:r>
              <w:rPr>
                <w:b/>
              </w:rPr>
              <w:t>Section</w:t>
            </w:r>
          </w:p>
        </w:tc>
        <w:tc>
          <w:tcPr>
            <w:tcW w:type="dxa" w:w="3168"/>
          </w:tcPr>
          <w:p>
            <w:pPr>
              <w:shd w:fill="D9EAF7"/>
            </w:pPr>
            <w:r>
              <w:rPr>
                <w:b/>
              </w:rPr>
              <w:t>Module Title</w:t>
            </w:r>
          </w:p>
        </w:tc>
        <w:tc>
          <w:tcPr>
            <w:tcW w:type="dxa" w:w="2592"/>
          </w:tcPr>
          <w:p>
            <w:pPr>
              <w:shd w:fill="D9EAF7"/>
            </w:pPr>
            <w:r>
              <w:rPr>
                <w:b/>
              </w:rPr>
              <w:t>Slug</w:t>
            </w:r>
          </w:p>
        </w:tc>
        <w:tc>
          <w:tcPr>
            <w:tcW w:type="dxa" w:w="3744"/>
          </w:tcPr>
          <w:p>
            <w:pPr>
              <w:shd w:fill="D9EAF7"/>
            </w:pPr>
            <w:r>
              <w:rPr>
                <w:b/>
              </w:rPr>
              <w:t>Operational Overview</w:t>
            </w:r>
          </w:p>
        </w:tc>
        <w:tc>
          <w:tcPr>
            <w:tcW w:type="dxa" w:w="1440"/>
          </w:tcPr>
          <w:p>
            <w:pPr>
              <w:shd w:fill="D9EAF7"/>
            </w:pPr>
            <w:r>
              <w:rPr>
                <w:b/>
              </w:rPr>
              <w:t>Assessment Type</w:t>
            </w:r>
          </w:p>
        </w:tc>
        <w:tc>
          <w:tcPr>
            <w:tcW w:type="dxa" w:w="720"/>
          </w:tcPr>
          <w:p>
            <w:pPr>
              <w:shd w:fill="D9EAF7"/>
            </w:pPr>
            <w:r>
              <w:rPr>
                <w:b/>
              </w:rPr>
              <w:t>Hours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Foundations of Clinical Trichology</w:t>
            </w:r>
          </w:p>
        </w:tc>
        <w:tc>
          <w:tcPr>
            <w:tcW w:type="dxa" w:w="3168"/>
          </w:tcPr>
          <w:p>
            <w:r>
              <w:t>Introduction to Clinical Trichology and Hair Restoration Medicine</w:t>
            </w:r>
          </w:p>
        </w:tc>
        <w:tc>
          <w:tcPr>
            <w:tcW w:type="dxa" w:w="2592"/>
          </w:tcPr>
          <w:p>
            <w:r>
              <w:t>introduction-clinical-trichology-hair-restoration-medicine</w:t>
            </w:r>
          </w:p>
        </w:tc>
        <w:tc>
          <w:tcPr>
            <w:tcW w:type="dxa" w:w="3744"/>
          </w:tcPr>
          <w:p>
            <w:r>
              <w:t>Foundational positioning of the discipline, scope, ethics, and evidence tiers.</w:t>
            </w:r>
          </w:p>
        </w:tc>
        <w:tc>
          <w:tcPr>
            <w:tcW w:type="dxa" w:w="1440"/>
          </w:tcPr>
          <w:p>
            <w:r>
              <w:t>Foundational quiz</w:t>
            </w:r>
          </w:p>
        </w:tc>
        <w:tc>
          <w:tcPr>
            <w:tcW w:type="dxa" w:w="720"/>
          </w:tcPr>
          <w:p>
            <w:r>
              <w:t>2.0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Foundations of Clinical Trichology</w:t>
            </w:r>
          </w:p>
        </w:tc>
        <w:tc>
          <w:tcPr>
            <w:tcW w:type="dxa" w:w="3168"/>
          </w:tcPr>
          <w:p>
            <w:r>
              <w:t>Hair Follicle Biology and Scalp Science</w:t>
            </w:r>
          </w:p>
        </w:tc>
        <w:tc>
          <w:tcPr>
            <w:tcW w:type="dxa" w:w="2592"/>
          </w:tcPr>
          <w:p>
            <w:r>
              <w:t>hair-follicle-biology-scalp-science</w:t>
            </w:r>
          </w:p>
        </w:tc>
        <w:tc>
          <w:tcPr>
            <w:tcW w:type="dxa" w:w="3744"/>
          </w:tcPr>
          <w:p>
            <w:r>
              <w:t>Deep biologic basis of follicular structure, cycling, scalp science, and ethnic variation.</w:t>
            </w:r>
          </w:p>
        </w:tc>
        <w:tc>
          <w:tcPr>
            <w:tcW w:type="dxa" w:w="1440"/>
          </w:tcPr>
          <w:p>
            <w:r>
              <w:t>MCQ + short answer</w:t>
            </w:r>
          </w:p>
        </w:tc>
        <w:tc>
          <w:tcPr>
            <w:tcW w:type="dxa" w:w="720"/>
          </w:tcPr>
          <w:p>
            <w:r>
              <w:t>3.0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Foundations of Clinical Trichology</w:t>
            </w:r>
          </w:p>
        </w:tc>
        <w:tc>
          <w:tcPr>
            <w:tcW w:type="dxa" w:w="3168"/>
          </w:tcPr>
          <w:p>
            <w:r>
              <w:t>Molecular and Hormonal Regulation of Hair Growth</w:t>
            </w:r>
          </w:p>
        </w:tc>
        <w:tc>
          <w:tcPr>
            <w:tcW w:type="dxa" w:w="2592"/>
          </w:tcPr>
          <w:p>
            <w:r>
              <w:t>molecular-hormonal-regulation-hair-growth</w:t>
            </w:r>
          </w:p>
        </w:tc>
        <w:tc>
          <w:tcPr>
            <w:tcW w:type="dxa" w:w="3744"/>
          </w:tcPr>
          <w:p>
            <w:r>
              <w:t>Androgen biology, signalling pathways, aging, senescence, and microinflammation.</w:t>
            </w:r>
          </w:p>
        </w:tc>
        <w:tc>
          <w:tcPr>
            <w:tcW w:type="dxa" w:w="1440"/>
          </w:tcPr>
          <w:p>
            <w:r>
              <w:t>MCQ</w:t>
            </w:r>
          </w:p>
        </w:tc>
        <w:tc>
          <w:tcPr>
            <w:tcW w:type="dxa" w:w="720"/>
          </w:tcPr>
          <w:p>
            <w:r>
              <w:t>2.5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Foundations of Clinical Trichology</w:t>
            </w:r>
          </w:p>
        </w:tc>
        <w:tc>
          <w:tcPr>
            <w:tcW w:type="dxa" w:w="3168"/>
          </w:tcPr>
          <w:p>
            <w:r>
              <w:t>Clinical Consultation and Hair Loss History-Taking</w:t>
            </w:r>
          </w:p>
        </w:tc>
        <w:tc>
          <w:tcPr>
            <w:tcW w:type="dxa" w:w="2592"/>
          </w:tcPr>
          <w:p>
            <w:r>
              <w:t>clinical-consultation-hair-loss-history-taking</w:t>
            </w:r>
          </w:p>
        </w:tc>
        <w:tc>
          <w:tcPr>
            <w:tcW w:type="dxa" w:w="3744"/>
          </w:tcPr>
          <w:p>
            <w:r>
              <w:t>Structured consultation method, red flags, reproductive/endocrine history, and documentation.</w:t>
            </w:r>
          </w:p>
        </w:tc>
        <w:tc>
          <w:tcPr>
            <w:tcW w:type="dxa" w:w="1440"/>
          </w:tcPr>
          <w:p>
            <w:r>
              <w:t>Case prompt + quiz</w:t>
            </w:r>
          </w:p>
        </w:tc>
        <w:tc>
          <w:tcPr>
            <w:tcW w:type="dxa" w:w="720"/>
          </w:tcPr>
          <w:p>
            <w:r>
              <w:t>2.0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Diagnostic Trichology and Pattern Hair Loss Medicine</w:t>
            </w:r>
          </w:p>
        </w:tc>
        <w:tc>
          <w:tcPr>
            <w:tcW w:type="dxa" w:w="3168"/>
          </w:tcPr>
          <w:p>
            <w:r>
              <w:t>Clinical Examination of Hair and Scalp</w:t>
            </w:r>
          </w:p>
        </w:tc>
        <w:tc>
          <w:tcPr>
            <w:tcW w:type="dxa" w:w="2592"/>
          </w:tcPr>
          <w:p>
            <w:r>
              <w:t>clinical-examination-hair-scalp</w:t>
            </w:r>
          </w:p>
        </w:tc>
        <w:tc>
          <w:tcPr>
            <w:tcW w:type="dxa" w:w="3744"/>
          </w:tcPr>
          <w:p>
            <w:r>
              <w:t>Global inspection, density assessment, scalp examination, pull test, photography, and severity grading.</w:t>
            </w:r>
          </w:p>
        </w:tc>
        <w:tc>
          <w:tcPr>
            <w:tcW w:type="dxa" w:w="1440"/>
          </w:tcPr>
          <w:p>
            <w:r>
              <w:t>Image-based + quiz</w:t>
            </w:r>
          </w:p>
        </w:tc>
        <w:tc>
          <w:tcPr>
            <w:tcW w:type="dxa" w:w="720"/>
          </w:tcPr>
          <w:p>
            <w:r>
              <w:t>2.0</w:t>
            </w:r>
          </w:p>
        </w:tc>
      </w:tr>
      <w:tr>
        <w:tc>
          <w:tcPr>
            <w:tcW w:type="dxa" w:w="576"/>
          </w:tcPr>
          <w:p>
            <w:r>
              <w:t>6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Diagnostic Trichology and Pattern Hair Loss Medicine</w:t>
            </w:r>
          </w:p>
        </w:tc>
        <w:tc>
          <w:tcPr>
            <w:tcW w:type="dxa" w:w="3168"/>
          </w:tcPr>
          <w:p>
            <w:r>
              <w:t>Trichoscopy</w:t>
            </w:r>
          </w:p>
        </w:tc>
        <w:tc>
          <w:tcPr>
            <w:tcW w:type="dxa" w:w="2592"/>
          </w:tcPr>
          <w:p>
            <w:r>
              <w:t>trichoscopy</w:t>
            </w:r>
          </w:p>
        </w:tc>
        <w:tc>
          <w:tcPr>
            <w:tcW w:type="dxa" w:w="3744"/>
          </w:tcPr>
          <w:p>
            <w:r>
              <w:t>Foundations to advanced trichoscopic interpretation across major alopecias and scalp disease.</w:t>
            </w:r>
          </w:p>
        </w:tc>
        <w:tc>
          <w:tcPr>
            <w:tcW w:type="dxa" w:w="1440"/>
          </w:tcPr>
          <w:p>
            <w:r>
              <w:t>Image interpretation</w:t>
            </w:r>
          </w:p>
        </w:tc>
        <w:tc>
          <w:tcPr>
            <w:tcW w:type="dxa" w:w="720"/>
          </w:tcPr>
          <w:p>
            <w:r>
              <w:t>3.0</w:t>
            </w:r>
          </w:p>
        </w:tc>
      </w:tr>
      <w:tr>
        <w:tc>
          <w:tcPr>
            <w:tcW w:type="dxa" w:w="576"/>
          </w:tcPr>
          <w:p>
            <w:r>
              <w:t>7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Diagnostic Trichology and Pattern Hair Loss Medicine</w:t>
            </w:r>
          </w:p>
        </w:tc>
        <w:tc>
          <w:tcPr>
            <w:tcW w:type="dxa" w:w="3168"/>
          </w:tcPr>
          <w:p>
            <w:r>
              <w:t>Laboratory Investigations, Endocrine Workup, and Biopsy Logic</w:t>
            </w:r>
          </w:p>
        </w:tc>
        <w:tc>
          <w:tcPr>
            <w:tcW w:type="dxa" w:w="2592"/>
          </w:tcPr>
          <w:p>
            <w:r>
              <w:t>laboratory-investigations-endocrine-workup-biopsy-logic</w:t>
            </w:r>
          </w:p>
        </w:tc>
        <w:tc>
          <w:tcPr>
            <w:tcW w:type="dxa" w:w="3744"/>
          </w:tcPr>
          <w:p>
            <w:r>
              <w:t>Targeted investigation strategy, endocrine logic, biopsy site selection, and clinicopathologic correlation.</w:t>
            </w:r>
          </w:p>
        </w:tc>
        <w:tc>
          <w:tcPr>
            <w:tcW w:type="dxa" w:w="1440"/>
          </w:tcPr>
          <w:p>
            <w:r>
              <w:t>Short answer + case</w:t>
            </w:r>
          </w:p>
        </w:tc>
        <w:tc>
          <w:tcPr>
            <w:tcW w:type="dxa" w:w="720"/>
          </w:tcPr>
          <w:p>
            <w:r>
              <w:t>2.5</w:t>
            </w:r>
          </w:p>
        </w:tc>
      </w:tr>
      <w:tr>
        <w:tc>
          <w:tcPr>
            <w:tcW w:type="dxa" w:w="576"/>
          </w:tcPr>
          <w:p>
            <w:r>
              <w:t>8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Diagnostic Trichology and Pattern Hair Loss Medicine</w:t>
            </w:r>
          </w:p>
        </w:tc>
        <w:tc>
          <w:tcPr>
            <w:tcW w:type="dxa" w:w="3168"/>
          </w:tcPr>
          <w:p>
            <w:r>
              <w:t>Androgenetic Alopecia in Males</w:t>
            </w:r>
          </w:p>
        </w:tc>
        <w:tc>
          <w:tcPr>
            <w:tcW w:type="dxa" w:w="2592"/>
          </w:tcPr>
          <w:p>
            <w:r>
              <w:t>androgenetic-alopecia-males</w:t>
            </w:r>
          </w:p>
        </w:tc>
        <w:tc>
          <w:tcPr>
            <w:tcW w:type="dxa" w:w="3744"/>
          </w:tcPr>
          <w:p>
            <w:r>
              <w:t>Male pattern hair loss from epidemiology and pathophysiology through treatment ladders and surgical planning.</w:t>
            </w:r>
          </w:p>
        </w:tc>
        <w:tc>
          <w:tcPr>
            <w:tcW w:type="dxa" w:w="1440"/>
          </w:tcPr>
          <w:p>
            <w:r>
              <w:t>Quiz + case</w:t>
            </w:r>
          </w:p>
        </w:tc>
        <w:tc>
          <w:tcPr>
            <w:tcW w:type="dxa" w:w="720"/>
          </w:tcPr>
          <w:p>
            <w:r>
              <w:t>3.0</w:t>
            </w:r>
          </w:p>
        </w:tc>
      </w:tr>
      <w:tr>
        <w:tc>
          <w:tcPr>
            <w:tcW w:type="dxa" w:w="576"/>
          </w:tcPr>
          <w:p>
            <w:r>
              <w:t>9</w:t>
            </w:r>
          </w:p>
        </w:tc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Diagnostic Trichology and Pattern Hair Loss Medicine</w:t>
            </w:r>
          </w:p>
        </w:tc>
        <w:tc>
          <w:tcPr>
            <w:tcW w:type="dxa" w:w="3168"/>
          </w:tcPr>
          <w:p>
            <w:r>
              <w:t>Female Pattern Hair Loss and Hormonal Hair Loss in Women</w:t>
            </w:r>
          </w:p>
        </w:tc>
        <w:tc>
          <w:tcPr>
            <w:tcW w:type="dxa" w:w="2592"/>
          </w:tcPr>
          <w:p>
            <w:r>
              <w:t>female-pattern-hair-loss-hormonal-hair-loss-women</w:t>
            </w:r>
          </w:p>
        </w:tc>
        <w:tc>
          <w:tcPr>
            <w:tcW w:type="dxa" w:w="3744"/>
          </w:tcPr>
          <w:p>
            <w:r>
              <w:t>Female patterned loss, endocrine overlap, reproductive safety, and treatment planning.</w:t>
            </w:r>
          </w:p>
        </w:tc>
        <w:tc>
          <w:tcPr>
            <w:tcW w:type="dxa" w:w="1440"/>
          </w:tcPr>
          <w:p>
            <w:r>
              <w:t>Quiz + case</w:t>
            </w:r>
          </w:p>
        </w:tc>
        <w:tc>
          <w:tcPr>
            <w:tcW w:type="dxa" w:w="720"/>
          </w:tcPr>
          <w:p>
            <w:r>
              <w:t>3.0</w:t>
            </w:r>
          </w:p>
        </w:tc>
      </w:tr>
      <w:tr>
        <w:tc>
          <w:tcPr>
            <w:tcW w:type="dxa" w:w="576"/>
          </w:tcPr>
          <w:p>
            <w:r>
              <w:t>10</w:t>
            </w:r>
          </w:p>
        </w:tc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Diffuse Shedding, Immune-Mediated Hair Loss, Cicatricial Alopecia and Scalp Disease</w:t>
            </w:r>
          </w:p>
        </w:tc>
        <w:tc>
          <w:tcPr>
            <w:tcW w:type="dxa" w:w="3168"/>
          </w:tcPr>
          <w:p>
            <w:r>
              <w:t>Telogen Effluvium and Diffuse Shedding Disorders</w:t>
            </w:r>
          </w:p>
        </w:tc>
        <w:tc>
          <w:tcPr>
            <w:tcW w:type="dxa" w:w="2592"/>
          </w:tcPr>
          <w:p>
            <w:r>
              <w:t>telogen-effluvium-diffuse-shedding-disorders</w:t>
            </w:r>
          </w:p>
        </w:tc>
        <w:tc>
          <w:tcPr>
            <w:tcW w:type="dxa" w:w="3744"/>
          </w:tcPr>
          <w:p>
            <w:r>
              <w:t>Acute and chronic shedding, triggers, overlap with patterned loss, and workup logic.</w:t>
            </w:r>
          </w:p>
        </w:tc>
        <w:tc>
          <w:tcPr>
            <w:tcW w:type="dxa" w:w="1440"/>
          </w:tcPr>
          <w:p>
            <w:r>
              <w:t>Case reasoning</w:t>
            </w:r>
          </w:p>
        </w:tc>
        <w:tc>
          <w:tcPr>
            <w:tcW w:type="dxa" w:w="720"/>
          </w:tcPr>
          <w:p>
            <w:r>
              <w:t>2.0</w:t>
            </w:r>
          </w:p>
        </w:tc>
      </w:tr>
      <w:tr>
        <w:tc>
          <w:tcPr>
            <w:tcW w:type="dxa" w:w="576"/>
          </w:tcPr>
          <w:p>
            <w:r>
              <w:t>11</w:t>
            </w:r>
          </w:p>
        </w:tc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Diffuse Shedding, Immune-Mediated Hair Loss, Cicatricial Alopecia and Scalp Disease</w:t>
            </w:r>
          </w:p>
        </w:tc>
        <w:tc>
          <w:tcPr>
            <w:tcW w:type="dxa" w:w="3168"/>
          </w:tcPr>
          <w:p>
            <w:r>
              <w:t>Alopecia Areata and Immune-Mediated Hair Loss</w:t>
            </w:r>
          </w:p>
        </w:tc>
        <w:tc>
          <w:tcPr>
            <w:tcW w:type="dxa" w:w="2592"/>
          </w:tcPr>
          <w:p>
            <w:r>
              <w:t>alopecia-areata-immune-mediated-hair-loss</w:t>
            </w:r>
          </w:p>
        </w:tc>
        <w:tc>
          <w:tcPr>
            <w:tcW w:type="dxa" w:w="3744"/>
          </w:tcPr>
          <w:p>
            <w:r>
              <w:t>Phenotypes, trichoscopy, prognosis, and evidence-aware treatment frameworks.</w:t>
            </w:r>
          </w:p>
        </w:tc>
        <w:tc>
          <w:tcPr>
            <w:tcW w:type="dxa" w:w="1440"/>
          </w:tcPr>
          <w:p>
            <w:r>
              <w:t>Image + short answer</w:t>
            </w:r>
          </w:p>
        </w:tc>
        <w:tc>
          <w:tcPr>
            <w:tcW w:type="dxa" w:w="720"/>
          </w:tcPr>
          <w:p>
            <w:r>
              <w:t>2.5</w:t>
            </w:r>
          </w:p>
        </w:tc>
      </w:tr>
      <w:tr>
        <w:tc>
          <w:tcPr>
            <w:tcW w:type="dxa" w:w="576"/>
          </w:tcPr>
          <w:p>
            <w:r>
              <w:t>12</w:t>
            </w:r>
          </w:p>
        </w:tc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Diffuse Shedding, Immune-Mediated Hair Loss, Cicatricial Alopecia and Scalp Disease</w:t>
            </w:r>
          </w:p>
        </w:tc>
        <w:tc>
          <w:tcPr>
            <w:tcW w:type="dxa" w:w="3168"/>
          </w:tcPr>
          <w:p>
            <w:r>
              <w:t>Hair Shaft Disorders and Breakage Syndromes</w:t>
            </w:r>
          </w:p>
        </w:tc>
        <w:tc>
          <w:tcPr>
            <w:tcW w:type="dxa" w:w="2592"/>
          </w:tcPr>
          <w:p>
            <w:r>
              <w:t>hair-shaft-disorders-breakage-syndromes</w:t>
            </w:r>
          </w:p>
        </w:tc>
        <w:tc>
          <w:tcPr>
            <w:tcW w:type="dxa" w:w="3744"/>
          </w:tcPr>
          <w:p>
            <w:r>
              <w:t>Breakage versus shedding, shaft fragility, traction, trichotillomania, and cosmetic injury.</w:t>
            </w:r>
          </w:p>
        </w:tc>
        <w:tc>
          <w:tcPr>
            <w:tcW w:type="dxa" w:w="1440"/>
          </w:tcPr>
          <w:p>
            <w:r>
              <w:t>Quiz</w:t>
            </w:r>
          </w:p>
        </w:tc>
        <w:tc>
          <w:tcPr>
            <w:tcW w:type="dxa" w:w="720"/>
          </w:tcPr>
          <w:p>
            <w:r>
              <w:t>1.5</w:t>
            </w:r>
          </w:p>
        </w:tc>
      </w:tr>
      <w:tr>
        <w:tc>
          <w:tcPr>
            <w:tcW w:type="dxa" w:w="576"/>
          </w:tcPr>
          <w:p>
            <w:r>
              <w:t>13</w:t>
            </w:r>
          </w:p>
        </w:tc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Diffuse Shedding, Immune-Mediated Hair Loss, Cicatricial Alopecia and Scalp Disease</w:t>
            </w:r>
          </w:p>
        </w:tc>
        <w:tc>
          <w:tcPr>
            <w:tcW w:type="dxa" w:w="3168"/>
          </w:tcPr>
          <w:p>
            <w:r>
              <w:t>Principles of Cicatricial Alopecia</w:t>
            </w:r>
          </w:p>
        </w:tc>
        <w:tc>
          <w:tcPr>
            <w:tcW w:type="dxa" w:w="2592"/>
          </w:tcPr>
          <w:p>
            <w:r>
              <w:t>principles-cicatricial-alopecia</w:t>
            </w:r>
          </w:p>
        </w:tc>
        <w:tc>
          <w:tcPr>
            <w:tcW w:type="dxa" w:w="3744"/>
          </w:tcPr>
          <w:p>
            <w:r>
              <w:t>Scarring alopecia classification, recognition, urgency, biopsy logic, and treatment goals.</w:t>
            </w:r>
          </w:p>
        </w:tc>
        <w:tc>
          <w:tcPr>
            <w:tcW w:type="dxa" w:w="1440"/>
          </w:tcPr>
          <w:p>
            <w:r>
              <w:t>Image + case</w:t>
            </w:r>
          </w:p>
        </w:tc>
        <w:tc>
          <w:tcPr>
            <w:tcW w:type="dxa" w:w="720"/>
          </w:tcPr>
          <w:p>
            <w:r>
              <w:t>2.0</w:t>
            </w:r>
          </w:p>
        </w:tc>
      </w:tr>
      <w:tr>
        <w:tc>
          <w:tcPr>
            <w:tcW w:type="dxa" w:w="576"/>
          </w:tcPr>
          <w:p>
            <w:r>
              <w:t>14</w:t>
            </w:r>
          </w:p>
        </w:tc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Diffuse Shedding, Immune-Mediated Hair Loss, Cicatricial Alopecia and Scalp Disease</w:t>
            </w:r>
          </w:p>
        </w:tc>
        <w:tc>
          <w:tcPr>
            <w:tcW w:type="dxa" w:w="3168"/>
          </w:tcPr>
          <w:p>
            <w:r>
              <w:t>Lymphocytic Cicatricial Alopecias</w:t>
            </w:r>
          </w:p>
        </w:tc>
        <w:tc>
          <w:tcPr>
            <w:tcW w:type="dxa" w:w="2592"/>
          </w:tcPr>
          <w:p>
            <w:r>
              <w:t>lymphocytic-cicatricial-alopecias</w:t>
            </w:r>
          </w:p>
        </w:tc>
        <w:tc>
          <w:tcPr>
            <w:tcW w:type="dxa" w:w="3744"/>
          </w:tcPr>
          <w:p>
            <w:r>
              <w:t>LPP, FFA, DLE, CCCA and related disorders with monitoring and management principles.</w:t>
            </w:r>
          </w:p>
        </w:tc>
        <w:tc>
          <w:tcPr>
            <w:tcW w:type="dxa" w:w="1440"/>
          </w:tcPr>
          <w:p>
            <w:r>
              <w:t>Image interpretation</w:t>
            </w:r>
          </w:p>
        </w:tc>
        <w:tc>
          <w:tcPr>
            <w:tcW w:type="dxa" w:w="720"/>
          </w:tcPr>
          <w:p>
            <w:r>
              <w:t>2.5</w:t>
            </w:r>
          </w:p>
        </w:tc>
      </w:tr>
      <w:tr>
        <w:tc>
          <w:tcPr>
            <w:tcW w:type="dxa" w:w="576"/>
          </w:tcPr>
          <w:p>
            <w:r>
              <w:t>15</w:t>
            </w:r>
          </w:p>
        </w:tc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Diffuse Shedding, Immune-Mediated Hair Loss, Cicatricial Alopecia and Scalp Disease</w:t>
            </w:r>
          </w:p>
        </w:tc>
        <w:tc>
          <w:tcPr>
            <w:tcW w:type="dxa" w:w="3168"/>
          </w:tcPr>
          <w:p>
            <w:r>
              <w:t>Neutrophilic and Mixed Cicatricial Alopecias</w:t>
            </w:r>
          </w:p>
        </w:tc>
        <w:tc>
          <w:tcPr>
            <w:tcW w:type="dxa" w:w="2592"/>
          </w:tcPr>
          <w:p>
            <w:r>
              <w:t>neutrophilic-mixed-cicatricial-alopecias</w:t>
            </w:r>
          </w:p>
        </w:tc>
        <w:tc>
          <w:tcPr>
            <w:tcW w:type="dxa" w:w="3744"/>
          </w:tcPr>
          <w:p>
            <w:r>
              <w:t>Folliculitis decalvans, dissecting cellulitis, tufting, drainage, and destructive follicular disease.</w:t>
            </w:r>
          </w:p>
        </w:tc>
        <w:tc>
          <w:tcPr>
            <w:tcW w:type="dxa" w:w="1440"/>
          </w:tcPr>
          <w:p>
            <w:r>
              <w:t>Case reasoning</w:t>
            </w:r>
          </w:p>
        </w:tc>
        <w:tc>
          <w:tcPr>
            <w:tcW w:type="dxa" w:w="720"/>
          </w:tcPr>
          <w:p>
            <w:r>
              <w:t>2.0</w:t>
            </w:r>
          </w:p>
        </w:tc>
      </w:tr>
      <w:tr>
        <w:tc>
          <w:tcPr>
            <w:tcW w:type="dxa" w:w="576"/>
          </w:tcPr>
          <w:p>
            <w:r>
              <w:t>16</w:t>
            </w:r>
          </w:p>
        </w:tc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Diffuse Shedding, Immune-Mediated Hair Loss, Cicatricial Alopecia and Scalp Disease</w:t>
            </w:r>
          </w:p>
        </w:tc>
        <w:tc>
          <w:tcPr>
            <w:tcW w:type="dxa" w:w="3168"/>
          </w:tcPr>
          <w:p>
            <w:r>
              <w:t>Inflammatory and Infectious Scalp Disorders</w:t>
            </w:r>
          </w:p>
        </w:tc>
        <w:tc>
          <w:tcPr>
            <w:tcW w:type="dxa" w:w="2592"/>
          </w:tcPr>
          <w:p>
            <w:r>
              <w:t>inflammatory-infectious-scalp-disorders</w:t>
            </w:r>
          </w:p>
        </w:tc>
        <w:tc>
          <w:tcPr>
            <w:tcW w:type="dxa" w:w="3744"/>
          </w:tcPr>
          <w:p>
            <w:r>
              <w:t>Seb derm, psoriasis, dermatitis, tinea, folliculitis, scalp barrier strategy and overlap disease.</w:t>
            </w:r>
          </w:p>
        </w:tc>
        <w:tc>
          <w:tcPr>
            <w:tcW w:type="dxa" w:w="1440"/>
          </w:tcPr>
          <w:p>
            <w:r>
              <w:t>Quiz + image</w:t>
            </w:r>
          </w:p>
        </w:tc>
        <w:tc>
          <w:tcPr>
            <w:tcW w:type="dxa" w:w="720"/>
          </w:tcPr>
          <w:p>
            <w:r>
              <w:t>2.0</w:t>
            </w:r>
          </w:p>
        </w:tc>
      </w:tr>
      <w:tr>
        <w:tc>
          <w:tcPr>
            <w:tcW w:type="dxa" w:w="576"/>
          </w:tcPr>
          <w:p>
            <w:r>
              <w:t>17</w:t>
            </w:r>
          </w:p>
        </w:tc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Therapeutics, Regenerative Medicine and Foundations of Hair Restoration Surgery</w:t>
            </w:r>
          </w:p>
        </w:tc>
        <w:tc>
          <w:tcPr>
            <w:tcW w:type="dxa" w:w="3168"/>
          </w:tcPr>
          <w:p>
            <w:r>
              <w:t>Medical Management of Hair Loss</w:t>
            </w:r>
          </w:p>
        </w:tc>
        <w:tc>
          <w:tcPr>
            <w:tcW w:type="dxa" w:w="2592"/>
          </w:tcPr>
          <w:p>
            <w:r>
              <w:t>medical-management-hair-loss</w:t>
            </w:r>
          </w:p>
        </w:tc>
        <w:tc>
          <w:tcPr>
            <w:tcW w:type="dxa" w:w="3744"/>
          </w:tcPr>
          <w:p>
            <w:r>
              <w:t>Topical and oral minoxidil, finasteride, dutasteride, anti-androgens, combination logic, and monitoring.</w:t>
            </w:r>
          </w:p>
        </w:tc>
        <w:tc>
          <w:tcPr>
            <w:tcW w:type="dxa" w:w="1440"/>
          </w:tcPr>
          <w:p>
            <w:r>
              <w:t>MCQ + short answer</w:t>
            </w:r>
          </w:p>
        </w:tc>
        <w:tc>
          <w:tcPr>
            <w:tcW w:type="dxa" w:w="720"/>
          </w:tcPr>
          <w:p>
            <w:r>
              <w:t>3.0</w:t>
            </w:r>
          </w:p>
        </w:tc>
      </w:tr>
      <w:tr>
        <w:tc>
          <w:tcPr>
            <w:tcW w:type="dxa" w:w="576"/>
          </w:tcPr>
          <w:p>
            <w:r>
              <w:t>18</w:t>
            </w:r>
          </w:p>
        </w:tc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Therapeutics, Regenerative Medicine and Foundations of Hair Restoration Surgery</w:t>
            </w:r>
          </w:p>
        </w:tc>
        <w:tc>
          <w:tcPr>
            <w:tcW w:type="dxa" w:w="3168"/>
          </w:tcPr>
          <w:p>
            <w:r>
              <w:t>Nutritional, Lifestyle, and Systemic Support</w:t>
            </w:r>
          </w:p>
        </w:tc>
        <w:tc>
          <w:tcPr>
            <w:tcW w:type="dxa" w:w="2592"/>
          </w:tcPr>
          <w:p>
            <w:r>
              <w:t>nutritional-lifestyle-systemic-support</w:t>
            </w:r>
          </w:p>
        </w:tc>
        <w:tc>
          <w:tcPr>
            <w:tcW w:type="dxa" w:w="3744"/>
          </w:tcPr>
          <w:p>
            <w:r>
              <w:t>Iron, vitamin D, protein, metabolic factors, stress, sleep, and adherence support without supplement overreach.</w:t>
            </w:r>
          </w:p>
        </w:tc>
        <w:tc>
          <w:tcPr>
            <w:tcW w:type="dxa" w:w="1440"/>
          </w:tcPr>
          <w:p>
            <w:r>
              <w:t>Quiz</w:t>
            </w:r>
          </w:p>
        </w:tc>
        <w:tc>
          <w:tcPr>
            <w:tcW w:type="dxa" w:w="720"/>
          </w:tcPr>
          <w:p>
            <w:r>
              <w:t>1.5</w:t>
            </w:r>
          </w:p>
        </w:tc>
      </w:tr>
      <w:tr>
        <w:tc>
          <w:tcPr>
            <w:tcW w:type="dxa" w:w="576"/>
          </w:tcPr>
          <w:p>
            <w:r>
              <w:t>19</w:t>
            </w:r>
          </w:p>
        </w:tc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Therapeutics, Regenerative Medicine and Foundations of Hair Restoration Surgery</w:t>
            </w:r>
          </w:p>
        </w:tc>
        <w:tc>
          <w:tcPr>
            <w:tcW w:type="dxa" w:w="3168"/>
          </w:tcPr>
          <w:p>
            <w:r>
              <w:t>Regenerative Medicine in Trichology</w:t>
            </w:r>
          </w:p>
        </w:tc>
        <w:tc>
          <w:tcPr>
            <w:tcW w:type="dxa" w:w="2592"/>
          </w:tcPr>
          <w:p>
            <w:r>
              <w:t>regenerative-medicine-trichology</w:t>
            </w:r>
          </w:p>
        </w:tc>
        <w:tc>
          <w:tcPr>
            <w:tcW w:type="dxa" w:w="3744"/>
          </w:tcPr>
          <w:p>
            <w:r>
              <w:t>PRP, microneedling, exosomes, combination logic, evidence tiers, and outcome tracking.</w:t>
            </w:r>
          </w:p>
        </w:tc>
        <w:tc>
          <w:tcPr>
            <w:tcW w:type="dxa" w:w="1440"/>
          </w:tcPr>
          <w:p>
            <w:r>
              <w:t>Short answer + case</w:t>
            </w:r>
          </w:p>
        </w:tc>
        <w:tc>
          <w:tcPr>
            <w:tcW w:type="dxa" w:w="720"/>
          </w:tcPr>
          <w:p>
            <w:r>
              <w:t>2.5</w:t>
            </w:r>
          </w:p>
        </w:tc>
      </w:tr>
      <w:tr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Therapeutics, Regenerative Medicine and Foundations of Hair Restoration Surgery</w:t>
            </w:r>
          </w:p>
        </w:tc>
        <w:tc>
          <w:tcPr>
            <w:tcW w:type="dxa" w:w="3168"/>
          </w:tcPr>
          <w:p>
            <w:r>
              <w:t>Principles of Hair Transplantation</w:t>
            </w:r>
          </w:p>
        </w:tc>
        <w:tc>
          <w:tcPr>
            <w:tcW w:type="dxa" w:w="2592"/>
          </w:tcPr>
          <w:p>
            <w:r>
              <w:t>principles-hair-transplantation</w:t>
            </w:r>
          </w:p>
        </w:tc>
        <w:tc>
          <w:tcPr>
            <w:tcW w:type="dxa" w:w="3744"/>
          </w:tcPr>
          <w:p>
            <w:r>
              <w:t>Candidacy, donor assessment, recipient planning, FUT vs FUE, and long-term surgical strategy.</w:t>
            </w:r>
          </w:p>
        </w:tc>
        <w:tc>
          <w:tcPr>
            <w:tcW w:type="dxa" w:w="1440"/>
          </w:tcPr>
          <w:p>
            <w:r>
              <w:t>Case reasoning</w:t>
            </w:r>
          </w:p>
        </w:tc>
        <w:tc>
          <w:tcPr>
            <w:tcW w:type="dxa" w:w="720"/>
          </w:tcPr>
          <w:p>
            <w:r>
              <w:t>2.5</w:t>
            </w:r>
          </w:p>
        </w:tc>
      </w:tr>
      <w:tr>
        <w:tc>
          <w:tcPr>
            <w:tcW w:type="dxa" w:w="576"/>
          </w:tcPr>
          <w:p>
            <w:r>
              <w:t>21</w:t>
            </w:r>
          </w:p>
        </w:tc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Therapeutics, Regenerative Medicine and Foundations of Hair Restoration Surgery</w:t>
            </w:r>
          </w:p>
        </w:tc>
        <w:tc>
          <w:tcPr>
            <w:tcW w:type="dxa" w:w="3168"/>
          </w:tcPr>
          <w:p>
            <w:r>
              <w:t>Advanced FUE Science</w:t>
            </w:r>
          </w:p>
        </w:tc>
        <w:tc>
          <w:tcPr>
            <w:tcW w:type="dxa" w:w="2592"/>
          </w:tcPr>
          <w:p>
            <w:r>
              <w:t>advanced-fue-science</w:t>
            </w:r>
          </w:p>
        </w:tc>
        <w:tc>
          <w:tcPr>
            <w:tcW w:type="dxa" w:w="3744"/>
          </w:tcPr>
          <w:p>
            <w:r>
              <w:t>Punch dynamics, transection mechanics, donor distribution, graft handling, and density logic.</w:t>
            </w:r>
          </w:p>
        </w:tc>
        <w:tc>
          <w:tcPr>
            <w:tcW w:type="dxa" w:w="1440"/>
          </w:tcPr>
          <w:p>
            <w:r>
              <w:t>Image + case</w:t>
            </w:r>
          </w:p>
        </w:tc>
        <w:tc>
          <w:tcPr>
            <w:tcW w:type="dxa" w:w="720"/>
          </w:tcPr>
          <w:p>
            <w:r>
              <w:t>2.5</w:t>
            </w:r>
          </w:p>
        </w:tc>
      </w:tr>
      <w:tr>
        <w:tc>
          <w:tcPr>
            <w:tcW w:type="dxa" w:w="576"/>
          </w:tcPr>
          <w:p>
            <w:r>
              <w:t>22</w:t>
            </w:r>
          </w:p>
        </w:tc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Advanced Surgical Integration, Professional Practice, Research and Certification</w:t>
            </w:r>
          </w:p>
        </w:tc>
        <w:tc>
          <w:tcPr>
            <w:tcW w:type="dxa" w:w="3168"/>
          </w:tcPr>
          <w:p>
            <w:r>
              <w:t>Long Hair FUE and Unshaven Techniques</w:t>
            </w:r>
          </w:p>
        </w:tc>
        <w:tc>
          <w:tcPr>
            <w:tcW w:type="dxa" w:w="2592"/>
          </w:tcPr>
          <w:p>
            <w:r>
              <w:t>long-hair-fue-unshaven-techniques</w:t>
            </w:r>
          </w:p>
        </w:tc>
        <w:tc>
          <w:tcPr>
            <w:tcW w:type="dxa" w:w="3744"/>
          </w:tcPr>
          <w:p>
            <w:r>
              <w:t>Concealment-oriented surgical approaches, female applications, eyebrow work, and workflow complexity.</w:t>
            </w:r>
          </w:p>
        </w:tc>
        <w:tc>
          <w:tcPr>
            <w:tcW w:type="dxa" w:w="1440"/>
          </w:tcPr>
          <w:p>
            <w:r>
              <w:t>Case + visual review</w:t>
            </w:r>
          </w:p>
        </w:tc>
        <w:tc>
          <w:tcPr>
            <w:tcW w:type="dxa" w:w="720"/>
          </w:tcPr>
          <w:p>
            <w:r>
              <w:t>2.0</w:t>
            </w:r>
          </w:p>
        </w:tc>
      </w:tr>
      <w:tr>
        <w:tc>
          <w:tcPr>
            <w:tcW w:type="dxa" w:w="576"/>
          </w:tcPr>
          <w:p>
            <w:r>
              <w:t>23</w:t>
            </w:r>
          </w:p>
        </w:tc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Advanced Surgical Integration, Professional Practice, Research and Certification</w:t>
            </w:r>
          </w:p>
        </w:tc>
        <w:tc>
          <w:tcPr>
            <w:tcW w:type="dxa" w:w="3168"/>
          </w:tcPr>
          <w:p>
            <w:r>
              <w:t>Partial Transection and Regenerative Donor Concepts</w:t>
            </w:r>
          </w:p>
        </w:tc>
        <w:tc>
          <w:tcPr>
            <w:tcW w:type="dxa" w:w="2592"/>
          </w:tcPr>
          <w:p>
            <w:r>
              <w:t>partial-transection-regenerative-donor-concepts</w:t>
            </w:r>
          </w:p>
        </w:tc>
        <w:tc>
          <w:tcPr>
            <w:tcW w:type="dxa" w:w="3744"/>
          </w:tcPr>
          <w:p>
            <w:r>
              <w:t>Academy-signature advanced donor-preservation concept positioned as emerging and evidence-aware.</w:t>
            </w:r>
          </w:p>
        </w:tc>
        <w:tc>
          <w:tcPr>
            <w:tcW w:type="dxa" w:w="1440"/>
          </w:tcPr>
          <w:p>
            <w:r>
              <w:t>Faculty-reviewed case</w:t>
            </w:r>
          </w:p>
        </w:tc>
        <w:tc>
          <w:tcPr>
            <w:tcW w:type="dxa" w:w="720"/>
          </w:tcPr>
          <w:p>
            <w:r>
              <w:t>2.0</w:t>
            </w:r>
          </w:p>
        </w:tc>
      </w:tr>
      <w:tr>
        <w:tc>
          <w:tcPr>
            <w:tcW w:type="dxa" w:w="576"/>
          </w:tcPr>
          <w:p>
            <w:r>
              <w:t>24</w:t>
            </w:r>
          </w:p>
        </w:tc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Advanced Surgical Integration, Professional Practice, Research and Certification</w:t>
            </w:r>
          </w:p>
        </w:tc>
        <w:tc>
          <w:tcPr>
            <w:tcW w:type="dxa" w:w="3168"/>
          </w:tcPr>
          <w:p>
            <w:r>
              <w:t>Surgical Recovery, Optimisation, and Complication Management</w:t>
            </w:r>
          </w:p>
        </w:tc>
        <w:tc>
          <w:tcPr>
            <w:tcW w:type="dxa" w:w="2592"/>
          </w:tcPr>
          <w:p>
            <w:r>
              <w:t>surgical-recovery-optimisation-complication-management</w:t>
            </w:r>
          </w:p>
        </w:tc>
        <w:tc>
          <w:tcPr>
            <w:tcW w:type="dxa" w:w="3744"/>
          </w:tcPr>
          <w:p>
            <w:r>
              <w:t>Post-op recovery biology, donor healing, poor growth, shock loss, complications, and repair logic.</w:t>
            </w:r>
          </w:p>
        </w:tc>
        <w:tc>
          <w:tcPr>
            <w:tcW w:type="dxa" w:w="1440"/>
          </w:tcPr>
          <w:p>
            <w:r>
              <w:t>Case reasoning</w:t>
            </w:r>
          </w:p>
        </w:tc>
        <w:tc>
          <w:tcPr>
            <w:tcW w:type="dxa" w:w="720"/>
          </w:tcPr>
          <w:p>
            <w:r>
              <w:t>2.0</w:t>
            </w:r>
          </w:p>
        </w:tc>
      </w:tr>
      <w:tr>
        <w:tc>
          <w:tcPr>
            <w:tcW w:type="dxa" w:w="576"/>
          </w:tcPr>
          <w:p>
            <w:r>
              <w:t>25</w:t>
            </w:r>
          </w:p>
        </w:tc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Advanced Surgical Integration, Professional Practice, Research and Certification</w:t>
            </w:r>
          </w:p>
        </w:tc>
        <w:tc>
          <w:tcPr>
            <w:tcW w:type="dxa" w:w="3168"/>
          </w:tcPr>
          <w:p>
            <w:r>
              <w:t>Consultation Mastery, Ethics, and Psychological Care</w:t>
            </w:r>
          </w:p>
        </w:tc>
        <w:tc>
          <w:tcPr>
            <w:tcW w:type="dxa" w:w="2592"/>
          </w:tcPr>
          <w:p>
            <w:r>
              <w:t>consultation-mastery-ethics-psychological-care</w:t>
            </w:r>
          </w:p>
        </w:tc>
        <w:tc>
          <w:tcPr>
            <w:tcW w:type="dxa" w:w="3744"/>
          </w:tcPr>
          <w:p>
            <w:r>
              <w:t>Communication, consent, expectation management, ethical boundaries, and long-term patient partnership.</w:t>
            </w:r>
          </w:p>
        </w:tc>
        <w:tc>
          <w:tcPr>
            <w:tcW w:type="dxa" w:w="1440"/>
          </w:tcPr>
          <w:p>
            <w:r>
              <w:t>Scenario assessment</w:t>
            </w:r>
          </w:p>
        </w:tc>
        <w:tc>
          <w:tcPr>
            <w:tcW w:type="dxa" w:w="720"/>
          </w:tcPr>
          <w:p>
            <w:r>
              <w:t>2.0</w:t>
            </w:r>
          </w:p>
        </w:tc>
      </w:tr>
      <w:tr>
        <w:tc>
          <w:tcPr>
            <w:tcW w:type="dxa" w:w="576"/>
          </w:tcPr>
          <w:p>
            <w:r>
              <w:t>26</w:t>
            </w:r>
          </w:p>
        </w:tc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Advanced Surgical Integration, Professional Practice, Research and Certification</w:t>
            </w:r>
          </w:p>
        </w:tc>
        <w:tc>
          <w:tcPr>
            <w:tcW w:type="dxa" w:w="3168"/>
          </w:tcPr>
          <w:p>
            <w:r>
              <w:t>Research Literacy and Evidence Appraisal</w:t>
            </w:r>
          </w:p>
        </w:tc>
        <w:tc>
          <w:tcPr>
            <w:tcW w:type="dxa" w:w="2592"/>
          </w:tcPr>
          <w:p>
            <w:r>
              <w:t>research-literacy-evidence-appraisal</w:t>
            </w:r>
          </w:p>
        </w:tc>
        <w:tc>
          <w:tcPr>
            <w:tcW w:type="dxa" w:w="3744"/>
          </w:tcPr>
          <w:p>
            <w:r>
              <w:t>Levels of evidence, bias, visual critique, outcomes tracking, and registry thinking.</w:t>
            </w:r>
          </w:p>
        </w:tc>
        <w:tc>
          <w:tcPr>
            <w:tcW w:type="dxa" w:w="1440"/>
          </w:tcPr>
          <w:p>
            <w:r>
              <w:t>Short answer</w:t>
            </w:r>
          </w:p>
        </w:tc>
        <w:tc>
          <w:tcPr>
            <w:tcW w:type="dxa" w:w="720"/>
          </w:tcPr>
          <w:p>
            <w:r>
              <w:t>1.5</w:t>
            </w:r>
          </w:p>
        </w:tc>
      </w:tr>
      <w:tr>
        <w:tc>
          <w:tcPr>
            <w:tcW w:type="dxa" w:w="576"/>
          </w:tcPr>
          <w:p>
            <w:r>
              <w:t>27</w:t>
            </w:r>
          </w:p>
        </w:tc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Advanced Surgical Integration, Professional Practice, Research and Certification</w:t>
            </w:r>
          </w:p>
        </w:tc>
        <w:tc>
          <w:tcPr>
            <w:tcW w:type="dxa" w:w="3168"/>
          </w:tcPr>
          <w:p>
            <w:r>
              <w:t>Capstone Case Review and Clinical Integration</w:t>
            </w:r>
          </w:p>
        </w:tc>
        <w:tc>
          <w:tcPr>
            <w:tcW w:type="dxa" w:w="2592"/>
          </w:tcPr>
          <w:p>
            <w:r>
              <w:t>capstone-case-review-clinical-integration</w:t>
            </w:r>
          </w:p>
        </w:tc>
        <w:tc>
          <w:tcPr>
            <w:tcW w:type="dxa" w:w="3744"/>
          </w:tcPr>
          <w:p>
            <w:r>
              <w:t>Integrated diagnostic and treatment reasoning across representative hair medicine cases.</w:t>
            </w:r>
          </w:p>
        </w:tc>
        <w:tc>
          <w:tcPr>
            <w:tcW w:type="dxa" w:w="1440"/>
          </w:tcPr>
          <w:p>
            <w:r>
              <w:t>Faculty capstone</w:t>
            </w:r>
          </w:p>
        </w:tc>
        <w:tc>
          <w:tcPr>
            <w:tcW w:type="dxa" w:w="720"/>
          </w:tcPr>
          <w:p>
            <w:r>
              <w:t>3.0</w:t>
            </w:r>
          </w:p>
        </w:tc>
      </w:tr>
      <w:tr>
        <w:tc>
          <w:tcPr>
            <w:tcW w:type="dxa" w:w="576"/>
          </w:tcPr>
          <w:p>
            <w:r>
              <w:t>28</w:t>
            </w:r>
          </w:p>
        </w:tc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Advanced Surgical Integration, Professional Practice, Research and Certification</w:t>
            </w:r>
          </w:p>
        </w:tc>
        <w:tc>
          <w:tcPr>
            <w:tcW w:type="dxa" w:w="3168"/>
          </w:tcPr>
          <w:p>
            <w:r>
              <w:t>Final Assessment and Certification</w:t>
            </w:r>
          </w:p>
        </w:tc>
        <w:tc>
          <w:tcPr>
            <w:tcW w:type="dxa" w:w="2592"/>
          </w:tcPr>
          <w:p>
            <w:r>
              <w:t>final-assessment-certification</w:t>
            </w:r>
          </w:p>
        </w:tc>
        <w:tc>
          <w:tcPr>
            <w:tcW w:type="dxa" w:w="3744"/>
          </w:tcPr>
          <w:p>
            <w:r>
              <w:t>Program-end assessment rules, certification logic, and distinction pathway.</w:t>
            </w:r>
          </w:p>
        </w:tc>
        <w:tc>
          <w:tcPr>
            <w:tcW w:type="dxa" w:w="1440"/>
          </w:tcPr>
          <w:p>
            <w:r>
              <w:t>Final exam</w:t>
            </w:r>
          </w:p>
        </w:tc>
        <w:tc>
          <w:tcPr>
            <w:tcW w:type="dxa" w:w="7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Module Record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</w:tcPr>
          <w:p>
            <w:pPr>
              <w:shd w:fill="D9EAF7"/>
            </w:pPr>
            <w:r>
              <w:rPr>
                <w:b/>
              </w:rPr>
              <w:t>Field</w:t>
            </w:r>
          </w:p>
        </w:tc>
        <w:tc>
          <w:tcPr>
            <w:tcW w:type="dxa" w:w="9216"/>
          </w:tcPr>
          <w:p>
            <w:pPr>
              <w:shd w:fill="D9EAF7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3744"/>
          </w:tcPr>
          <w:p>
            <w:r>
              <w:t>module_number</w:t>
            </w:r>
          </w:p>
        </w:tc>
        <w:tc>
          <w:tcPr>
            <w:tcW w:type="dxa" w:w="9216"/>
          </w:tcPr>
          <w:p>
            <w:r>
              <w:t>Numeric sequence 1–28</w:t>
            </w:r>
          </w:p>
        </w:tc>
      </w:tr>
      <w:tr>
        <w:tc>
          <w:tcPr>
            <w:tcW w:type="dxa" w:w="3744"/>
          </w:tcPr>
          <w:p>
            <w:r>
              <w:t>module_title</w:t>
            </w:r>
          </w:p>
        </w:tc>
        <w:tc>
          <w:tcPr>
            <w:tcW w:type="dxa" w:w="9216"/>
          </w:tcPr>
          <w:p>
            <w:r>
              <w:t>Formal academic title</w:t>
            </w:r>
          </w:p>
        </w:tc>
      </w:tr>
      <w:tr>
        <w:tc>
          <w:tcPr>
            <w:tcW w:type="dxa" w:w="3744"/>
          </w:tcPr>
          <w:p>
            <w:r>
              <w:t>module_slug</w:t>
            </w:r>
          </w:p>
        </w:tc>
        <w:tc>
          <w:tcPr>
            <w:tcW w:type="dxa" w:w="9216"/>
          </w:tcPr>
          <w:p>
            <w:r>
              <w:t>URL-safe unique slug</w:t>
            </w:r>
          </w:p>
        </w:tc>
      </w:tr>
      <w:tr>
        <w:tc>
          <w:tcPr>
            <w:tcW w:type="dxa" w:w="3744"/>
          </w:tcPr>
          <w:p>
            <w:r>
              <w:t>volume_number</w:t>
            </w:r>
          </w:p>
        </w:tc>
        <w:tc>
          <w:tcPr>
            <w:tcW w:type="dxa" w:w="9216"/>
          </w:tcPr>
          <w:p>
            <w:r>
              <w:t>1–5</w:t>
            </w:r>
          </w:p>
        </w:tc>
      </w:tr>
      <w:tr>
        <w:tc>
          <w:tcPr>
            <w:tcW w:type="dxa" w:w="3744"/>
          </w:tcPr>
          <w:p>
            <w:r>
              <w:t>section_title</w:t>
            </w:r>
          </w:p>
        </w:tc>
        <w:tc>
          <w:tcPr>
            <w:tcW w:type="dxa" w:w="9216"/>
          </w:tcPr>
          <w:p>
            <w:r>
              <w:t>Thematic grouping</w:t>
            </w:r>
          </w:p>
        </w:tc>
      </w:tr>
      <w:tr>
        <w:tc>
          <w:tcPr>
            <w:tcW w:type="dxa" w:w="3744"/>
          </w:tcPr>
          <w:p>
            <w:r>
              <w:t>overview</w:t>
            </w:r>
          </w:p>
        </w:tc>
        <w:tc>
          <w:tcPr>
            <w:tcW w:type="dxa" w:w="9216"/>
          </w:tcPr>
          <w:p>
            <w:r>
              <w:t>Short operational description for LMS</w:t>
            </w:r>
          </w:p>
        </w:tc>
      </w:tr>
      <w:tr>
        <w:tc>
          <w:tcPr>
            <w:tcW w:type="dxa" w:w="3744"/>
          </w:tcPr>
          <w:p>
            <w:r>
              <w:t>learning_outcomes</w:t>
            </w:r>
          </w:p>
        </w:tc>
        <w:tc>
          <w:tcPr>
            <w:tcW w:type="dxa" w:w="9216"/>
          </w:tcPr>
          <w:p>
            <w:r>
              <w:t>Array of 4–8 outcome statements</w:t>
            </w:r>
          </w:p>
        </w:tc>
      </w:tr>
      <w:tr>
        <w:tc>
          <w:tcPr>
            <w:tcW w:type="dxa" w:w="3744"/>
          </w:tcPr>
          <w:p>
            <w:r>
              <w:t>competencies</w:t>
            </w:r>
          </w:p>
        </w:tc>
        <w:tc>
          <w:tcPr>
            <w:tcW w:type="dxa" w:w="9216"/>
          </w:tcPr>
          <w:p>
            <w:r>
              <w:t>Array of skills/competencies</w:t>
            </w:r>
          </w:p>
        </w:tc>
      </w:tr>
      <w:tr>
        <w:tc>
          <w:tcPr>
            <w:tcW w:type="dxa" w:w="3744"/>
          </w:tcPr>
          <w:p>
            <w:r>
              <w:t>estimated_study_time_hours</w:t>
            </w:r>
          </w:p>
        </w:tc>
        <w:tc>
          <w:tcPr>
            <w:tcW w:type="dxa" w:w="9216"/>
          </w:tcPr>
          <w:p>
            <w:r>
              <w:t>Decimal or integer time estimate</w:t>
            </w:r>
          </w:p>
        </w:tc>
      </w:tr>
      <w:tr>
        <w:tc>
          <w:tcPr>
            <w:tcW w:type="dxa" w:w="3744"/>
          </w:tcPr>
          <w:p>
            <w:r>
              <w:t>unlock_order</w:t>
            </w:r>
          </w:p>
        </w:tc>
        <w:tc>
          <w:tcPr>
            <w:tcW w:type="dxa" w:w="9216"/>
          </w:tcPr>
          <w:p>
            <w:r>
              <w:t>Numeric order for progression gating</w:t>
            </w:r>
          </w:p>
        </w:tc>
      </w:tr>
      <w:tr>
        <w:tc>
          <w:tcPr>
            <w:tcW w:type="dxa" w:w="3744"/>
          </w:tcPr>
          <w:p>
            <w:r>
              <w:t>assessment_type</w:t>
            </w:r>
          </w:p>
        </w:tc>
        <w:tc>
          <w:tcPr>
            <w:tcW w:type="dxa" w:w="9216"/>
          </w:tcPr>
          <w:p>
            <w:r>
              <w:t>Primary evaluation style</w:t>
            </w:r>
          </w:p>
        </w:tc>
      </w:tr>
      <w:tr>
        <w:tc>
          <w:tcPr>
            <w:tcW w:type="dxa" w:w="3744"/>
          </w:tcPr>
          <w:p>
            <w:r>
              <w:t>faculty_review_required</w:t>
            </w:r>
          </w:p>
        </w:tc>
        <w:tc>
          <w:tcPr>
            <w:tcW w:type="dxa" w:w="9216"/>
          </w:tcPr>
          <w:p>
            <w:r>
              <w:t>Boolean where case/faculty review is needed</w:t>
            </w:r>
          </w:p>
        </w:tc>
      </w:tr>
    </w:tbl>
    <w:p/>
    <w:p>
      <w:pPr>
        <w:pStyle w:val="Heading1"/>
      </w:pPr>
      <w:r>
        <w:t>D. Lesson Architecture Template</w:t>
      </w:r>
    </w:p>
    <w:p>
      <w:r>
        <w:t>Lessons should be the main delivery objects inside each module. They should remain academically lean, clinically structured, and easy to extend with media, image atlases, and cases later.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</w:tcPr>
          <w:p>
            <w:pPr>
              <w:shd w:fill="D9EAF7"/>
            </w:pPr>
            <w:r>
              <w:rPr>
                <w:b/>
              </w:rPr>
              <w:t>Field</w:t>
            </w:r>
          </w:p>
        </w:tc>
        <w:tc>
          <w:tcPr>
            <w:tcW w:type="dxa" w:w="8928"/>
          </w:tcPr>
          <w:p>
            <w:pPr>
              <w:shd w:fill="D9EAF7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032"/>
          </w:tcPr>
          <w:p>
            <w:r>
              <w:t>lesson_number</w:t>
            </w:r>
          </w:p>
        </w:tc>
        <w:tc>
          <w:tcPr>
            <w:tcW w:type="dxa" w:w="8928"/>
          </w:tcPr>
          <w:p>
            <w:r>
              <w:t>Sequence within module</w:t>
            </w:r>
          </w:p>
        </w:tc>
      </w:tr>
      <w:tr>
        <w:tc>
          <w:tcPr>
            <w:tcW w:type="dxa" w:w="4032"/>
          </w:tcPr>
          <w:p>
            <w:r>
              <w:t>lesson_title</w:t>
            </w:r>
          </w:p>
        </w:tc>
        <w:tc>
          <w:tcPr>
            <w:tcW w:type="dxa" w:w="8928"/>
          </w:tcPr>
          <w:p>
            <w:r>
              <w:t>Displayed lesson title</w:t>
            </w:r>
          </w:p>
        </w:tc>
      </w:tr>
      <w:tr>
        <w:tc>
          <w:tcPr>
            <w:tcW w:type="dxa" w:w="4032"/>
          </w:tcPr>
          <w:p>
            <w:r>
              <w:t>lesson_slug</w:t>
            </w:r>
          </w:p>
        </w:tc>
        <w:tc>
          <w:tcPr>
            <w:tcW w:type="dxa" w:w="8928"/>
          </w:tcPr>
          <w:p>
            <w:r>
              <w:t>URL-safe unique lesson slug</w:t>
            </w:r>
          </w:p>
        </w:tc>
      </w:tr>
      <w:tr>
        <w:tc>
          <w:tcPr>
            <w:tcW w:type="dxa" w:w="4032"/>
          </w:tcPr>
          <w:p>
            <w:r>
              <w:t>module_slug</w:t>
            </w:r>
          </w:p>
        </w:tc>
        <w:tc>
          <w:tcPr>
            <w:tcW w:type="dxa" w:w="8928"/>
          </w:tcPr>
          <w:p>
            <w:r>
              <w:t>Parent module reference</w:t>
            </w:r>
          </w:p>
        </w:tc>
      </w:tr>
      <w:tr>
        <w:tc>
          <w:tcPr>
            <w:tcW w:type="dxa" w:w="4032"/>
          </w:tcPr>
          <w:p>
            <w:r>
              <w:t>lesson_overview</w:t>
            </w:r>
          </w:p>
        </w:tc>
        <w:tc>
          <w:tcPr>
            <w:tcW w:type="dxa" w:w="8928"/>
          </w:tcPr>
          <w:p>
            <w:r>
              <w:t>Short introduction to the lesson</w:t>
            </w:r>
          </w:p>
        </w:tc>
      </w:tr>
      <w:tr>
        <w:tc>
          <w:tcPr>
            <w:tcW w:type="dxa" w:w="4032"/>
          </w:tcPr>
          <w:p>
            <w:r>
              <w:t>learning_objectives</w:t>
            </w:r>
          </w:p>
        </w:tc>
        <w:tc>
          <w:tcPr>
            <w:tcW w:type="dxa" w:w="8928"/>
          </w:tcPr>
          <w:p>
            <w:r>
              <w:t>Array of 3–6 objective statements</w:t>
            </w:r>
          </w:p>
        </w:tc>
      </w:tr>
      <w:tr>
        <w:tc>
          <w:tcPr>
            <w:tcW w:type="dxa" w:w="4032"/>
          </w:tcPr>
          <w:p>
            <w:r>
              <w:t>lesson_body_richtext</w:t>
            </w:r>
          </w:p>
        </w:tc>
        <w:tc>
          <w:tcPr>
            <w:tcW w:type="dxa" w:w="8928"/>
          </w:tcPr>
          <w:p>
            <w:r>
              <w:t>Structured main content field</w:t>
            </w:r>
          </w:p>
        </w:tc>
      </w:tr>
      <w:tr>
        <w:tc>
          <w:tcPr>
            <w:tcW w:type="dxa" w:w="4032"/>
          </w:tcPr>
          <w:p>
            <w:r>
              <w:t>key_takeaways</w:t>
            </w:r>
          </w:p>
        </w:tc>
        <w:tc>
          <w:tcPr>
            <w:tcW w:type="dxa" w:w="8928"/>
          </w:tcPr>
          <w:p>
            <w:r>
              <w:t>Array of concise take-home points</w:t>
            </w:r>
          </w:p>
        </w:tc>
      </w:tr>
      <w:tr>
        <w:tc>
          <w:tcPr>
            <w:tcW w:type="dxa" w:w="4032"/>
          </w:tcPr>
          <w:p>
            <w:r>
              <w:t>red_flags</w:t>
            </w:r>
          </w:p>
        </w:tc>
        <w:tc>
          <w:tcPr>
            <w:tcW w:type="dxa" w:w="8928"/>
          </w:tcPr>
          <w:p>
            <w:r>
              <w:t>Array of urgent/high-risk warnings</w:t>
            </w:r>
          </w:p>
        </w:tc>
      </w:tr>
      <w:tr>
        <w:tc>
          <w:tcPr>
            <w:tcW w:type="dxa" w:w="4032"/>
          </w:tcPr>
          <w:p>
            <w:r>
              <w:t>evidence_tier</w:t>
            </w:r>
          </w:p>
        </w:tc>
        <w:tc>
          <w:tcPr>
            <w:tcW w:type="dxa" w:w="8928"/>
          </w:tcPr>
          <w:p>
            <w:r>
              <w:t>Established / consensus / emerging / investigational</w:t>
            </w:r>
          </w:p>
        </w:tc>
      </w:tr>
      <w:tr>
        <w:tc>
          <w:tcPr>
            <w:tcW w:type="dxa" w:w="4032"/>
          </w:tcPr>
          <w:p>
            <w:r>
              <w:t>clinical_reasoning_boxes</w:t>
            </w:r>
          </w:p>
        </w:tc>
        <w:tc>
          <w:tcPr>
            <w:tcW w:type="dxa" w:w="8928"/>
          </w:tcPr>
          <w:p>
            <w:r>
              <w:t>Optional structured content blocks</w:t>
            </w:r>
          </w:p>
        </w:tc>
      </w:tr>
      <w:tr>
        <w:tc>
          <w:tcPr>
            <w:tcW w:type="dxa" w:w="4032"/>
          </w:tcPr>
          <w:p>
            <w:r>
              <w:t>downloadable_resource_type</w:t>
            </w:r>
          </w:p>
        </w:tc>
        <w:tc>
          <w:tcPr>
            <w:tcW w:type="dxa" w:w="8928"/>
          </w:tcPr>
          <w:p>
            <w:r>
              <w:t>summary-sheet / checklist / atlas / worksheet / none</w:t>
            </w:r>
          </w:p>
        </w:tc>
      </w:tr>
      <w:tr>
        <w:tc>
          <w:tcPr>
            <w:tcW w:type="dxa" w:w="4032"/>
          </w:tcPr>
          <w:p>
            <w:r>
              <w:t>quiz_id</w:t>
            </w:r>
          </w:p>
        </w:tc>
        <w:tc>
          <w:tcPr>
            <w:tcW w:type="dxa" w:w="8928"/>
          </w:tcPr>
          <w:p>
            <w:r>
              <w:t>Linked quiz object if present</w:t>
            </w:r>
          </w:p>
        </w:tc>
      </w:tr>
      <w:tr>
        <w:tc>
          <w:tcPr>
            <w:tcW w:type="dxa" w:w="4032"/>
          </w:tcPr>
          <w:p>
            <w:r>
              <w:t>case_id</w:t>
            </w:r>
          </w:p>
        </w:tc>
        <w:tc>
          <w:tcPr>
            <w:tcW w:type="dxa" w:w="8928"/>
          </w:tcPr>
          <w:p>
            <w:r>
              <w:t>Linked case object if present</w:t>
            </w:r>
          </w:p>
        </w:tc>
      </w:tr>
      <w:tr>
        <w:tc>
          <w:tcPr>
            <w:tcW w:type="dxa" w:w="4032"/>
          </w:tcPr>
          <w:p>
            <w:r>
              <w:t>completion_rule</w:t>
            </w:r>
          </w:p>
        </w:tc>
        <w:tc>
          <w:tcPr>
            <w:tcW w:type="dxa" w:w="8928"/>
          </w:tcPr>
          <w:p>
            <w:r>
              <w:t>Read-only / read+quiz / read+case / faculty approval</w:t>
            </w:r>
          </w:p>
        </w:tc>
      </w:tr>
    </w:tbl>
    <w:p/>
    <w:p>
      <w:pPr>
        <w:pStyle w:val="Heading2"/>
      </w:pPr>
      <w:r>
        <w:t>Recommended Lesson Pattern per Module</w:t>
      </w:r>
    </w:p>
    <w:p>
      <w:pPr>
        <w:pStyle w:val="ListBullet"/>
      </w:pPr>
      <w:r>
        <w:t>Most modules should contain 4–7 lessons.</w:t>
      </w:r>
    </w:p>
    <w:p>
      <w:pPr>
        <w:pStyle w:val="ListBullet"/>
      </w:pPr>
      <w:r>
        <w:t>Heavy scientific modules can run 5–8 lessons.</w:t>
      </w:r>
    </w:p>
    <w:p>
      <w:pPr>
        <w:pStyle w:val="ListBullet"/>
      </w:pPr>
      <w:r>
        <w:t>Image-rich trichoscopy and cicatricial modules should split interpretation from disease prose.</w:t>
      </w:r>
    </w:p>
    <w:p>
      <w:pPr>
        <w:pStyle w:val="ListBullet"/>
      </w:pPr>
      <w:r>
        <w:t>Final modules may contain fewer lessons but more assessment logic.</w:t>
      </w:r>
    </w:p>
    <w:p>
      <w:pPr>
        <w:pStyle w:val="Heading2"/>
      </w:pPr>
      <w:r>
        <w:t>Illustrative Lesson Breakdown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</w:tcPr>
          <w:p>
            <w:pPr>
              <w:shd w:fill="D9EAF7"/>
            </w:pPr>
            <w:r>
              <w:rPr>
                <w:b/>
              </w:rPr>
              <w:t>Module</w:t>
            </w:r>
          </w:p>
        </w:tc>
        <w:tc>
          <w:tcPr>
            <w:tcW w:type="dxa" w:w="11232"/>
          </w:tcPr>
          <w:p>
            <w:pPr>
              <w:shd w:fill="D9EAF7"/>
            </w:pPr>
            <w:r>
              <w:rPr>
                <w:b/>
              </w:rPr>
              <w:t>Suggested Lessons</w:t>
            </w:r>
          </w:p>
        </w:tc>
      </w:tr>
      <w:tr>
        <w:tc>
          <w:tcPr>
            <w:tcW w:type="dxa" w:w="1728"/>
          </w:tcPr>
          <w:p>
            <w:r>
              <w:t>Module 2</w:t>
            </w:r>
          </w:p>
        </w:tc>
        <w:tc>
          <w:tcPr>
            <w:tcW w:type="dxa" w:w="11232"/>
          </w:tcPr>
          <w:p>
            <w:r>
              <w:t>Follicle embryology; anatomy; dermal papilla and bulge stem cells; hair cycle; scalp microenvironment; ethnic variation</w:t>
            </w:r>
          </w:p>
        </w:tc>
      </w:tr>
      <w:tr>
        <w:tc>
          <w:tcPr>
            <w:tcW w:type="dxa" w:w="1728"/>
          </w:tcPr>
          <w:p>
            <w:r>
              <w:t>Module 6</w:t>
            </w:r>
          </w:p>
        </w:tc>
        <w:tc>
          <w:tcPr>
            <w:tcW w:type="dxa" w:w="11232"/>
          </w:tcPr>
          <w:p>
            <w:r>
              <w:t>Equipment and setup; normal findings; patterned-loss trichoscopy; inflammatory patterns; scarring patterns; reporting</w:t>
            </w:r>
          </w:p>
        </w:tc>
      </w:tr>
      <w:tr>
        <w:tc>
          <w:tcPr>
            <w:tcW w:type="dxa" w:w="1728"/>
          </w:tcPr>
          <w:p>
            <w:r>
              <w:t>Module 19</w:t>
            </w:r>
          </w:p>
        </w:tc>
        <w:tc>
          <w:tcPr>
            <w:tcW w:type="dxa" w:w="11232"/>
          </w:tcPr>
          <w:p>
            <w:r>
              <w:t>Regeneration concepts; PRP science; protocol variables; microneedling; exosomes; outcome tracking</w:t>
            </w:r>
          </w:p>
        </w:tc>
      </w:tr>
      <w:tr>
        <w:tc>
          <w:tcPr>
            <w:tcW w:type="dxa" w:w="1728"/>
          </w:tcPr>
          <w:p>
            <w:r>
              <w:t>Module 25</w:t>
            </w:r>
          </w:p>
        </w:tc>
        <w:tc>
          <w:tcPr>
            <w:tcW w:type="dxa" w:w="11232"/>
          </w:tcPr>
          <w:p>
            <w:r>
              <w:t>Psychology of hair loss; consultation structure; ethical boundaries; consent standards; longitudinal partnership</w:t>
            </w:r>
          </w:p>
        </w:tc>
      </w:tr>
    </w:tbl>
    <w:p/>
    <w:p>
      <w:pPr>
        <w:pStyle w:val="Heading1"/>
      </w:pPr>
      <w:r>
        <w:t>E. Assessment Architecture</w:t>
      </w:r>
    </w:p>
    <w:p>
      <w:r>
        <w:t>Assessments should reflect real competence rather than passive completion. The platform should support a layered model in which some modules use low-friction knowledge checks and others require image interpretation, case reasoning, or faculty-reviewed submissions.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</w:tcPr>
          <w:p>
            <w:pPr>
              <w:shd w:fill="D9EAF7"/>
            </w:pPr>
            <w:r>
              <w:rPr>
                <w:b/>
              </w:rPr>
              <w:t>Field</w:t>
            </w:r>
          </w:p>
        </w:tc>
        <w:tc>
          <w:tcPr>
            <w:tcW w:type="dxa" w:w="8928"/>
          </w:tcPr>
          <w:p>
            <w:pPr>
              <w:shd w:fill="D9EAF7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032"/>
          </w:tcPr>
          <w:p>
            <w:r>
              <w:t>assessment_id</w:t>
            </w:r>
          </w:p>
        </w:tc>
        <w:tc>
          <w:tcPr>
            <w:tcW w:type="dxa" w:w="8928"/>
          </w:tcPr>
          <w:p>
            <w:r>
              <w:t>Unique assessment identifier</w:t>
            </w:r>
          </w:p>
        </w:tc>
      </w:tr>
      <w:tr>
        <w:tc>
          <w:tcPr>
            <w:tcW w:type="dxa" w:w="4032"/>
          </w:tcPr>
          <w:p>
            <w:r>
              <w:t>assessment_title</w:t>
            </w:r>
          </w:p>
        </w:tc>
        <w:tc>
          <w:tcPr>
            <w:tcW w:type="dxa" w:w="8928"/>
          </w:tcPr>
          <w:p>
            <w:r>
              <w:t>Displayed title</w:t>
            </w:r>
          </w:p>
        </w:tc>
      </w:tr>
      <w:tr>
        <w:tc>
          <w:tcPr>
            <w:tcW w:type="dxa" w:w="4032"/>
          </w:tcPr>
          <w:p>
            <w:r>
              <w:t>assessment_type</w:t>
            </w:r>
          </w:p>
        </w:tc>
        <w:tc>
          <w:tcPr>
            <w:tcW w:type="dxa" w:w="8928"/>
          </w:tcPr>
          <w:p>
            <w:r>
              <w:t>mcq / image / short_answer / case_reasoning / portfolio / final_exam</w:t>
            </w:r>
          </w:p>
        </w:tc>
      </w:tr>
      <w:tr>
        <w:tc>
          <w:tcPr>
            <w:tcW w:type="dxa" w:w="4032"/>
          </w:tcPr>
          <w:p>
            <w:r>
              <w:t>module_slug</w:t>
            </w:r>
          </w:p>
        </w:tc>
        <w:tc>
          <w:tcPr>
            <w:tcW w:type="dxa" w:w="8928"/>
          </w:tcPr>
          <w:p>
            <w:r>
              <w:t>Parent module</w:t>
            </w:r>
          </w:p>
        </w:tc>
      </w:tr>
      <w:tr>
        <w:tc>
          <w:tcPr>
            <w:tcW w:type="dxa" w:w="4032"/>
          </w:tcPr>
          <w:p>
            <w:r>
              <w:t>pass_mark_percent</w:t>
            </w:r>
          </w:p>
        </w:tc>
        <w:tc>
          <w:tcPr>
            <w:tcW w:type="dxa" w:w="8928"/>
          </w:tcPr>
          <w:p>
            <w:r>
              <w:t>Required threshold</w:t>
            </w:r>
          </w:p>
        </w:tc>
      </w:tr>
      <w:tr>
        <w:tc>
          <w:tcPr>
            <w:tcW w:type="dxa" w:w="4032"/>
          </w:tcPr>
          <w:p>
            <w:r>
              <w:t>attempt_limit</w:t>
            </w:r>
          </w:p>
        </w:tc>
        <w:tc>
          <w:tcPr>
            <w:tcW w:type="dxa" w:w="8928"/>
          </w:tcPr>
          <w:p>
            <w:r>
              <w:t>Number of allowed attempts or null</w:t>
            </w:r>
          </w:p>
        </w:tc>
      </w:tr>
      <w:tr>
        <w:tc>
          <w:tcPr>
            <w:tcW w:type="dxa" w:w="4032"/>
          </w:tcPr>
          <w:p>
            <w:r>
              <w:t>retry_logic</w:t>
            </w:r>
          </w:p>
        </w:tc>
        <w:tc>
          <w:tcPr>
            <w:tcW w:type="dxa" w:w="8928"/>
          </w:tcPr>
          <w:p>
            <w:r>
              <w:t>Immediate retry / delayed retry / faculty unlock</w:t>
            </w:r>
          </w:p>
        </w:tc>
      </w:tr>
      <w:tr>
        <w:tc>
          <w:tcPr>
            <w:tcW w:type="dxa" w:w="4032"/>
          </w:tcPr>
          <w:p>
            <w:r>
              <w:t>faculty_review_required</w:t>
            </w:r>
          </w:p>
        </w:tc>
        <w:tc>
          <w:tcPr>
            <w:tcW w:type="dxa" w:w="8928"/>
          </w:tcPr>
          <w:p>
            <w:r>
              <w:t>Boolean</w:t>
            </w:r>
          </w:p>
        </w:tc>
      </w:tr>
      <w:tr>
        <w:tc>
          <w:tcPr>
            <w:tcW w:type="dxa" w:w="4032"/>
          </w:tcPr>
          <w:p>
            <w:r>
              <w:t>question_bank_reference</w:t>
            </w:r>
          </w:p>
        </w:tc>
        <w:tc>
          <w:tcPr>
            <w:tcW w:type="dxa" w:w="8928"/>
          </w:tcPr>
          <w:p>
            <w:r>
              <w:t>Reference to question set</w:t>
            </w:r>
          </w:p>
        </w:tc>
      </w:tr>
      <w:tr>
        <w:tc>
          <w:tcPr>
            <w:tcW w:type="dxa" w:w="4032"/>
          </w:tcPr>
          <w:p>
            <w:r>
              <w:t>certificate_dependency</w:t>
            </w:r>
          </w:p>
        </w:tc>
        <w:tc>
          <w:tcPr>
            <w:tcW w:type="dxa" w:w="8928"/>
          </w:tcPr>
          <w:p>
            <w:r>
              <w:t>Whether passing is required for program completion</w:t>
            </w:r>
          </w:p>
        </w:tc>
      </w:tr>
    </w:tbl>
    <w:p/>
    <w:p>
      <w:pPr>
        <w:pStyle w:val="Heading2"/>
      </w:pPr>
      <w:r>
        <w:t>Recommended Assessment Mapping</w:t>
      </w:r>
    </w:p>
    <w:p>
      <w:pPr>
        <w:pStyle w:val="ListBullet"/>
      </w:pPr>
      <w:r>
        <w:t>Modules 1–4: primarily MCQ plus basic short-answer or case prompt.</w:t>
      </w:r>
    </w:p>
    <w:p>
      <w:pPr>
        <w:pStyle w:val="ListBullet"/>
      </w:pPr>
      <w:r>
        <w:t>Modules 5–7: image interpretation and diagnostic reasoning become more prominent.</w:t>
      </w:r>
    </w:p>
    <w:p>
      <w:pPr>
        <w:pStyle w:val="ListBullet"/>
      </w:pPr>
      <w:r>
        <w:t>Modules 8–16: mixed quizzes and case-based reasoning with heavy trichoscopy integration.</w:t>
      </w:r>
    </w:p>
    <w:p>
      <w:pPr>
        <w:pStyle w:val="ListBullet"/>
      </w:pPr>
      <w:r>
        <w:t>Modules 17–21: treatment sequencing and candidacy scenarios become core.</w:t>
      </w:r>
    </w:p>
    <w:p>
      <w:pPr>
        <w:pStyle w:val="ListBullet"/>
      </w:pPr>
      <w:r>
        <w:t>Modules 22–24: advanced procedural reasoning and complication analysis.</w:t>
      </w:r>
    </w:p>
    <w:p>
      <w:pPr>
        <w:pStyle w:val="ListBullet"/>
      </w:pPr>
      <w:r>
        <w:t>Modules 25–26: scenario-based ethics and evidence appraisal.</w:t>
      </w:r>
    </w:p>
    <w:p>
      <w:pPr>
        <w:pStyle w:val="ListBullet"/>
      </w:pPr>
      <w:r>
        <w:t>Module 27: faculty-reviewed capstone.</w:t>
      </w:r>
    </w:p>
    <w:p>
      <w:pPr>
        <w:pStyle w:val="ListBullet"/>
      </w:pPr>
      <w:r>
        <w:t>Module 28: final written and image-based assessment plus certificate calculation.</w:t>
      </w:r>
    </w:p>
    <w:p>
      <w:pPr>
        <w:pStyle w:val="Heading1"/>
      </w:pPr>
      <w:r>
        <w:t>F. Completion and Certificate Logic</w:t>
      </w:r>
    </w:p>
    <w:p>
      <w:r>
        <w:t>Certificate credibility depends on rigorous but transparent completion rules. The platform should separate simple progress completion from academic completion.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</w:tcPr>
          <w:p>
            <w:pPr>
              <w:shd w:fill="D9EAF7"/>
            </w:pPr>
            <w:r>
              <w:rPr>
                <w:b/>
              </w:rPr>
              <w:t>Layer</w:t>
            </w:r>
          </w:p>
        </w:tc>
        <w:tc>
          <w:tcPr>
            <w:tcW w:type="dxa" w:w="9792"/>
          </w:tcPr>
          <w:p>
            <w:pPr>
              <w:shd w:fill="D9EAF7"/>
            </w:pPr>
            <w:r>
              <w:rPr>
                <w:b/>
              </w:rPr>
              <w:t>Rule</w:t>
            </w:r>
          </w:p>
        </w:tc>
      </w:tr>
      <w:tr>
        <w:tc>
          <w:tcPr>
            <w:tcW w:type="dxa" w:w="3168"/>
          </w:tcPr>
          <w:p>
            <w:r>
              <w:t>Lesson completion</w:t>
            </w:r>
          </w:p>
        </w:tc>
        <w:tc>
          <w:tcPr>
            <w:tcW w:type="dxa" w:w="9792"/>
          </w:tcPr>
          <w:p>
            <w:r>
              <w:t>User marks lesson complete only after viewing required content and completing any attached quiz/case trigger.</w:t>
            </w:r>
          </w:p>
        </w:tc>
      </w:tr>
      <w:tr>
        <w:tc>
          <w:tcPr>
            <w:tcW w:type="dxa" w:w="3168"/>
          </w:tcPr>
          <w:p>
            <w:r>
              <w:t>Module completion</w:t>
            </w:r>
          </w:p>
        </w:tc>
        <w:tc>
          <w:tcPr>
            <w:tcW w:type="dxa" w:w="9792"/>
          </w:tcPr>
          <w:p>
            <w:r>
              <w:t>All required lessons complete + module assessment passed where applicable.</w:t>
            </w:r>
          </w:p>
        </w:tc>
      </w:tr>
      <w:tr>
        <w:tc>
          <w:tcPr>
            <w:tcW w:type="dxa" w:w="3168"/>
          </w:tcPr>
          <w:p>
            <w:r>
              <w:t>Volume completion</w:t>
            </w:r>
          </w:p>
        </w:tc>
        <w:tc>
          <w:tcPr>
            <w:tcW w:type="dxa" w:w="9792"/>
          </w:tcPr>
          <w:p>
            <w:r>
              <w:t>All modules in volume complete.</w:t>
            </w:r>
          </w:p>
        </w:tc>
      </w:tr>
      <w:tr>
        <w:tc>
          <w:tcPr>
            <w:tcW w:type="dxa" w:w="3168"/>
          </w:tcPr>
          <w:p>
            <w:r>
              <w:t>Program completion</w:t>
            </w:r>
          </w:p>
        </w:tc>
        <w:tc>
          <w:tcPr>
            <w:tcW w:type="dxa" w:w="9792"/>
          </w:tcPr>
          <w:p>
            <w:r>
              <w:t>All required modules complete + all certificate-dependent assessments passed + capstone approved.</w:t>
            </w:r>
          </w:p>
        </w:tc>
      </w:tr>
      <w:tr>
        <w:tc>
          <w:tcPr>
            <w:tcW w:type="dxa" w:w="3168"/>
          </w:tcPr>
          <w:p>
            <w:r>
              <w:t>Certificate issuance</w:t>
            </w:r>
          </w:p>
        </w:tc>
        <w:tc>
          <w:tcPr>
            <w:tcW w:type="dxa" w:w="9792"/>
          </w:tcPr>
          <w:p>
            <w:r>
              <w:t>Automated once program completion criteria are met and any faculty-review flags are cleared.</w:t>
            </w:r>
          </w:p>
        </w:tc>
      </w:tr>
      <w:tr>
        <w:tc>
          <w:tcPr>
            <w:tcW w:type="dxa" w:w="3168"/>
          </w:tcPr>
          <w:p>
            <w:r>
              <w:t>Distinction eligibility</w:t>
            </w:r>
          </w:p>
        </w:tc>
        <w:tc>
          <w:tcPr>
            <w:tcW w:type="dxa" w:w="9792"/>
          </w:tcPr>
          <w:p>
            <w:r>
              <w:t>Requires higher average pass threshold plus capstone marked distinction-level by faculty.</w:t>
            </w:r>
          </w:p>
        </w:tc>
      </w:tr>
    </w:tbl>
    <w:p/>
    <w:p>
      <w:pPr>
        <w:shd w:fill="EAF2F8"/>
      </w:pPr>
      <w:r>
        <w:rPr>
          <w:b/>
        </w:rPr>
        <w:t xml:space="preserve">Recommended pass marks: </w:t>
      </w:r>
      <w:r>
        <w:t>Standard module assessments: 70%. Final exam: 75%. Capstone: pass/fail with optional distinction banding.</w:t>
      </w:r>
    </w:p>
    <w:p>
      <w:pPr>
        <w:shd w:fill="EAF2F8"/>
      </w:pPr>
      <w:r>
        <w:rPr>
          <w:b/>
        </w:rPr>
        <w:t xml:space="preserve">Capstone rule: </w:t>
      </w:r>
      <w:r>
        <w:t>Module 27 should require faculty review before certificate release can occur.</w:t>
      </w:r>
    </w:p>
    <w:p>
      <w:pPr>
        <w:shd w:fill="EAF2F8"/>
      </w:pPr>
      <w:r>
        <w:rPr>
          <w:b/>
        </w:rPr>
        <w:t xml:space="preserve">Evidence integrity: </w:t>
      </w:r>
      <w:r>
        <w:t>Modules with emerging techniques should not be optional if they are core to academy identity, but their assessments should test evidence positioning as well as procedural understanding.</w:t>
      </w:r>
    </w:p>
    <w:p>
      <w:pPr>
        <w:pStyle w:val="Heading1"/>
      </w:pPr>
      <w:r>
        <w:t>G. Admin Content Workflow</w:t>
      </w:r>
    </w:p>
    <w:p>
      <w:pPr>
        <w:pStyle w:val="ListBullet"/>
      </w:pPr>
      <w:r>
        <w:t>Create program record first, then section records, then module shells.</w:t>
      </w:r>
    </w:p>
    <w:p>
      <w:pPr>
        <w:pStyle w:val="ListBullet"/>
      </w:pPr>
      <w:r>
        <w:t>For each module, create lesson shells before adding full lesson prose.</w:t>
      </w:r>
    </w:p>
    <w:p>
      <w:pPr>
        <w:pStyle w:val="ListBullet"/>
      </w:pPr>
      <w:r>
        <w:t>Attach structured metadata first: objectives, takeaways, red flags, evidence tier, resource type.</w:t>
      </w:r>
    </w:p>
    <w:p>
      <w:pPr>
        <w:pStyle w:val="ListBullet"/>
      </w:pPr>
      <w:r>
        <w:t>Upload downloadable summaries after lesson body is stable.</w:t>
      </w:r>
    </w:p>
    <w:p>
      <w:pPr>
        <w:pStyle w:val="ListBullet"/>
      </w:pPr>
      <w:r>
        <w:t>Create assessments after lesson sequence is locked.</w:t>
      </w:r>
    </w:p>
    <w:p>
      <w:pPr>
        <w:pStyle w:val="ListBullet"/>
      </w:pPr>
      <w:r>
        <w:t>Reserve faculty-only notes and answer keys in separate admin-protected fields.</w:t>
      </w:r>
    </w:p>
    <w:p>
      <w:pPr>
        <w:pStyle w:val="ListBullet"/>
      </w:pPr>
      <w:r>
        <w:t>Lock certification settings only after pass marks and capstone workflow are confirmed.</w:t>
      </w:r>
    </w:p>
    <w:p>
      <w:pPr>
        <w:pStyle w:val="Heading2"/>
      </w:pPr>
      <w:r>
        <w:t>Suggested Admin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</w:tcPr>
          <w:p>
            <w:pPr>
              <w:shd w:fill="D9EAF7"/>
            </w:pPr>
            <w:r>
              <w:rPr>
                <w:b/>
              </w:rPr>
              <w:t>State</w:t>
            </w:r>
          </w:p>
        </w:tc>
        <w:tc>
          <w:tcPr>
            <w:tcW w:type="dxa" w:w="7200"/>
          </w:tcPr>
          <w:p>
            <w:pPr>
              <w:shd w:fill="D9EAF7"/>
            </w:pPr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draft</w:t>
            </w:r>
          </w:p>
        </w:tc>
        <w:tc>
          <w:tcPr>
            <w:tcW w:type="dxa" w:w="7200"/>
          </w:tcPr>
          <w:p>
            <w:r>
              <w:t>Outline or placeholder only</w:t>
            </w:r>
          </w:p>
        </w:tc>
      </w:tr>
      <w:tr>
        <w:tc>
          <w:tcPr>
            <w:tcW w:type="dxa" w:w="2880"/>
          </w:tcPr>
          <w:p>
            <w:r>
              <w:t>structured</w:t>
            </w:r>
          </w:p>
        </w:tc>
        <w:tc>
          <w:tcPr>
            <w:tcW w:type="dxa" w:w="7200"/>
          </w:tcPr>
          <w:p>
            <w:r>
              <w:t>Metadata complete; waiting for lesson prose</w:t>
            </w:r>
          </w:p>
        </w:tc>
      </w:tr>
      <w:tr>
        <w:tc>
          <w:tcPr>
            <w:tcW w:type="dxa" w:w="2880"/>
          </w:tcPr>
          <w:p>
            <w:r>
              <w:t>content-ready</w:t>
            </w:r>
          </w:p>
        </w:tc>
        <w:tc>
          <w:tcPr>
            <w:tcW w:type="dxa" w:w="7200"/>
          </w:tcPr>
          <w:p>
            <w:r>
              <w:t>Lesson body and resources loaded</w:t>
            </w:r>
          </w:p>
        </w:tc>
      </w:tr>
      <w:tr>
        <w:tc>
          <w:tcPr>
            <w:tcW w:type="dxa" w:w="2880"/>
          </w:tcPr>
          <w:p>
            <w:r>
              <w:t>assessment-ready</w:t>
            </w:r>
          </w:p>
        </w:tc>
        <w:tc>
          <w:tcPr>
            <w:tcW w:type="dxa" w:w="7200"/>
          </w:tcPr>
          <w:p>
            <w:r>
              <w:t>Assessment linked and configured</w:t>
            </w:r>
          </w:p>
        </w:tc>
      </w:tr>
      <w:tr>
        <w:tc>
          <w:tcPr>
            <w:tcW w:type="dxa" w:w="2880"/>
          </w:tcPr>
          <w:p>
            <w:r>
              <w:t>faculty-review</w:t>
            </w:r>
          </w:p>
        </w:tc>
        <w:tc>
          <w:tcPr>
            <w:tcW w:type="dxa" w:w="7200"/>
          </w:tcPr>
          <w:p>
            <w:r>
              <w:t>Awaiting internal approval</w:t>
            </w:r>
          </w:p>
        </w:tc>
      </w:tr>
      <w:tr>
        <w:tc>
          <w:tcPr>
            <w:tcW w:type="dxa" w:w="2880"/>
          </w:tcPr>
          <w:p>
            <w:r>
              <w:t>published</w:t>
            </w:r>
          </w:p>
        </w:tc>
        <w:tc>
          <w:tcPr>
            <w:tcW w:type="dxa" w:w="7200"/>
          </w:tcPr>
          <w:p>
            <w:r>
              <w:t>Visible to enrolled users</w:t>
            </w:r>
          </w:p>
        </w:tc>
      </w:tr>
    </w:tbl>
    <w:p/>
    <w:p>
      <w:pPr>
        <w:pStyle w:val="Heading1"/>
      </w:pPr>
      <w:r>
        <w:t>H. Route and UI Mapping Notes</w:t>
      </w:r>
    </w:p>
    <w:p>
      <w:pPr>
        <w:pStyle w:val="ListBullet"/>
      </w:pPr>
      <w:r>
        <w:t>/doctors/programs/[programSlug] should display program overview, outcomes, volume progression, and certificate criteria.</w:t>
      </w:r>
    </w:p>
    <w:p>
      <w:pPr>
        <w:pStyle w:val="ListBullet"/>
      </w:pPr>
      <w:r>
        <w:t>/doctors/programs/[programSlug]/modules/[moduleSlug] should show module overview, lesson list, assessment status, and downloadable resources.</w:t>
      </w:r>
    </w:p>
    <w:p>
      <w:pPr>
        <w:pStyle w:val="ListBullet"/>
      </w:pPr>
      <w:r>
        <w:t>/doctors/programs/[programSlug]/lessons/[lessonSlug] should render lesson body, evidence-tier badge, red flags, takeaways, and linked quiz/case blocks.</w:t>
      </w:r>
    </w:p>
    <w:p>
      <w:pPr>
        <w:pStyle w:val="ListBullet"/>
      </w:pPr>
      <w:r>
        <w:t>/doctors/programs/[programSlug]/assessments/[assessmentSlug] should support mixed assessment types cleanly.</w:t>
      </w:r>
    </w:p>
    <w:p>
      <w:pPr>
        <w:pStyle w:val="ListBullet"/>
      </w:pPr>
      <w:r>
        <w:t>/doctors/dashboard should prioritise progress, next module, assessment due, and certificate status.</w:t>
      </w:r>
    </w:p>
    <w:p>
      <w:pPr>
        <w:pStyle w:val="ListBullet"/>
      </w:pPr>
      <w:r>
        <w:t>/doctors/certificates should show issued certificates and pending eligibility state.</w:t>
      </w:r>
    </w:p>
    <w:p>
      <w:pPr>
        <w:pStyle w:val="Heading1"/>
      </w:pPr>
      <w:r>
        <w:t>I. Immediate Build Priorities for Cursor</w:t>
      </w:r>
    </w:p>
    <w:p>
      <w:pPr>
        <w:pStyle w:val="ListBullet"/>
      </w:pPr>
      <w:r>
        <w:t>Create database/content schema for program, module, lesson, assessment, case, resource, progress, and certificate objects.</w:t>
      </w:r>
    </w:p>
    <w:p>
      <w:pPr>
        <w:pStyle w:val="ListBullet"/>
      </w:pPr>
      <w:r>
        <w:t>Build route skeletons and placeholder page layouts for doctor-facing LMS pages.</w:t>
      </w:r>
    </w:p>
    <w:p>
      <w:pPr>
        <w:pStyle w:val="ListBullet"/>
      </w:pPr>
      <w:r>
        <w:t>Build reusable components for evidence badges, red-flag callouts, takeaway cards, progress bars, and assessment shells.</w:t>
      </w:r>
    </w:p>
    <w:p>
      <w:pPr>
        <w:pStyle w:val="ListBullet"/>
      </w:pPr>
      <w:r>
        <w:t>Prepare admin editing workflow for structured lesson entry.</w:t>
      </w:r>
    </w:p>
    <w:p>
      <w:pPr>
        <w:pStyle w:val="ListBullet"/>
      </w:pPr>
      <w:r>
        <w:t>Seed the 28 module records first before attempting full lesson ingestion.</w:t>
      </w:r>
    </w:p>
    <w:p>
      <w:pPr>
        <w:pStyle w:val="Heading1"/>
      </w:pPr>
      <w:r>
        <w:t>J. Next Content Pack Recommended</w:t>
      </w:r>
    </w:p>
    <w:p>
      <w:r>
        <w:t>After this Part 1 architecture document, the next handoff should be the lesson metadata pack. That second document should break each of the 28 modules into a full lesson list with lesson titles, slugs, objectives, evidence-tier labels, and linked resource/assessment types. That will allow Cursor to ingest real course structure before the complete lesson prose is loaded.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3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4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05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34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