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87878"/>
          <w:sz w:val="36"/>
        </w:rPr>
        <w:t>Volume 1</w:t>
      </w:r>
    </w:p>
    <w:p>
      <w:pPr>
        <w:jc w:val="center"/>
      </w:pPr>
      <w:r>
        <w:rPr>
          <w:b/>
          <w:color w:val="203E62"/>
          <w:sz w:val="48"/>
        </w:rPr>
        <w:t>Foundations of Clinical Trichology</w:t>
      </w:r>
    </w:p>
    <w:p>
      <w:pPr>
        <w:jc w:val="center"/>
      </w:pPr>
      <w:r>
        <w:rPr>
          <w:b/>
          <w:sz w:val="25"/>
        </w:rPr>
        <w:t>Postgraduate Certificate in Clinical Trichology and Hair Restoration Medicine</w:t>
      </w:r>
    </w:p>
    <w:p>
      <w:pPr>
        <w:jc w:val="center"/>
      </w:pPr>
      <w:r>
        <w:rPr>
          <w:i/>
        </w:rPr>
        <w:t>Hair Longevity Institute (HLI) | International Institute of Hair Restoration (IIIOHR)</w:t>
      </w:r>
    </w:p>
    <w:p/>
    <w:p>
      <w:pPr/>
      <w:r>
        <w:t>This volume is the first core teaching text for the academy. It is designed for medical doctors and structured as a postgraduate manual that can be delivered both as a written training resource and as the source document for the IIIOHR online learning platform.</w:t>
      </w:r>
    </w:p>
    <w:tbl>
      <w:tblPr>
        <w:tblW w:type="auto" w:w="0"/>
        <w:jc w:val="center"/>
        <w:tblLayout w:type="autofit"/>
        <w:tblLook w:firstColumn="1" w:firstRow="1" w:lastColumn="0" w:lastRow="0" w:noHBand="0" w:noVBand="1" w:val="04A0"/>
      </w:tblPr>
      <w:tblGrid>
        <w:gridCol w:w="9936"/>
      </w:tblGrid>
      <w:tr>
        <w:tc>
          <w:tcPr>
            <w:tcW w:type="dxa" w:w="9936"/>
            <w:shd w:fill="2F5D87"/>
            <w:vAlign w:val="center"/>
            <w:tcMar>
              <w:top w:w="70" w:type="dxa"/>
              <w:start w:w="110" w:type="dxa"/>
              <w:bottom w:w="70" w:type="dxa"/>
              <w:end w:w="110" w:type="dxa"/>
            </w:tcMar>
          </w:tcPr>
          <w:p>
            <w:pPr>
              <w:pStyle w:val="CalloutTitle"/>
            </w:pPr>
            <w:r>
              <w:t>How this volume should be used</w:t>
            </w:r>
          </w:p>
        </w:tc>
      </w:tr>
      <w:tr>
        <w:tc>
          <w:tcPr>
            <w:tcW w:type="dxa" w:w="9936"/>
            <w:shd w:fill="EEF3F8"/>
            <w:vAlign w:val="center"/>
            <w:tcMar>
              <w:top w:w="70" w:type="dxa"/>
              <w:start w:w="110" w:type="dxa"/>
              <w:bottom w:w="70" w:type="dxa"/>
              <w:end w:w="110" w:type="dxa"/>
            </w:tcMar>
          </w:tcPr>
          <w:p>
            <w:pPr>
              <w:pStyle w:val="CalloutBody"/>
            </w:pPr>
            <w:r>
              <w:t>Study each module in sequence. The text is written to develop diagnostic reasoning, scientific understanding, and professional judgment rather than memorisation alone. Each module includes lesson-level structure that can later be ingested into the online academy.</w:t>
            </w:r>
          </w:p>
        </w:tc>
      </w:tr>
    </w:tbl>
    <w:p/>
    <w:p>
      <w:pPr>
        <w:pStyle w:val="Heading1"/>
      </w:pPr>
      <w:r>
        <w:t>Volume structure</w:t>
      </w:r>
    </w:p>
    <w:p>
      <w:pPr/>
      <w:r>
        <w:t>Module 1. Introduction to Clinical Trichology and Hair Restoration Medicine</w:t>
      </w:r>
    </w:p>
    <w:p>
      <w:pPr/>
      <w:r>
        <w:t>Module 2. Hair Follicle Biology and Scalp Science</w:t>
      </w:r>
    </w:p>
    <w:p>
      <w:pPr/>
      <w:r>
        <w:t>Module 3. Molecular and Hormonal Regulation of Hair Growth</w:t>
      </w:r>
    </w:p>
    <w:p>
      <w:pPr/>
      <w:r>
        <w:t>Module 4. Clinical Consultation and Hair Loss History-Taking</w:t>
      </w:r>
    </w:p>
    <w:p>
      <w:r>
        <w:br w:type="page"/>
      </w:r>
    </w:p>
    <w:p>
      <w:pPr>
        <w:pStyle w:val="Heading1"/>
      </w:pPr>
      <w:r>
        <w:t>Module 1. Introduction to Clinical Trichology and Hair Restoration Medicine</w:t>
      </w:r>
    </w:p>
    <w:p>
      <w:r>
        <w:t>Modern clinical trichology sits at the intersection of dermatology, endocrinology, pathology, cosmetic medicine, and hair restoration surgery. A doctor-level program must therefore move beyond product-based approaches or simplified pattern-recognition alone and instead train physicians to reason clinically, stratify risk, recognise disease activity, and design longitudinal management plans.</w:t>
      </w:r>
    </w:p>
    <w:p>
      <w:pPr>
        <w:pStyle w:val="Heading2"/>
      </w:pPr>
      <w:r>
        <w:t>Learning outcomes</w:t>
      </w:r>
    </w:p>
    <w:p>
      <w:pPr>
        <w:ind w:left="288"/>
      </w:pPr>
      <w:r>
        <w:rPr>
          <w:b/>
        </w:rPr>
        <w:t xml:space="preserve">• </w:t>
      </w:r>
      <w:r>
        <w:t>Define the scope of physician-led trichology and how it differs from non-medical hair practice.</w:t>
      </w:r>
    </w:p>
    <w:p>
      <w:pPr>
        <w:ind w:left="288"/>
      </w:pPr>
      <w:r>
        <w:rPr>
          <w:b/>
        </w:rPr>
        <w:t xml:space="preserve">• </w:t>
      </w:r>
      <w:r>
        <w:t>Explain the relationship between clinical trichology, dermatology, endocrinology, pathology, and transplantation.</w:t>
      </w:r>
    </w:p>
    <w:p>
      <w:pPr>
        <w:ind w:left="288"/>
      </w:pPr>
      <w:r>
        <w:rPr>
          <w:b/>
        </w:rPr>
        <w:t xml:space="preserve">• </w:t>
      </w:r>
      <w:r>
        <w:t>Apply evidence tiers when discussing treatments, especially regenerative and emerging interventions.</w:t>
      </w:r>
    </w:p>
    <w:p>
      <w:pPr>
        <w:ind w:left="288"/>
      </w:pPr>
      <w:r>
        <w:rPr>
          <w:b/>
        </w:rPr>
        <w:t xml:space="preserve">• </w:t>
      </w:r>
      <w:r>
        <w:t>Describe the ethical, professional, and medico-legal principles that govern hair medicine.</w:t>
      </w:r>
    </w:p>
    <w:p/>
    <w:p>
      <w:pPr>
        <w:pStyle w:val="Heading2"/>
      </w:pPr>
      <w:r>
        <w:t>1.1 The scope of modern trichology</w:t>
      </w:r>
    </w:p>
    <w:p>
      <w:r>
        <w:t>Clinical trichology is best understood as applied hair and scalp medicine. In a physician-led setting, the task is not simply to identify “hair loss”; it is to determine whether the patient has a physiologic shedding state, a patterned miniaturisation disorder, an inflammatory process, a scarring alopecia, a shaft fragility disorder, or a systemic disease manifesting through the hair and scalp. This distinction matters because the consequences of missing early inflammatory or cicatricial disease can be permanent.</w:t>
      </w:r>
    </w:p>
    <w:p>
      <w:r>
        <w:t>The modern field also includes longevity thinking. A patient with androgenetic alopecia (AGA) is not managed by one intervention in isolation. The physician must consider disease stage, donor stability, age-related progression, reproductive considerations, psychosocial burden, and the appropriateness of medical, regenerative, and surgical sequencing over years rather than weeks.</w:t>
      </w:r>
    </w:p>
    <w:tbl>
      <w:tblPr>
        <w:tblW w:type="auto" w:w="0"/>
        <w:jc w:val="center"/>
        <w:tblLayout w:type="autofit"/>
        <w:tblLook w:firstColumn="1" w:firstRow="1" w:lastColumn="0" w:lastRow="0" w:noHBand="0" w:noVBand="1" w:val="04A0"/>
      </w:tblPr>
      <w:tblGrid>
        <w:gridCol w:w="9936"/>
      </w:tblGrid>
      <w:tr>
        <w:tc>
          <w:tcPr>
            <w:tcW w:type="dxa" w:w="9936"/>
            <w:shd w:fill="2F5D87"/>
            <w:vAlign w:val="center"/>
            <w:tcMar>
              <w:top w:w="70" w:type="dxa"/>
              <w:start w:w="110" w:type="dxa"/>
              <w:bottom w:w="70" w:type="dxa"/>
              <w:end w:w="110" w:type="dxa"/>
            </w:tcMar>
          </w:tcPr>
          <w:p>
            <w:pPr>
              <w:pStyle w:val="CalloutTitle"/>
            </w:pPr>
            <w:r>
              <w:t>Clinical reasoning focus</w:t>
            </w:r>
          </w:p>
        </w:tc>
      </w:tr>
      <w:tr>
        <w:tc>
          <w:tcPr>
            <w:tcW w:type="dxa" w:w="9936"/>
            <w:shd w:fill="EEF3F8"/>
            <w:vAlign w:val="center"/>
            <w:tcMar>
              <w:top w:w="70" w:type="dxa"/>
              <w:start w:w="110" w:type="dxa"/>
              <w:bottom w:w="70" w:type="dxa"/>
              <w:end w:w="110" w:type="dxa"/>
            </w:tcMar>
          </w:tcPr>
          <w:p>
            <w:pPr>
              <w:pStyle w:val="CalloutBody"/>
            </w:pPr>
            <w:r>
              <w:t>A good trichologist does not jump from “patterned thinning” to treatment. The first task is to identify the dominant process, the modifying factors, and the time-course of change.</w:t>
            </w:r>
          </w:p>
        </w:tc>
      </w:tr>
    </w:tbl>
    <w:p/>
    <w:p>
      <w:pPr>
        <w:pStyle w:val="Heading2"/>
      </w:pPr>
      <w:r>
        <w:t>1.2 Trichology, dermatology, and hair transplantation</w:t>
      </w:r>
    </w:p>
    <w:p>
      <w:r>
        <w:t>Dermatology remains the reference specialty for inflammatory scalp disease, complex alopecias, interface dermatitis, and clinicopathologic correlation. A doctor-level trichology curriculum should not pretend to replace dermatology training; instead, it should bring physicians substantially closer to dermatology-grade competence within the domain of hair and scalp disease. This means emphasis on morphology, trichoscopy, investigations, differentials, biopsy logic, treatment escalation, and referral boundaries.</w:t>
      </w:r>
    </w:p>
    <w:p>
      <w:r>
        <w:t>Hair transplantation, by contrast, is a procedural discipline layered on top of medical hair science. Surgical skill without medical judgment produces poor long-term outcomes. Transplantation should therefore be taught as a downstream decision within a broader disease-management model.</w:t>
      </w:r>
    </w:p>
    <w:p>
      <w:pPr>
        <w:pStyle w:val="Heading2"/>
      </w:pPr>
      <w:r>
        <w:t>1.3 The physician’s responsibilities in hair medicine</w:t>
      </w:r>
    </w:p>
    <w:p>
      <w:pPr/>
      <w:r>
        <w:rPr>
          <w:b/>
        </w:rPr>
        <w:t xml:space="preserve">• </w:t>
      </w:r>
      <w:r>
        <w:t>Recognise when hair loss is benign, self-limited, progressive, inflammatory, or scarring.</w:t>
      </w:r>
    </w:p>
    <w:p>
      <w:pPr/>
      <w:r>
        <w:rPr>
          <w:b/>
        </w:rPr>
        <w:t xml:space="preserve">• </w:t>
      </w:r>
      <w:r>
        <w:t>Formulate a differential diagnosis based on onset, distribution, symptoms, and examination.</w:t>
      </w:r>
    </w:p>
    <w:p>
      <w:pPr/>
      <w:r>
        <w:rPr>
          <w:b/>
        </w:rPr>
        <w:t xml:space="preserve">• </w:t>
      </w:r>
      <w:r>
        <w:t>Use investigations selectively rather than reflexively.</w:t>
      </w:r>
    </w:p>
    <w:p>
      <w:pPr/>
      <w:r>
        <w:rPr>
          <w:b/>
        </w:rPr>
        <w:t xml:space="preserve">• </w:t>
      </w:r>
      <w:r>
        <w:t>Interpret trichoscopy and identify when biopsy is required.</w:t>
      </w:r>
    </w:p>
    <w:p>
      <w:pPr/>
      <w:r>
        <w:rPr>
          <w:b/>
        </w:rPr>
        <w:t xml:space="preserve">• </w:t>
      </w:r>
      <w:r>
        <w:t>Explain realistic treatment outcomes, timeframes, maintenance requirements, and adverse-effect profiles.</w:t>
      </w:r>
    </w:p>
    <w:p>
      <w:pPr/>
      <w:r>
        <w:rPr>
          <w:b/>
        </w:rPr>
        <w:t xml:space="preserve">• </w:t>
      </w:r>
      <w:r>
        <w:t>Identify when surgery is inappropriate or premature.</w:t>
      </w:r>
    </w:p>
    <w:p>
      <w:pPr/>
      <w:r>
        <w:rPr>
          <w:b/>
        </w:rPr>
        <w:t xml:space="preserve">• </w:t>
      </w:r>
      <w:r>
        <w:t>Maintain ethical boundaries in vulnerable cosmetic populations.</w:t>
      </w:r>
    </w:p>
    <w:p>
      <w:pPr>
        <w:pStyle w:val="Heading2"/>
      </w:pPr>
      <w:r>
        <w:t>1.4 Evidence tiers in hair medicine</w:t>
      </w:r>
    </w:p>
    <w:p>
      <w:r>
        <w:t>For the academy, all teaching should be framed within one of four evidence tiers. Tier 1 covers well-established care with broad clinical acceptance and stronger supporting data. Tier 2 includes consensus-based or increasingly adopted practice with growing evidence but less standardisation. Tier 3 includes emerging or adjunctive practice where signal exists but heterogeneity is high. Tier 4 includes investigational or academy-signature concepts that are biologically plausible and clinically interesting but not yet guideline-level standard.</w:t>
      </w:r>
    </w:p>
    <w:tbl>
      <w:tblPr>
        <w:tblW w:type="auto" w:w="0"/>
        <w:jc w:val="center"/>
        <w:tblLook w:firstColumn="1" w:firstRow="1" w:lastColumn="0" w:lastRow="0" w:noHBand="0" w:noVBand="1" w:val="04A0"/>
      </w:tblPr>
      <w:tblGrid>
        <w:gridCol w:w="3312"/>
        <w:gridCol w:w="3312"/>
        <w:gridCol w:w="3312"/>
      </w:tblGrid>
      <w:tr>
        <w:tc>
          <w:tcPr>
            <w:tcW w:type="dxa" w:w="3312"/>
            <w:shd w:fill="D9E6F2"/>
            <w:tcMar>
              <w:top w:w="70" w:type="dxa"/>
              <w:start w:w="90" w:type="dxa"/>
              <w:bottom w:w="70" w:type="dxa"/>
              <w:end w:w="90" w:type="dxa"/>
            </w:tcMar>
          </w:tcPr>
          <w:p>
            <w:r>
              <w:rPr>
                <w:b/>
              </w:rPr>
              <w:t>Tier</w:t>
            </w:r>
          </w:p>
        </w:tc>
        <w:tc>
          <w:tcPr>
            <w:tcW w:type="dxa" w:w="3312"/>
            <w:shd w:fill="D9E6F2"/>
            <w:tcMar>
              <w:top w:w="70" w:type="dxa"/>
              <w:start w:w="90" w:type="dxa"/>
              <w:bottom w:w="70" w:type="dxa"/>
              <w:end w:w="90" w:type="dxa"/>
            </w:tcMar>
          </w:tcPr>
          <w:p>
            <w:r>
              <w:rPr>
                <w:b/>
              </w:rPr>
              <w:t>Meaning</w:t>
            </w:r>
          </w:p>
        </w:tc>
        <w:tc>
          <w:tcPr>
            <w:tcW w:type="dxa" w:w="3312"/>
            <w:shd w:fill="D9E6F2"/>
            <w:tcMar>
              <w:top w:w="70" w:type="dxa"/>
              <w:start w:w="90" w:type="dxa"/>
              <w:bottom w:w="70" w:type="dxa"/>
              <w:end w:w="90" w:type="dxa"/>
            </w:tcMar>
          </w:tcPr>
          <w:p>
            <w:r>
              <w:rPr>
                <w:b/>
              </w:rPr>
              <w:t>Examples</w:t>
            </w:r>
          </w:p>
        </w:tc>
      </w:tr>
      <w:tr>
        <w:tc>
          <w:tcPr>
            <w:tcW w:type="dxa" w:w="3312"/>
            <w:tcMar>
              <w:top w:w="70" w:type="dxa"/>
              <w:start w:w="90" w:type="dxa"/>
              <w:bottom w:w="70" w:type="dxa"/>
              <w:end w:w="90" w:type="dxa"/>
            </w:tcMar>
            <w:vAlign w:val="center"/>
          </w:tcPr>
          <w:p>
            <w:r>
              <w:t>Tier 1</w:t>
            </w:r>
          </w:p>
        </w:tc>
        <w:tc>
          <w:tcPr>
            <w:tcW w:type="dxa" w:w="3312"/>
            <w:tcMar>
              <w:top w:w="70" w:type="dxa"/>
              <w:start w:w="90" w:type="dxa"/>
              <w:bottom w:w="70" w:type="dxa"/>
              <w:end w:w="90" w:type="dxa"/>
            </w:tcMar>
            <w:vAlign w:val="center"/>
          </w:tcPr>
          <w:p>
            <w:r>
              <w:t>Established or widely accepted medical practice</w:t>
            </w:r>
          </w:p>
        </w:tc>
        <w:tc>
          <w:tcPr>
            <w:tcW w:type="dxa" w:w="3312"/>
            <w:tcMar>
              <w:top w:w="70" w:type="dxa"/>
              <w:start w:w="90" w:type="dxa"/>
              <w:bottom w:w="70" w:type="dxa"/>
              <w:end w:w="90" w:type="dxa"/>
            </w:tcMar>
            <w:vAlign w:val="center"/>
          </w:tcPr>
          <w:p>
            <w:r>
              <w:t>Topical minoxidil; finasteride in appropriate male AGA; standard diagnostic workup</w:t>
            </w:r>
          </w:p>
        </w:tc>
      </w:tr>
      <w:tr>
        <w:tc>
          <w:tcPr>
            <w:tcW w:type="dxa" w:w="3312"/>
            <w:tcMar>
              <w:top w:w="70" w:type="dxa"/>
              <w:start w:w="90" w:type="dxa"/>
              <w:bottom w:w="70" w:type="dxa"/>
              <w:end w:w="90" w:type="dxa"/>
            </w:tcMar>
            <w:vAlign w:val="center"/>
          </w:tcPr>
          <w:p>
            <w:r>
              <w:t>Tier 2</w:t>
            </w:r>
          </w:p>
        </w:tc>
        <w:tc>
          <w:tcPr>
            <w:tcW w:type="dxa" w:w="3312"/>
            <w:tcMar>
              <w:top w:w="70" w:type="dxa"/>
              <w:start w:w="90" w:type="dxa"/>
              <w:bottom w:w="70" w:type="dxa"/>
              <w:end w:w="90" w:type="dxa"/>
            </w:tcMar>
            <w:vAlign w:val="center"/>
          </w:tcPr>
          <w:p>
            <w:r>
              <w:t>Consensus-based or evolving clinical practice</w:t>
            </w:r>
          </w:p>
        </w:tc>
        <w:tc>
          <w:tcPr>
            <w:tcW w:type="dxa" w:w="3312"/>
            <w:tcMar>
              <w:top w:w="70" w:type="dxa"/>
              <w:start w:w="90" w:type="dxa"/>
              <w:bottom w:w="70" w:type="dxa"/>
              <w:end w:w="90" w:type="dxa"/>
            </w:tcMar>
            <w:vAlign w:val="center"/>
          </w:tcPr>
          <w:p>
            <w:r>
              <w:t>Low-dose oral minoxidil; selected anti-androgen pathways in women</w:t>
            </w:r>
          </w:p>
        </w:tc>
      </w:tr>
      <w:tr>
        <w:tc>
          <w:tcPr>
            <w:tcW w:type="dxa" w:w="3312"/>
            <w:tcMar>
              <w:top w:w="70" w:type="dxa"/>
              <w:start w:w="90" w:type="dxa"/>
              <w:bottom w:w="70" w:type="dxa"/>
              <w:end w:w="90" w:type="dxa"/>
            </w:tcMar>
            <w:vAlign w:val="center"/>
          </w:tcPr>
          <w:p>
            <w:r>
              <w:t>Tier 3</w:t>
            </w:r>
          </w:p>
        </w:tc>
        <w:tc>
          <w:tcPr>
            <w:tcW w:type="dxa" w:w="3312"/>
            <w:tcMar>
              <w:top w:w="70" w:type="dxa"/>
              <w:start w:w="90" w:type="dxa"/>
              <w:bottom w:w="70" w:type="dxa"/>
              <w:end w:w="90" w:type="dxa"/>
            </w:tcMar>
            <w:vAlign w:val="center"/>
          </w:tcPr>
          <w:p>
            <w:r>
              <w:t>Emerging adjunctive practice</w:t>
            </w:r>
          </w:p>
        </w:tc>
        <w:tc>
          <w:tcPr>
            <w:tcW w:type="dxa" w:w="3312"/>
            <w:tcMar>
              <w:top w:w="70" w:type="dxa"/>
              <w:start w:w="90" w:type="dxa"/>
              <w:bottom w:w="70" w:type="dxa"/>
              <w:end w:w="90" w:type="dxa"/>
            </w:tcMar>
            <w:vAlign w:val="center"/>
          </w:tcPr>
          <w:p>
            <w:r>
              <w:t>PRP protocols with variable preparation methods; selected device-based adjuncts</w:t>
            </w:r>
          </w:p>
        </w:tc>
      </w:tr>
      <w:tr>
        <w:tc>
          <w:tcPr>
            <w:tcW w:type="dxa" w:w="3312"/>
            <w:tcMar>
              <w:top w:w="70" w:type="dxa"/>
              <w:start w:w="90" w:type="dxa"/>
              <w:bottom w:w="70" w:type="dxa"/>
              <w:end w:w="90" w:type="dxa"/>
            </w:tcMar>
            <w:vAlign w:val="center"/>
          </w:tcPr>
          <w:p>
            <w:r>
              <w:t>Tier 4</w:t>
            </w:r>
          </w:p>
        </w:tc>
        <w:tc>
          <w:tcPr>
            <w:tcW w:type="dxa" w:w="3312"/>
            <w:tcMar>
              <w:top w:w="70" w:type="dxa"/>
              <w:start w:w="90" w:type="dxa"/>
              <w:bottom w:w="70" w:type="dxa"/>
              <w:end w:w="90" w:type="dxa"/>
            </w:tcMar>
            <w:vAlign w:val="center"/>
          </w:tcPr>
          <w:p>
            <w:r>
              <w:t>Investigational or academy-signature concepts</w:t>
            </w:r>
          </w:p>
        </w:tc>
        <w:tc>
          <w:tcPr>
            <w:tcW w:type="dxa" w:w="3312"/>
            <w:tcMar>
              <w:top w:w="70" w:type="dxa"/>
              <w:start w:w="90" w:type="dxa"/>
              <w:bottom w:w="70" w:type="dxa"/>
              <w:end w:w="90" w:type="dxa"/>
            </w:tcMar>
            <w:vAlign w:val="center"/>
          </w:tcPr>
          <w:p>
            <w:r>
              <w:t>Exosome-based therapy; partial transection and regenerative donor concepts</w:t>
            </w:r>
          </w:p>
        </w:tc>
      </w:tr>
    </w:tbl>
    <w:p/>
    <w:p>
      <w:pPr>
        <w:pStyle w:val="Heading2"/>
      </w:pPr>
      <w:r>
        <w:t>1.5 Ethics, consent, and scope of practice</w:t>
      </w:r>
    </w:p>
    <w:p>
      <w:r>
        <w:t>Hair loss is often medically benign yet psychologically profound. This combination makes the field unusually vulnerable to overpromising, overselling, and blurring of boundaries between evidence-based medicine and aspirational marketing. The doctor must protect against this by obtaining genuine informed consent, documenting uncertainty, distinguishing maintenance from cure, and avoiding claims that outrun the data.</w:t>
      </w:r>
    </w:p>
    <w:tbl>
      <w:tblPr>
        <w:tblW w:type="auto" w:w="0"/>
        <w:jc w:val="center"/>
        <w:tblLayout w:type="autofit"/>
        <w:tblLook w:firstColumn="1" w:firstRow="1" w:lastColumn="0" w:lastRow="0" w:noHBand="0" w:noVBand="1" w:val="04A0"/>
      </w:tblPr>
      <w:tblGrid>
        <w:gridCol w:w="9936"/>
      </w:tblGrid>
      <w:tr>
        <w:tc>
          <w:tcPr>
            <w:tcW w:type="dxa" w:w="9936"/>
            <w:shd w:fill="2F5D87"/>
            <w:vAlign w:val="center"/>
            <w:tcMar>
              <w:top w:w="70" w:type="dxa"/>
              <w:start w:w="110" w:type="dxa"/>
              <w:bottom w:w="70" w:type="dxa"/>
              <w:end w:w="110" w:type="dxa"/>
            </w:tcMar>
          </w:tcPr>
          <w:p>
            <w:pPr>
              <w:pStyle w:val="CalloutTitle"/>
            </w:pPr>
            <w:r>
              <w:t>Red flags requiring caution or referral</w:t>
            </w:r>
          </w:p>
        </w:tc>
      </w:tr>
      <w:tr>
        <w:tc>
          <w:tcPr>
            <w:tcW w:type="dxa" w:w="9936"/>
            <w:shd w:fill="EEF3F8"/>
            <w:vAlign w:val="center"/>
            <w:tcMar>
              <w:top w:w="70" w:type="dxa"/>
              <w:start w:w="110" w:type="dxa"/>
              <w:bottom w:w="70" w:type="dxa"/>
              <w:end w:w="110" w:type="dxa"/>
            </w:tcMar>
          </w:tcPr>
          <w:p>
            <w:pPr>
              <w:pStyle w:val="CalloutBody"/>
            </w:pPr>
            <w:r>
              <w:t>Pain, burning, perifollicular scale, pustulation, loss of follicular openings, rapid diffuse shedding with systemic symptoms, patchy loss with inflammation, and suspected scarring disease should all raise the threshold for reassurance-only management.</w:t>
            </w:r>
          </w:p>
        </w:tc>
      </w:tr>
    </w:tbl>
    <w:p/>
    <w:p>
      <w:r>
        <w:br w:type="page"/>
      </w:r>
    </w:p>
    <w:p>
      <w:pPr>
        <w:pStyle w:val="Heading1"/>
      </w:pPr>
      <w:r>
        <w:t>Module 2. Hair Follicle Biology and Scalp Science</w:t>
      </w:r>
    </w:p>
    <w:p>
      <w:r>
        <w:t>Strong hair medicine begins with follicular biology. Every treatment, every disease pattern, and every surgical decision sits on top of the architecture and signalling behaviour of the follicle and its surrounding scalp environment.</w:t>
      </w:r>
    </w:p>
    <w:p>
      <w:pPr>
        <w:pStyle w:val="Heading2"/>
      </w:pPr>
      <w:r>
        <w:t>Learning outcomes</w:t>
      </w:r>
    </w:p>
    <w:p>
      <w:pPr>
        <w:ind w:left="288"/>
      </w:pPr>
      <w:r>
        <w:rPr>
          <w:b/>
        </w:rPr>
        <w:t xml:space="preserve">• </w:t>
      </w:r>
      <w:r>
        <w:t>Describe the anatomy and embryologic development of the follicle and scalp.</w:t>
      </w:r>
    </w:p>
    <w:p>
      <w:pPr>
        <w:ind w:left="288"/>
      </w:pPr>
      <w:r>
        <w:rPr>
          <w:b/>
        </w:rPr>
        <w:t xml:space="preserve">• </w:t>
      </w:r>
      <w:r>
        <w:t>Explain the functional significance of the dermal papilla, bulge region, and stem-cell niches.</w:t>
      </w:r>
    </w:p>
    <w:p>
      <w:pPr>
        <w:ind w:left="288"/>
      </w:pPr>
      <w:r>
        <w:rPr>
          <w:b/>
        </w:rPr>
        <w:t xml:space="preserve">• </w:t>
      </w:r>
      <w:r>
        <w:t>Relate hair cycling biology to clinical disorders such as AGA, telogen effluvium, and scarring alopecias.</w:t>
      </w:r>
    </w:p>
    <w:p>
      <w:pPr>
        <w:ind w:left="288"/>
      </w:pPr>
      <w:r>
        <w:rPr>
          <w:b/>
        </w:rPr>
        <w:t xml:space="preserve">• </w:t>
      </w:r>
      <w:r>
        <w:t>Discuss ethnic hair variation, shaft properties, and scalp microenvironmental factors relevant to diagnosis and treatment.</w:t>
      </w:r>
    </w:p>
    <w:p/>
    <w:p>
      <w:pPr>
        <w:pStyle w:val="Heading2"/>
      </w:pPr>
      <w:r>
        <w:t>2.1 Embryology and follicle formation</w:t>
      </w:r>
    </w:p>
    <w:p>
      <w:r>
        <w:t>Hair follicles arise through reciprocal signalling between epidermal keratinocytes and underlying mesenchyme. Placode formation, downgrowth, dermal condensate organisation, and eventual follicle morphogenesis depend on a tightly orchestrated exchange of developmental signals including Wnt, Sonic hedgehog, BMP modulation, and fibroblast growth factor networks. For the clinician, this matters because mature follicle behaviour still depends on epithelial-mesenchymal communication.</w:t>
      </w:r>
    </w:p>
    <w:p>
      <w:pPr>
        <w:pStyle w:val="Heading2"/>
      </w:pPr>
      <w:r>
        <w:t>2.2 Follicle anatomy in depth</w:t>
      </w:r>
    </w:p>
    <w:p>
      <w:r>
        <w:t>The mature follicle can be divided into the infundibulum, isthmus, suprabulbar region, and bulb. The infundibulum extends from the ostium to the level of the sebaceous duct. The isthmus continues down to the insertion of the arrector pili muscle and contains the bulge area. The lower follicle comprises the stem, suprabulbar portion, and the bulb, where matrix keratinocytes proliferate around the dermal papilla to produce the fibre and inner root sheath.</w:t>
      </w:r>
    </w:p>
    <w:p>
      <w:r>
        <w:t>The outer root sheath is contiguous with the epidermis and harbours progenitor populations. The inner root sheath shapes the growing shaft. The dermal papilla acts as a signalling command centre rather than a passive support structure, regulating anagen initiation, shaft calibre, and follicular cycling behaviour.</w:t>
      </w:r>
    </w:p>
    <w:p>
      <w:pPr>
        <w:pStyle w:val="Heading2"/>
      </w:pPr>
      <w:r>
        <w:t>2.3 Bulge stem cells and regenerative potential</w:t>
      </w:r>
    </w:p>
    <w:p>
      <w:r>
        <w:t>The bulge region is a key epithelial stem-cell niche. These cells participate in cycling, wound response, and regeneration. In scarring alopecias, destruction of this region contributes to irreversible loss. In procedural and regenerative hair medicine, many therapeutic concepts seek either to preserve or reactivate structures linked to these stem-cell compartments.</w:t>
      </w:r>
    </w:p>
    <w:tbl>
      <w:tblPr>
        <w:tblW w:type="auto" w:w="0"/>
        <w:jc w:val="center"/>
        <w:tblLayout w:type="autofit"/>
        <w:tblLook w:firstColumn="1" w:firstRow="1" w:lastColumn="0" w:lastRow="0" w:noHBand="0" w:noVBand="1" w:val="04A0"/>
      </w:tblPr>
      <w:tblGrid>
        <w:gridCol w:w="9936"/>
      </w:tblGrid>
      <w:tr>
        <w:tc>
          <w:tcPr>
            <w:tcW w:type="dxa" w:w="9936"/>
            <w:shd w:fill="2F5D87"/>
            <w:vAlign w:val="center"/>
            <w:tcMar>
              <w:top w:w="70" w:type="dxa"/>
              <w:start w:w="110" w:type="dxa"/>
              <w:bottom w:w="70" w:type="dxa"/>
              <w:end w:w="110" w:type="dxa"/>
            </w:tcMar>
          </w:tcPr>
          <w:p>
            <w:pPr>
              <w:pStyle w:val="CalloutTitle"/>
            </w:pPr>
            <w:r>
              <w:t>Why this matters clinically</w:t>
            </w:r>
          </w:p>
        </w:tc>
      </w:tr>
      <w:tr>
        <w:tc>
          <w:tcPr>
            <w:tcW w:type="dxa" w:w="9936"/>
            <w:shd w:fill="EEF3F8"/>
            <w:vAlign w:val="center"/>
            <w:tcMar>
              <w:top w:w="70" w:type="dxa"/>
              <w:start w:w="110" w:type="dxa"/>
              <w:bottom w:w="70" w:type="dxa"/>
              <w:end w:w="110" w:type="dxa"/>
            </w:tcMar>
          </w:tcPr>
          <w:p>
            <w:pPr>
              <w:pStyle w:val="CalloutBody"/>
            </w:pPr>
            <w:r>
              <w:t>Non-scarring alopecia usually preserves the architecture needed for potential regrowth. Cicatricial alopecia destroys it. This is the biological reason early diagnosis changes prognosis.</w:t>
            </w:r>
          </w:p>
        </w:tc>
      </w:tr>
    </w:tbl>
    <w:p/>
    <w:p>
      <w:pPr>
        <w:pStyle w:val="Heading2"/>
      </w:pPr>
      <w:r>
        <w:t>2.4 Hair shaft architecture</w:t>
      </w:r>
    </w:p>
    <w:p>
      <w:r>
        <w:t>The shaft consists of cuticle, cortex, and in some fibres a medulla. The cortex determines tensile strength, curl behaviour, and much of perceived density. Cross-sectional shape, curvature, and follicular emergence angle vary by ethnicity and strongly influence styling, breakage risk, extraction difficulty, and implantation planning.</w:t>
      </w:r>
    </w:p>
    <w:p>
      <w:pPr>
        <w:pStyle w:val="Heading2"/>
      </w:pPr>
      <w:r>
        <w:t>2.5 Hair cycle biology</w:t>
      </w:r>
    </w:p>
    <w:p>
      <w:r>
        <w:t>The classical cycle comprises anagen, catagen, telogen, and exogen; kenogen is increasingly used to describe the interval between shedding of the club hair and emergence of a new fibre. Scalp anagen may persist for years, allowing long fibre growth. Catagen is a brief involutional phase marked by apoptosis-driven regression. Telogen is a relative resting state. Exogen is fibre release. Clinical disorders often represent shifts in the proportion of follicles occupying one state versus another, or the inability of follicles to re-enter robust anagen.</w:t>
      </w:r>
    </w:p>
    <w:tbl>
      <w:tblPr>
        <w:tblW w:type="auto" w:w="0"/>
        <w:jc w:val="center"/>
        <w:tblLook w:firstColumn="1" w:firstRow="1" w:lastColumn="0" w:lastRow="0" w:noHBand="0" w:noVBand="1" w:val="04A0"/>
      </w:tblPr>
      <w:tblGrid>
        <w:gridCol w:w="2484"/>
        <w:gridCol w:w="2484"/>
        <w:gridCol w:w="2484"/>
        <w:gridCol w:w="2484"/>
      </w:tblGrid>
      <w:tr>
        <w:tc>
          <w:tcPr>
            <w:tcW w:type="dxa" w:w="2484"/>
            <w:shd w:fill="D9E6F2"/>
            <w:tcMar>
              <w:top w:w="70" w:type="dxa"/>
              <w:start w:w="90" w:type="dxa"/>
              <w:bottom w:w="70" w:type="dxa"/>
              <w:end w:w="90" w:type="dxa"/>
            </w:tcMar>
          </w:tcPr>
          <w:p>
            <w:r>
              <w:rPr>
                <w:b/>
              </w:rPr>
              <w:t>Phase</w:t>
            </w:r>
          </w:p>
        </w:tc>
        <w:tc>
          <w:tcPr>
            <w:tcW w:type="dxa" w:w="2484"/>
            <w:shd w:fill="D9E6F2"/>
            <w:tcMar>
              <w:top w:w="70" w:type="dxa"/>
              <w:start w:w="90" w:type="dxa"/>
              <w:bottom w:w="70" w:type="dxa"/>
              <w:end w:w="90" w:type="dxa"/>
            </w:tcMar>
          </w:tcPr>
          <w:p>
            <w:r>
              <w:rPr>
                <w:b/>
              </w:rPr>
              <w:t>Core biology</w:t>
            </w:r>
          </w:p>
        </w:tc>
        <w:tc>
          <w:tcPr>
            <w:tcW w:type="dxa" w:w="2484"/>
            <w:shd w:fill="D9E6F2"/>
            <w:tcMar>
              <w:top w:w="70" w:type="dxa"/>
              <w:start w:w="90" w:type="dxa"/>
              <w:bottom w:w="70" w:type="dxa"/>
              <w:end w:w="90" w:type="dxa"/>
            </w:tcMar>
          </w:tcPr>
          <w:p>
            <w:r>
              <w:rPr>
                <w:b/>
              </w:rPr>
              <w:t>Approximate clinical meaning</w:t>
            </w:r>
          </w:p>
        </w:tc>
        <w:tc>
          <w:tcPr>
            <w:tcW w:type="dxa" w:w="2484"/>
            <w:shd w:fill="D9E6F2"/>
            <w:tcMar>
              <w:top w:w="70" w:type="dxa"/>
              <w:start w:w="90" w:type="dxa"/>
              <w:bottom w:w="70" w:type="dxa"/>
              <w:end w:w="90" w:type="dxa"/>
            </w:tcMar>
          </w:tcPr>
          <w:p>
            <w:r>
              <w:rPr>
                <w:b/>
              </w:rPr>
              <w:t>Typical disorders showing disturbance</w:t>
            </w:r>
          </w:p>
        </w:tc>
      </w:tr>
      <w:tr>
        <w:tc>
          <w:tcPr>
            <w:tcW w:type="dxa" w:w="2484"/>
            <w:tcMar>
              <w:top w:w="70" w:type="dxa"/>
              <w:start w:w="90" w:type="dxa"/>
              <w:bottom w:w="70" w:type="dxa"/>
              <w:end w:w="90" w:type="dxa"/>
            </w:tcMar>
          </w:tcPr>
          <w:p>
            <w:r>
              <w:t>Anagen</w:t>
            </w:r>
          </w:p>
        </w:tc>
        <w:tc>
          <w:tcPr>
            <w:tcW w:type="dxa" w:w="2484"/>
            <w:tcMar>
              <w:top w:w="70" w:type="dxa"/>
              <w:start w:w="90" w:type="dxa"/>
              <w:bottom w:w="70" w:type="dxa"/>
              <w:end w:w="90" w:type="dxa"/>
            </w:tcMar>
          </w:tcPr>
          <w:p>
            <w:r>
              <w:t>Active growth and matrix proliferation</w:t>
            </w:r>
          </w:p>
        </w:tc>
        <w:tc>
          <w:tcPr>
            <w:tcW w:type="dxa" w:w="2484"/>
            <w:tcMar>
              <w:top w:w="70" w:type="dxa"/>
              <w:start w:w="90" w:type="dxa"/>
              <w:bottom w:w="70" w:type="dxa"/>
              <w:end w:w="90" w:type="dxa"/>
            </w:tcMar>
          </w:tcPr>
          <w:p>
            <w:r>
              <w:t>Determines fibre length and calibre</w:t>
            </w:r>
          </w:p>
        </w:tc>
        <w:tc>
          <w:tcPr>
            <w:tcW w:type="dxa" w:w="2484"/>
            <w:tcMar>
              <w:top w:w="70" w:type="dxa"/>
              <w:start w:w="90" w:type="dxa"/>
              <w:bottom w:w="70" w:type="dxa"/>
              <w:end w:w="90" w:type="dxa"/>
            </w:tcMar>
          </w:tcPr>
          <w:p>
            <w:r>
              <w:t>Shortened in AGA</w:t>
            </w:r>
          </w:p>
        </w:tc>
      </w:tr>
      <w:tr>
        <w:tc>
          <w:tcPr>
            <w:tcW w:type="dxa" w:w="2484"/>
            <w:tcMar>
              <w:top w:w="70" w:type="dxa"/>
              <w:start w:w="90" w:type="dxa"/>
              <w:bottom w:w="70" w:type="dxa"/>
              <w:end w:w="90" w:type="dxa"/>
            </w:tcMar>
          </w:tcPr>
          <w:p>
            <w:r>
              <w:t>Catagen</w:t>
            </w:r>
          </w:p>
        </w:tc>
        <w:tc>
          <w:tcPr>
            <w:tcW w:type="dxa" w:w="2484"/>
            <w:tcMar>
              <w:top w:w="70" w:type="dxa"/>
              <w:start w:w="90" w:type="dxa"/>
              <w:bottom w:w="70" w:type="dxa"/>
              <w:end w:w="90" w:type="dxa"/>
            </w:tcMar>
          </w:tcPr>
          <w:p>
            <w:r>
              <w:t>Involution and controlled regression</w:t>
            </w:r>
          </w:p>
        </w:tc>
        <w:tc>
          <w:tcPr>
            <w:tcW w:type="dxa" w:w="2484"/>
            <w:tcMar>
              <w:top w:w="70" w:type="dxa"/>
              <w:start w:w="90" w:type="dxa"/>
              <w:bottom w:w="70" w:type="dxa"/>
              <w:end w:w="90" w:type="dxa"/>
            </w:tcMar>
          </w:tcPr>
          <w:p>
            <w:r>
              <w:t>Transition state</w:t>
            </w:r>
          </w:p>
        </w:tc>
        <w:tc>
          <w:tcPr>
            <w:tcW w:type="dxa" w:w="2484"/>
            <w:tcMar>
              <w:top w:w="70" w:type="dxa"/>
              <w:start w:w="90" w:type="dxa"/>
              <w:bottom w:w="70" w:type="dxa"/>
              <w:end w:w="90" w:type="dxa"/>
            </w:tcMar>
          </w:tcPr>
          <w:p>
            <w:r>
              <w:t>Usually not clinically dominant alone</w:t>
            </w:r>
          </w:p>
        </w:tc>
      </w:tr>
      <w:tr>
        <w:tc>
          <w:tcPr>
            <w:tcW w:type="dxa" w:w="2484"/>
            <w:tcMar>
              <w:top w:w="70" w:type="dxa"/>
              <w:start w:w="90" w:type="dxa"/>
              <w:bottom w:w="70" w:type="dxa"/>
              <w:end w:w="90" w:type="dxa"/>
            </w:tcMar>
          </w:tcPr>
          <w:p>
            <w:r>
              <w:t>Telogen</w:t>
            </w:r>
          </w:p>
        </w:tc>
        <w:tc>
          <w:tcPr>
            <w:tcW w:type="dxa" w:w="2484"/>
            <w:tcMar>
              <w:top w:w="70" w:type="dxa"/>
              <w:start w:w="90" w:type="dxa"/>
              <w:bottom w:w="70" w:type="dxa"/>
              <w:end w:w="90" w:type="dxa"/>
            </w:tcMar>
          </w:tcPr>
          <w:p>
            <w:r>
              <w:t>Resting club hair phase</w:t>
            </w:r>
          </w:p>
        </w:tc>
        <w:tc>
          <w:tcPr>
            <w:tcW w:type="dxa" w:w="2484"/>
            <w:tcMar>
              <w:top w:w="70" w:type="dxa"/>
              <w:start w:w="90" w:type="dxa"/>
              <w:bottom w:w="70" w:type="dxa"/>
              <w:end w:w="90" w:type="dxa"/>
            </w:tcMar>
          </w:tcPr>
          <w:p>
            <w:r>
              <w:t>Sets up later shedding</w:t>
            </w:r>
          </w:p>
        </w:tc>
        <w:tc>
          <w:tcPr>
            <w:tcW w:type="dxa" w:w="2484"/>
            <w:tcMar>
              <w:top w:w="70" w:type="dxa"/>
              <w:start w:w="90" w:type="dxa"/>
              <w:bottom w:w="70" w:type="dxa"/>
              <w:end w:w="90" w:type="dxa"/>
            </w:tcMar>
          </w:tcPr>
          <w:p>
            <w:r>
              <w:t>Expanded in telogen effluvium</w:t>
            </w:r>
          </w:p>
        </w:tc>
      </w:tr>
      <w:tr>
        <w:tc>
          <w:tcPr>
            <w:tcW w:type="dxa" w:w="2484"/>
            <w:tcMar>
              <w:top w:w="70" w:type="dxa"/>
              <w:start w:w="90" w:type="dxa"/>
              <w:bottom w:w="70" w:type="dxa"/>
              <w:end w:w="90" w:type="dxa"/>
            </w:tcMar>
          </w:tcPr>
          <w:p>
            <w:r>
              <w:t>Kenogen/Exogen</w:t>
            </w:r>
          </w:p>
        </w:tc>
        <w:tc>
          <w:tcPr>
            <w:tcW w:type="dxa" w:w="2484"/>
            <w:tcMar>
              <w:top w:w="70" w:type="dxa"/>
              <w:start w:w="90" w:type="dxa"/>
              <w:bottom w:w="70" w:type="dxa"/>
              <w:end w:w="90" w:type="dxa"/>
            </w:tcMar>
          </w:tcPr>
          <w:p>
            <w:r>
              <w:t>Empty follicle interval and release</w:t>
            </w:r>
          </w:p>
        </w:tc>
        <w:tc>
          <w:tcPr>
            <w:tcW w:type="dxa" w:w="2484"/>
            <w:tcMar>
              <w:top w:w="70" w:type="dxa"/>
              <w:start w:w="90" w:type="dxa"/>
              <w:bottom w:w="70" w:type="dxa"/>
              <w:end w:w="90" w:type="dxa"/>
            </w:tcMar>
          </w:tcPr>
          <w:p>
            <w:r>
              <w:t>Delays visible replacement</w:t>
            </w:r>
          </w:p>
        </w:tc>
        <w:tc>
          <w:tcPr>
            <w:tcW w:type="dxa" w:w="2484"/>
            <w:tcMar>
              <w:top w:w="70" w:type="dxa"/>
              <w:start w:w="90" w:type="dxa"/>
              <w:bottom w:w="70" w:type="dxa"/>
              <w:end w:w="90" w:type="dxa"/>
            </w:tcMar>
          </w:tcPr>
          <w:p>
            <w:r>
              <w:t>Important in patterned thinning</w:t>
            </w:r>
          </w:p>
        </w:tc>
      </w:tr>
    </w:tbl>
    <w:p/>
    <w:p>
      <w:pPr>
        <w:pStyle w:val="Heading2"/>
      </w:pPr>
      <w:r>
        <w:t>2.6 Scalp as a biologic environment</w:t>
      </w:r>
    </w:p>
    <w:p>
      <w:r>
        <w:t>The scalp is a specialised skin unit with high follicular density, rich vasculature, sebaceous activity, a distinct microbiome, and mechanical exposure from grooming, UV light, traction, chemicals, and occlusion. Barrier function, sebum composition, Malassezia dynamics, inflammation, and vascular supply all influence the success of both medical and procedural interventions.</w:t>
      </w:r>
    </w:p>
    <w:p>
      <w:pPr>
        <w:pStyle w:val="Heading2"/>
      </w:pPr>
      <w:r>
        <w:t>2.7 Ethnic hair variation and its clinical relevance</w:t>
      </w:r>
    </w:p>
    <w:p>
      <w:r>
        <w:t>Straight, wavy, tightly curled, and coiled hair types differ in shaft shape, emergence angle, breakage pattern, sebum distribution, and grooming stress. Afro-textured hair, for example, often demonstrates increased fragility and more curved subcutaneous follicles, which has implications for traction disorders, central centrifugal cicatricial alopecia, and FUE punch dynamics.</w:t>
      </w:r>
    </w:p>
    <w:p>
      <w:pPr>
        <w:pStyle w:val="Heading2"/>
      </w:pPr>
      <w:r>
        <w:t>2.8 Aging and follicular senescence</w:t>
      </w:r>
    </w:p>
    <w:p>
      <w:r>
        <w:t>Aging alters stem-cell signalling, fibroblast behaviour, pigmentation biology, perifollicular extracellular matrix composition, and the efficiency of anagen re-entry. Clinically, patients perceive this as reduced density, slower regrowth, lower calibre, and less resilience. Aging also interacts with genetic susceptibility in AGA, helping to explain why follicular androgen responsiveness manifests at different life stages in different individuals.</w:t>
      </w:r>
    </w:p>
    <w:p>
      <w:r>
        <w:br w:type="page"/>
      </w:r>
    </w:p>
    <w:p>
      <w:pPr>
        <w:pStyle w:val="Heading1"/>
      </w:pPr>
      <w:r>
        <w:t>Module 3. Molecular and Hormonal Regulation of Hair Growth</w:t>
      </w:r>
    </w:p>
    <w:p>
      <w:r>
        <w:t>Hair growth is controlled by interlocking signalling systems rather than by a single hormone. Doctors must understand these pathways to interpret AGA, female hormonal hair loss, inflammatory miniaturisation, and the logic behind established and emerging therapies.</w:t>
      </w:r>
    </w:p>
    <w:p>
      <w:pPr>
        <w:pStyle w:val="Heading2"/>
      </w:pPr>
      <w:r>
        <w:t>Learning outcomes</w:t>
      </w:r>
    </w:p>
    <w:p>
      <w:pPr>
        <w:ind w:left="288"/>
      </w:pPr>
      <w:r>
        <w:rPr>
          <w:b/>
        </w:rPr>
        <w:t xml:space="preserve">• </w:t>
      </w:r>
      <w:r>
        <w:t>Explain how androgen signalling contributes to patterned hair loss.</w:t>
      </w:r>
    </w:p>
    <w:p>
      <w:pPr>
        <w:ind w:left="288"/>
      </w:pPr>
      <w:r>
        <w:rPr>
          <w:b/>
        </w:rPr>
        <w:t xml:space="preserve">• </w:t>
      </w:r>
      <w:r>
        <w:t>Describe the role of Wnt/beta-catenin, prostaglandins, and growth mediators in cycling and miniaturisation.</w:t>
      </w:r>
    </w:p>
    <w:p>
      <w:pPr>
        <w:ind w:left="288"/>
      </w:pPr>
      <w:r>
        <w:rPr>
          <w:b/>
        </w:rPr>
        <w:t xml:space="preserve">• </w:t>
      </w:r>
      <w:r>
        <w:t>Discuss microinflammation, fibrosis, and aging as modifiers of follicular performance.</w:t>
      </w:r>
    </w:p>
    <w:p>
      <w:pPr>
        <w:ind w:left="288"/>
      </w:pPr>
      <w:r>
        <w:rPr>
          <w:b/>
        </w:rPr>
        <w:t xml:space="preserve">• </w:t>
      </w:r>
      <w:r>
        <w:t>Apply this molecular framework to treatment sequencing and patient education.</w:t>
      </w:r>
    </w:p>
    <w:p/>
    <w:p>
      <w:pPr>
        <w:pStyle w:val="Heading2"/>
      </w:pPr>
      <w:r>
        <w:t>3.1 Androgen biology and follicular response</w:t>
      </w:r>
    </w:p>
    <w:p>
      <w:r>
        <w:t>Androgens do not affect all follicles equally. In genetically susceptible scalp regions, testosterone is converted to dihydrotestosterone (DHT) by 5-alpha reductase isoenzymes, and DHT binds the androgen receptor with greater affinity than testosterone. This alters gene expression in susceptible follicles, driving progressive shortening of anagen, calibre reduction, and miniaturisation.</w:t>
      </w:r>
    </w:p>
    <w:p>
      <w:r>
        <w:t>Importantly, androgenic signalling alone does not explain all clinical behaviour. Many patients with normal circulating androgen levels still develop patterned loss because local sensitivity, receptor biology, and regional follicular programming matter more than serum androgen excess alone.</w:t>
      </w:r>
    </w:p>
    <w:p>
      <w:pPr>
        <w:pStyle w:val="Heading2"/>
      </w:pPr>
      <w:r>
        <w:t>3.2 Androgen receptor genetics and age of activation</w:t>
      </w:r>
    </w:p>
    <w:p>
      <w:r>
        <w:t>AGA is polygenic. Variants near the androgen receptor locus and other susceptibility loci influence risk, timing, and pattern. A clinically useful way to teach this is that susceptible follicles are not uniformly “active” from childhood; rather, they appear to become vulnerable once a genetically programmed threshold of age, hormonal milieu, and local signalling is reached. This helps explain why one patient progresses in the early twenties while another with similar family history remains stable until later life.</w:t>
      </w:r>
    </w:p>
    <w:tbl>
      <w:tblPr>
        <w:tblW w:type="auto" w:w="0"/>
        <w:jc w:val="center"/>
        <w:tblLayout w:type="autofit"/>
        <w:tblLook w:firstColumn="1" w:firstRow="1" w:lastColumn="0" w:lastRow="0" w:noHBand="0" w:noVBand="1" w:val="04A0"/>
      </w:tblPr>
      <w:tblGrid>
        <w:gridCol w:w="9936"/>
      </w:tblGrid>
      <w:tr>
        <w:tc>
          <w:tcPr>
            <w:tcW w:type="dxa" w:w="9936"/>
            <w:shd w:fill="2F5D87"/>
            <w:vAlign w:val="center"/>
            <w:tcMar>
              <w:top w:w="70" w:type="dxa"/>
              <w:start w:w="110" w:type="dxa"/>
              <w:bottom w:w="70" w:type="dxa"/>
              <w:end w:w="110" w:type="dxa"/>
            </w:tcMar>
          </w:tcPr>
          <w:p>
            <w:pPr>
              <w:pStyle w:val="CalloutTitle"/>
            </w:pPr>
            <w:r>
              <w:t>Teaching pearl</w:t>
            </w:r>
          </w:p>
        </w:tc>
      </w:tr>
      <w:tr>
        <w:tc>
          <w:tcPr>
            <w:tcW w:type="dxa" w:w="9936"/>
            <w:shd w:fill="EEF3F8"/>
            <w:vAlign w:val="center"/>
            <w:tcMar>
              <w:top w:w="70" w:type="dxa"/>
              <w:start w:w="110" w:type="dxa"/>
              <w:bottom w:w="70" w:type="dxa"/>
              <w:end w:w="110" w:type="dxa"/>
            </w:tcMar>
          </w:tcPr>
          <w:p>
            <w:pPr>
              <w:pStyle w:val="CalloutBody"/>
            </w:pPr>
            <w:r>
              <w:t>Tell patients that genes do not merely determine whether they will lose hair; they also influence when follicular sensitivity becomes clinically relevant.</w:t>
            </w:r>
          </w:p>
        </w:tc>
      </w:tr>
    </w:tbl>
    <w:p/>
    <w:p>
      <w:pPr>
        <w:pStyle w:val="Heading2"/>
      </w:pPr>
      <w:r>
        <w:t>3.3 Wnt/beta-catenin signalling</w:t>
      </w:r>
    </w:p>
    <w:p>
      <w:r>
        <w:t>Wnt/beta-catenin signalling is central to follicle development, stem-cell activation, and anagen initiation. Suppression of this pathway is linked to impaired regenerative activity and miniaturisation. Many regenerative or investigational interventions are, directly or indirectly, trying to support pathways associated with anagen re-entry and follicle maintenance.</w:t>
      </w:r>
    </w:p>
    <w:p>
      <w:pPr>
        <w:pStyle w:val="Heading2"/>
      </w:pPr>
      <w:r>
        <w:t>3.4 Prostaglandins and cycling behaviour</w:t>
      </w:r>
    </w:p>
    <w:p>
      <w:r>
        <w:t>Prostaglandin balance influences follicle state. Prostaglandin D2 has been implicated in inhibitory signalling within patterned hair loss, whereas other prostaglandins may support growth. This area is biologically important because it reinforces the idea that AGA is not simply “too much DHT” but a broader shift in the follicular signalling environment.</w:t>
      </w:r>
    </w:p>
    <w:p>
      <w:pPr>
        <w:pStyle w:val="Heading2"/>
      </w:pPr>
      <w:r>
        <w:t>3.5 Growth mediators and vascular factors</w:t>
      </w:r>
    </w:p>
    <w:p>
      <w:r>
        <w:t>Insulin-like growth factor-1, vascular endothelial growth factor, fibroblast growth factors, and transforming growth factor-beta all influence follicle proliferation, involution, perifollicular matrix remodelling, and vascular support. PRP and other regenerative approaches are often justified by their potential to concentrate or modulate growth factor exposure, although real-world outcomes vary according to preparation, protocol, and disease context.</w:t>
      </w:r>
    </w:p>
    <w:p>
      <w:pPr>
        <w:pStyle w:val="Heading2"/>
      </w:pPr>
      <w:r>
        <w:t>3.6 Microinflammation and fibrosis</w:t>
      </w:r>
    </w:p>
    <w:p>
      <w:r>
        <w:t>Perifollicular microinflammation is increasingly recognised in patterned hair loss and may contribute to fibrosis and declining follicular performance. Clinically, this concept helps explain why some patients with AGA appear to progress more rapidly, feel scalp discomfort, or demonstrate perifollicular scale or erythema. It also supports the need to assess the scalp itself, not just the hair pattern.</w:t>
      </w:r>
    </w:p>
    <w:p>
      <w:pPr>
        <w:pStyle w:val="Heading2"/>
      </w:pPr>
      <w:r>
        <w:t>3.7 Sex-specific endocrine influences</w:t>
      </w:r>
    </w:p>
    <w:p>
      <w:r>
        <w:t>Male patterned loss usually occurs in the setting of normal male androgen physiology acting on susceptible follicles. Female pattern hair loss is more heterogeneous. Some patients show no overt endocrine abnormality, while others have hyperandrogenism, polycystic ovary syndrome, insulin resistance, thyroid disease, perimenopausal change, or mixed contributors. This is why female hair loss must be taught as a broader hormonal and systemic medicine problem, not a simple mirror image of male AGA.</w:t>
      </w:r>
    </w:p>
    <w:p>
      <w:pPr>
        <w:pStyle w:val="Heading2"/>
      </w:pPr>
      <w:r>
        <w:t>3.8 Treatment logic derived from molecular biology</w:t>
      </w:r>
    </w:p>
    <w:p>
      <w:pPr/>
      <w:r>
        <w:rPr>
          <w:b/>
        </w:rPr>
        <w:t xml:space="preserve">• </w:t>
      </w:r>
      <w:r>
        <w:t>Minoxidil supports anagen extension and follicular activity but does not directly correct androgen signalling.</w:t>
      </w:r>
    </w:p>
    <w:p>
      <w:pPr/>
      <w:r>
        <w:rPr>
          <w:b/>
        </w:rPr>
        <w:t xml:space="preserve">• </w:t>
      </w:r>
      <w:r>
        <w:t>Finasteride and dutasteride modify DHT exposure but do not reverse every element of miniaturisation biology.</w:t>
      </w:r>
    </w:p>
    <w:p>
      <w:pPr/>
      <w:r>
        <w:rPr>
          <w:b/>
        </w:rPr>
        <w:t xml:space="preserve">• </w:t>
      </w:r>
      <w:r>
        <w:t>Anti-inflammatory scalp care may matter when microinflammation is clinically present.</w:t>
      </w:r>
    </w:p>
    <w:p>
      <w:pPr/>
      <w:r>
        <w:rPr>
          <w:b/>
        </w:rPr>
        <w:t xml:space="preserve">• </w:t>
      </w:r>
      <w:r>
        <w:t>Regenerative therapies may function best as adjuncts in viable follicles rather than replacements for core medical therapy in advanced patterned disease.</w:t>
      </w:r>
    </w:p>
    <w:p>
      <w:r>
        <w:br w:type="page"/>
      </w:r>
    </w:p>
    <w:p>
      <w:pPr>
        <w:pStyle w:val="Heading1"/>
      </w:pPr>
      <w:r>
        <w:t>Module 4. Clinical Consultation and Hair Loss History-Taking</w:t>
      </w:r>
    </w:p>
    <w:p>
      <w:r>
        <w:t>Doctors reach a higher level in hair medicine when the consultation becomes structured, efficient, and hypothesis-driven. The history must narrow diagnosis, reveal modifying factors, identify red flags, and set up the examination and investigation plan.</w:t>
      </w:r>
    </w:p>
    <w:p>
      <w:pPr>
        <w:pStyle w:val="Heading2"/>
      </w:pPr>
      <w:r>
        <w:t>Learning outcomes</w:t>
      </w:r>
    </w:p>
    <w:p>
      <w:pPr>
        <w:ind w:left="288"/>
      </w:pPr>
      <w:r>
        <w:rPr>
          <w:b/>
        </w:rPr>
        <w:t xml:space="preserve">• </w:t>
      </w:r>
      <w:r>
        <w:t>Use a structured consultation framework for common hair presentations.</w:t>
      </w:r>
    </w:p>
    <w:p>
      <w:pPr>
        <w:ind w:left="288"/>
      </w:pPr>
      <w:r>
        <w:rPr>
          <w:b/>
        </w:rPr>
        <w:t xml:space="preserve">• </w:t>
      </w:r>
      <w:r>
        <w:t>Differentiate shedding, thinning, breakage, and focal loss through history alone.</w:t>
      </w:r>
    </w:p>
    <w:p>
      <w:pPr>
        <w:ind w:left="288"/>
      </w:pPr>
      <w:r>
        <w:rPr>
          <w:b/>
        </w:rPr>
        <w:t xml:space="preserve">• </w:t>
      </w:r>
      <w:r>
        <w:t>Recognise historical clues to endocrine, inflammatory, nutritional, and iatrogenic contributors.</w:t>
      </w:r>
    </w:p>
    <w:p>
      <w:pPr>
        <w:ind w:left="288"/>
      </w:pPr>
      <w:r>
        <w:rPr>
          <w:b/>
        </w:rPr>
        <w:t xml:space="preserve">• </w:t>
      </w:r>
      <w:r>
        <w:t>Document findings in a way that supports longitudinal management and medico-legal clarity.</w:t>
      </w:r>
    </w:p>
    <w:p/>
    <w:p>
      <w:pPr>
        <w:pStyle w:val="Heading2"/>
      </w:pPr>
      <w:r>
        <w:t>4.1 Defining the patient’s actual complaint</w:t>
      </w:r>
    </w:p>
    <w:p>
      <w:r>
        <w:t>Patients may use the same words for very different problems. “My hair is falling out” may refer to excessive shedding, reduced ponytail volume, frontal recession, breakage, patchy loss, or post-procedural concern. The first task is to translate subjective language into one of four categories: shedding, decreased density, breakage, or visible alopecic patches/scars.</w:t>
      </w:r>
    </w:p>
    <w:p>
      <w:pPr>
        <w:pStyle w:val="Heading2"/>
      </w:pPr>
      <w:r>
        <w:t>4.2 Onset, tempo, and pattern</w:t>
      </w:r>
    </w:p>
    <w:p>
      <w:r>
        <w:t>Time-course is one of the most powerful diagnostic tools in trichology. Acute shedding over six to twelve weeks suggests telogen effluvium or a trigger-state. Slow progressive thinning over years suggests patterned loss. Symptoms such as burning, pain, tenderness, or itch raise suspicion for inflammatory scalp disease. Stepwise progression, asymmetry, or eyebrow loss can change the differential substantially.</w:t>
      </w:r>
    </w:p>
    <w:p>
      <w:pPr>
        <w:pStyle w:val="Heading2"/>
      </w:pPr>
      <w:r>
        <w:t>4.3 Menstrual, reproductive, and endocrine history</w:t>
      </w:r>
    </w:p>
    <w:p>
      <w:r>
        <w:t>In women, the consultation should routinely explore menstrual regularity, dysmenorrhoea, fertility history, postpartum state, contraceptive changes, acne, hirsutism, weight change, galactorrhoea, menopausal transition, and symptoms of thyroid dysfunction. These questions are not optional add-ons; they are central to the interpretation of diffuse thinning and patterned loss in women.</w:t>
      </w:r>
    </w:p>
    <w:p>
      <w:pPr>
        <w:pStyle w:val="Heading2"/>
      </w:pPr>
      <w:r>
        <w:t>4.4 Family history and genetic patterning</w:t>
      </w:r>
    </w:p>
    <w:p>
      <w:r>
        <w:t>Family history should include both maternal and paternal relatives and should capture age of onset, pattern type, severity, and whether apparent “thinning” may actually have represented diffuse disease or late-life senescent change. Family history informs risk but does not determine inevitability or rate of progression.</w:t>
      </w:r>
    </w:p>
    <w:p>
      <w:pPr>
        <w:pStyle w:val="Heading2"/>
      </w:pPr>
      <w:r>
        <w:t>4.5 Drug and treatment history</w:t>
      </w:r>
    </w:p>
    <w:p>
      <w:r>
        <w:t>The doctor must identify medications associated with shedding or pattern change, including retinoids, anticoagulants, anticonvulsants, antidepressants, weight-loss agents, hormonal therapies, anabolic agents, and abrupt cessation of supportive treatments. Hair-specific history should cover minoxidil use, anti-androgens, PRP, mesotherapy, laser devices, previous surgery, and adverse reactions.</w:t>
      </w:r>
    </w:p>
    <w:p>
      <w:pPr>
        <w:pStyle w:val="Heading2"/>
      </w:pPr>
      <w:r>
        <w:t>4.6 Nutrition, illness, and trigger states</w:t>
      </w:r>
    </w:p>
    <w:p>
      <w:r>
        <w:t>Key areas include rapid weight loss, restrictive eating, low protein intake, recent febrile illness, major psychological stress, surgery, anaemia, gastrointestinal malabsorption, chronic inflammatory disease, and thyroid dysfunction. The physician should distinguish between plausible triggers and popular but unsupported patient assumptions.</w:t>
      </w:r>
    </w:p>
    <w:tbl>
      <w:tblPr>
        <w:tblW w:type="auto" w:w="0"/>
        <w:jc w:val="center"/>
        <w:tblLayout w:type="autofit"/>
        <w:tblLook w:firstColumn="1" w:firstRow="1" w:lastColumn="0" w:lastRow="0" w:noHBand="0" w:noVBand="1" w:val="04A0"/>
      </w:tblPr>
      <w:tblGrid>
        <w:gridCol w:w="9936"/>
      </w:tblGrid>
      <w:tr>
        <w:tc>
          <w:tcPr>
            <w:tcW w:type="dxa" w:w="9936"/>
            <w:shd w:fill="2F5D87"/>
            <w:vAlign w:val="center"/>
            <w:tcMar>
              <w:top w:w="70" w:type="dxa"/>
              <w:start w:w="110" w:type="dxa"/>
              <w:bottom w:w="70" w:type="dxa"/>
              <w:end w:w="110" w:type="dxa"/>
            </w:tcMar>
          </w:tcPr>
          <w:p>
            <w:pPr>
              <w:pStyle w:val="CalloutTitle"/>
            </w:pPr>
            <w:r>
              <w:t>Red flag history elements</w:t>
            </w:r>
          </w:p>
        </w:tc>
      </w:tr>
      <w:tr>
        <w:tc>
          <w:tcPr>
            <w:tcW w:type="dxa" w:w="9936"/>
            <w:shd w:fill="EEF3F8"/>
            <w:vAlign w:val="center"/>
            <w:tcMar>
              <w:top w:w="70" w:type="dxa"/>
              <w:start w:w="110" w:type="dxa"/>
              <w:bottom w:w="70" w:type="dxa"/>
              <w:end w:w="110" w:type="dxa"/>
            </w:tcMar>
          </w:tcPr>
          <w:p>
            <w:pPr>
              <w:pStyle w:val="CalloutBody"/>
            </w:pPr>
            <w:r>
              <w:t>Scalp pain or burning, eyebrow loss, loss of body hair, rapidly enlarging patches, pustules, crusting, autoimmune history, systemic symptoms, or a history suggesting traction/scarring processes require a higher index of suspicion and often change the urgency of workup.</w:t>
            </w:r>
          </w:p>
        </w:tc>
      </w:tr>
    </w:tbl>
    <w:p/>
    <w:p>
      <w:pPr>
        <w:pStyle w:val="Heading2"/>
      </w:pPr>
      <w:r>
        <w:t>4.7 Psychosocial impact and consultation style</w:t>
      </w:r>
    </w:p>
    <w:p>
      <w:r>
        <w:t>Hair loss consultations require precision and empathy. The doctor should document duration, burden, functional impact, and previous treatment disappointment. A patient who has already cycled through many therapies may need expectation recalibration before any new treatment is discussed. Psychological burden should be taken seriously without allowing distress alone to force inappropriate intervention.</w:t>
      </w:r>
    </w:p>
    <w:p>
      <w:pPr>
        <w:pStyle w:val="Heading2"/>
      </w:pPr>
      <w:r>
        <w:t>4.8 Structured consultation template</w:t>
      </w:r>
    </w:p>
    <w:tbl>
      <w:tblPr>
        <w:tblW w:type="auto" w:w="0"/>
        <w:jc w:val="center"/>
        <w:tblLook w:firstColumn="1" w:firstRow="1" w:lastColumn="0" w:lastRow="0" w:noHBand="0" w:noVBand="1" w:val="04A0"/>
      </w:tblPr>
      <w:tblGrid>
        <w:gridCol w:w="3312"/>
        <w:gridCol w:w="3312"/>
        <w:gridCol w:w="3312"/>
      </w:tblGrid>
      <w:tr>
        <w:tc>
          <w:tcPr>
            <w:tcW w:type="dxa" w:w="3312"/>
            <w:shd w:fill="D9E6F2"/>
            <w:tcMar>
              <w:top w:w="70" w:type="dxa"/>
              <w:start w:w="90" w:type="dxa"/>
              <w:bottom w:w="70" w:type="dxa"/>
              <w:end w:w="90" w:type="dxa"/>
            </w:tcMar>
          </w:tcPr>
          <w:p>
            <w:r>
              <w:rPr>
                <w:b/>
              </w:rPr>
              <w:t>Consultation domain</w:t>
            </w:r>
          </w:p>
        </w:tc>
        <w:tc>
          <w:tcPr>
            <w:tcW w:type="dxa" w:w="3312"/>
            <w:shd w:fill="D9E6F2"/>
            <w:tcMar>
              <w:top w:w="70" w:type="dxa"/>
              <w:start w:w="90" w:type="dxa"/>
              <w:bottom w:w="70" w:type="dxa"/>
              <w:end w:w="90" w:type="dxa"/>
            </w:tcMar>
          </w:tcPr>
          <w:p>
            <w:r>
              <w:rPr>
                <w:b/>
              </w:rPr>
              <w:t>Questions to ask</w:t>
            </w:r>
          </w:p>
        </w:tc>
        <w:tc>
          <w:tcPr>
            <w:tcW w:type="dxa" w:w="3312"/>
            <w:shd w:fill="D9E6F2"/>
            <w:tcMar>
              <w:top w:w="70" w:type="dxa"/>
              <w:start w:w="90" w:type="dxa"/>
              <w:bottom w:w="70" w:type="dxa"/>
              <w:end w:w="90" w:type="dxa"/>
            </w:tcMar>
          </w:tcPr>
          <w:p>
            <w:r>
              <w:rPr>
                <w:b/>
              </w:rPr>
              <w:t>Why it matters</w:t>
            </w:r>
          </w:p>
        </w:tc>
      </w:tr>
      <w:tr>
        <w:tc>
          <w:tcPr>
            <w:tcW w:type="dxa" w:w="3312"/>
            <w:tcMar>
              <w:top w:w="70" w:type="dxa"/>
              <w:start w:w="90" w:type="dxa"/>
              <w:bottom w:w="70" w:type="dxa"/>
              <w:end w:w="90" w:type="dxa"/>
            </w:tcMar>
            <w:vAlign w:val="center"/>
          </w:tcPr>
          <w:p>
            <w:r>
              <w:t>Presenting complaint</w:t>
            </w:r>
          </w:p>
        </w:tc>
        <w:tc>
          <w:tcPr>
            <w:tcW w:type="dxa" w:w="3312"/>
            <w:tcMar>
              <w:top w:w="70" w:type="dxa"/>
              <w:start w:w="90" w:type="dxa"/>
              <w:bottom w:w="70" w:type="dxa"/>
              <w:end w:w="90" w:type="dxa"/>
            </w:tcMar>
            <w:vAlign w:val="center"/>
          </w:tcPr>
          <w:p>
            <w:r>
              <w:t>Is this shedding, thinning, breakage, recession, or patchy loss?</w:t>
            </w:r>
          </w:p>
        </w:tc>
        <w:tc>
          <w:tcPr>
            <w:tcW w:type="dxa" w:w="3312"/>
            <w:tcMar>
              <w:top w:w="70" w:type="dxa"/>
              <w:start w:w="90" w:type="dxa"/>
              <w:bottom w:w="70" w:type="dxa"/>
              <w:end w:w="90" w:type="dxa"/>
            </w:tcMar>
            <w:vAlign w:val="center"/>
          </w:tcPr>
          <w:p>
            <w:r>
              <w:t>Defines the diagnostic branch</w:t>
            </w:r>
          </w:p>
        </w:tc>
      </w:tr>
      <w:tr>
        <w:tc>
          <w:tcPr>
            <w:tcW w:type="dxa" w:w="3312"/>
            <w:tcMar>
              <w:top w:w="70" w:type="dxa"/>
              <w:start w:w="90" w:type="dxa"/>
              <w:bottom w:w="70" w:type="dxa"/>
              <w:end w:w="90" w:type="dxa"/>
            </w:tcMar>
            <w:vAlign w:val="center"/>
          </w:tcPr>
          <w:p>
            <w:r>
              <w:t>Onset and tempo</w:t>
            </w:r>
          </w:p>
        </w:tc>
        <w:tc>
          <w:tcPr>
            <w:tcW w:type="dxa" w:w="3312"/>
            <w:tcMar>
              <w:top w:w="70" w:type="dxa"/>
              <w:start w:w="90" w:type="dxa"/>
              <w:bottom w:w="70" w:type="dxa"/>
              <w:end w:w="90" w:type="dxa"/>
            </w:tcMar>
            <w:vAlign w:val="center"/>
          </w:tcPr>
          <w:p>
            <w:r>
              <w:t>When did it start? Was onset sudden or gradual?</w:t>
            </w:r>
          </w:p>
        </w:tc>
        <w:tc>
          <w:tcPr>
            <w:tcW w:type="dxa" w:w="3312"/>
            <w:tcMar>
              <w:top w:w="70" w:type="dxa"/>
              <w:start w:w="90" w:type="dxa"/>
              <w:bottom w:w="70" w:type="dxa"/>
              <w:end w:w="90" w:type="dxa"/>
            </w:tcMar>
            <w:vAlign w:val="center"/>
          </w:tcPr>
          <w:p>
            <w:r>
              <w:t>Distinguishes trigger states from patterned disease</w:t>
            </w:r>
          </w:p>
        </w:tc>
      </w:tr>
      <w:tr>
        <w:tc>
          <w:tcPr>
            <w:tcW w:type="dxa" w:w="3312"/>
            <w:tcMar>
              <w:top w:w="70" w:type="dxa"/>
              <w:start w:w="90" w:type="dxa"/>
              <w:bottom w:w="70" w:type="dxa"/>
              <w:end w:w="90" w:type="dxa"/>
            </w:tcMar>
            <w:vAlign w:val="center"/>
          </w:tcPr>
          <w:p>
            <w:r>
              <w:t>Pattern and symptoms</w:t>
            </w:r>
          </w:p>
        </w:tc>
        <w:tc>
          <w:tcPr>
            <w:tcW w:type="dxa" w:w="3312"/>
            <w:tcMar>
              <w:top w:w="70" w:type="dxa"/>
              <w:start w:w="90" w:type="dxa"/>
              <w:bottom w:w="70" w:type="dxa"/>
              <w:end w:w="90" w:type="dxa"/>
            </w:tcMar>
            <w:vAlign w:val="center"/>
          </w:tcPr>
          <w:p>
            <w:r>
              <w:t>Where is loss most visible? Any itch, pain, scale, burning?</w:t>
            </w:r>
          </w:p>
        </w:tc>
        <w:tc>
          <w:tcPr>
            <w:tcW w:type="dxa" w:w="3312"/>
            <w:tcMar>
              <w:top w:w="70" w:type="dxa"/>
              <w:start w:w="90" w:type="dxa"/>
              <w:bottom w:w="70" w:type="dxa"/>
              <w:end w:w="90" w:type="dxa"/>
            </w:tcMar>
            <w:vAlign w:val="center"/>
          </w:tcPr>
          <w:p>
            <w:r>
              <w:t>Raises suspicion for inflammatory or scarring disease</w:t>
            </w:r>
          </w:p>
        </w:tc>
      </w:tr>
      <w:tr>
        <w:tc>
          <w:tcPr>
            <w:tcW w:type="dxa" w:w="3312"/>
            <w:tcMar>
              <w:top w:w="70" w:type="dxa"/>
              <w:start w:w="90" w:type="dxa"/>
              <w:bottom w:w="70" w:type="dxa"/>
              <w:end w:w="90" w:type="dxa"/>
            </w:tcMar>
            <w:vAlign w:val="center"/>
          </w:tcPr>
          <w:p>
            <w:r>
              <w:t>Systemic/endocrine history</w:t>
            </w:r>
          </w:p>
        </w:tc>
        <w:tc>
          <w:tcPr>
            <w:tcW w:type="dxa" w:w="3312"/>
            <w:tcMar>
              <w:top w:w="70" w:type="dxa"/>
              <w:start w:w="90" w:type="dxa"/>
              <w:bottom w:w="70" w:type="dxa"/>
              <w:end w:w="90" w:type="dxa"/>
            </w:tcMar>
            <w:vAlign w:val="center"/>
          </w:tcPr>
          <w:p>
            <w:r>
              <w:t>Periods, thyroid symptoms, weight change, acne, hirsutism, menopause</w:t>
            </w:r>
          </w:p>
        </w:tc>
        <w:tc>
          <w:tcPr>
            <w:tcW w:type="dxa" w:w="3312"/>
            <w:tcMar>
              <w:top w:w="70" w:type="dxa"/>
              <w:start w:w="90" w:type="dxa"/>
              <w:bottom w:w="70" w:type="dxa"/>
              <w:end w:w="90" w:type="dxa"/>
            </w:tcMar>
            <w:vAlign w:val="center"/>
          </w:tcPr>
          <w:p>
            <w:r>
              <w:t>Identifies hormonal/systemic contributors</w:t>
            </w:r>
          </w:p>
        </w:tc>
      </w:tr>
      <w:tr>
        <w:tc>
          <w:tcPr>
            <w:tcW w:type="dxa" w:w="3312"/>
            <w:tcMar>
              <w:top w:w="70" w:type="dxa"/>
              <w:start w:w="90" w:type="dxa"/>
              <w:bottom w:w="70" w:type="dxa"/>
              <w:end w:w="90" w:type="dxa"/>
            </w:tcMar>
            <w:vAlign w:val="center"/>
          </w:tcPr>
          <w:p>
            <w:r>
              <w:t>Triggers and exposures</w:t>
            </w:r>
          </w:p>
        </w:tc>
        <w:tc>
          <w:tcPr>
            <w:tcW w:type="dxa" w:w="3312"/>
            <w:tcMar>
              <w:top w:w="70" w:type="dxa"/>
              <w:start w:w="90" w:type="dxa"/>
              <w:bottom w:w="70" w:type="dxa"/>
              <w:end w:w="90" w:type="dxa"/>
            </w:tcMar>
            <w:vAlign w:val="center"/>
          </w:tcPr>
          <w:p>
            <w:r>
              <w:t>Illness, surgery, stress, medications, diets, postpartum state</w:t>
            </w:r>
          </w:p>
        </w:tc>
        <w:tc>
          <w:tcPr>
            <w:tcW w:type="dxa" w:w="3312"/>
            <w:tcMar>
              <w:top w:w="70" w:type="dxa"/>
              <w:start w:w="90" w:type="dxa"/>
              <w:bottom w:w="70" w:type="dxa"/>
              <w:end w:w="90" w:type="dxa"/>
            </w:tcMar>
            <w:vAlign w:val="center"/>
          </w:tcPr>
          <w:p>
            <w:r>
              <w:t>Supports TE or mixed-pattern interpretation</w:t>
            </w:r>
          </w:p>
        </w:tc>
      </w:tr>
      <w:tr>
        <w:tc>
          <w:tcPr>
            <w:tcW w:type="dxa" w:w="3312"/>
            <w:tcMar>
              <w:top w:w="70" w:type="dxa"/>
              <w:start w:w="90" w:type="dxa"/>
              <w:bottom w:w="70" w:type="dxa"/>
              <w:end w:w="90" w:type="dxa"/>
            </w:tcMar>
            <w:vAlign w:val="center"/>
          </w:tcPr>
          <w:p>
            <w:r>
              <w:t>Prior interventions</w:t>
            </w:r>
          </w:p>
        </w:tc>
        <w:tc>
          <w:tcPr>
            <w:tcW w:type="dxa" w:w="3312"/>
            <w:tcMar>
              <w:top w:w="70" w:type="dxa"/>
              <w:start w:w="90" w:type="dxa"/>
              <w:bottom w:w="70" w:type="dxa"/>
              <w:end w:w="90" w:type="dxa"/>
            </w:tcMar>
            <w:vAlign w:val="center"/>
          </w:tcPr>
          <w:p>
            <w:r>
              <w:t>What was used, for how long, and what happened?</w:t>
            </w:r>
          </w:p>
        </w:tc>
        <w:tc>
          <w:tcPr>
            <w:tcW w:type="dxa" w:w="3312"/>
            <w:tcMar>
              <w:top w:w="70" w:type="dxa"/>
              <w:start w:w="90" w:type="dxa"/>
              <w:bottom w:w="70" w:type="dxa"/>
              <w:end w:w="90" w:type="dxa"/>
            </w:tcMar>
            <w:vAlign w:val="center"/>
          </w:tcPr>
          <w:p>
            <w:r>
              <w:t>Prevents repetition and sharpens treatment planning</w:t>
            </w:r>
          </w:p>
        </w:tc>
      </w:tr>
    </w:tbl>
    <w:p/>
    <w:p>
      <w:pPr>
        <w:pStyle w:val="Heading2"/>
      </w:pPr>
      <w:r>
        <w:t>4.9 End-of-module assessment prompts</w:t>
      </w:r>
    </w:p>
    <w:p>
      <w:pPr/>
      <w:r>
        <w:rPr>
          <w:b/>
        </w:rPr>
        <w:t xml:space="preserve">• </w:t>
      </w:r>
      <w:r>
        <w:t>Differentiate, using history alone, likely telogen effluvium, male AGA, female pattern hair loss, and early cicatricial alopecia.</w:t>
      </w:r>
    </w:p>
    <w:p>
      <w:pPr/>
      <w:r>
        <w:rPr>
          <w:b/>
        </w:rPr>
        <w:t xml:space="preserve">• </w:t>
      </w:r>
      <w:r>
        <w:t>Explain why scalp symptoms materially alter the differential diagnosis.</w:t>
      </w:r>
    </w:p>
    <w:p>
      <w:pPr/>
      <w:r>
        <w:rPr>
          <w:b/>
        </w:rPr>
        <w:t xml:space="preserve">• </w:t>
      </w:r>
      <w:r>
        <w:t>List the minimum endocrine and reproductive history required in a female diffuse thinning consultation.</w:t>
      </w:r>
    </w:p>
    <w:p>
      <w:pPr/>
      <w:r>
        <w:rPr>
          <w:b/>
        </w:rPr>
        <w:t xml:space="preserve">• </w:t>
      </w:r>
      <w:r>
        <w:t>Describe how you would document uncertainty without undermining patient trust.</w:t>
      </w:r>
    </w:p>
    <w:p>
      <w:r>
        <w:br w:type="page"/>
      </w:r>
    </w:p>
    <w:p>
      <w:pPr>
        <w:pStyle w:val="Heading1"/>
      </w:pPr>
      <w:r>
        <w:t>LMS mapping appendix for Volume 1</w:t>
      </w:r>
    </w:p>
    <w:p>
      <w:r>
        <w:t>The following architecture is included so Volume 1 can be ingested into the IIIOHR online doctor platform with minimal rewriting.</w:t>
      </w:r>
    </w:p>
    <w:p>
      <w:pPr>
        <w:pStyle w:val="Heading2"/>
      </w:pPr>
      <w:r>
        <w:t>Module 1 online object requirements</w:t>
      </w:r>
    </w:p>
    <w:p>
      <w:pPr/>
      <w:r>
        <w:rPr>
          <w:b/>
        </w:rPr>
        <w:t xml:space="preserve">• </w:t>
      </w:r>
      <w:r>
        <w:t>module_title</w:t>
      </w:r>
    </w:p>
    <w:p>
      <w:pPr/>
      <w:r>
        <w:rPr>
          <w:b/>
        </w:rPr>
        <w:t xml:space="preserve">• </w:t>
      </w:r>
      <w:r>
        <w:t>module_slug</w:t>
      </w:r>
    </w:p>
    <w:p>
      <w:pPr/>
      <w:r>
        <w:rPr>
          <w:b/>
        </w:rPr>
        <w:t xml:space="preserve">• </w:t>
      </w:r>
      <w:r>
        <w:t>overview</w:t>
      </w:r>
    </w:p>
    <w:p>
      <w:pPr/>
      <w:r>
        <w:rPr>
          <w:b/>
        </w:rPr>
        <w:t xml:space="preserve">• </w:t>
      </w:r>
      <w:r>
        <w:t>learning_outcomes</w:t>
      </w:r>
    </w:p>
    <w:p>
      <w:pPr/>
      <w:r>
        <w:rPr>
          <w:b/>
        </w:rPr>
        <w:t xml:space="preserve">• </w:t>
      </w:r>
      <w:r>
        <w:t>lessons</w:t>
      </w:r>
    </w:p>
    <w:p>
      <w:pPr/>
      <w:r>
        <w:rPr>
          <w:b/>
        </w:rPr>
        <w:t xml:space="preserve">• </w:t>
      </w:r>
      <w:r>
        <w:t>key_takeaways</w:t>
      </w:r>
    </w:p>
    <w:p>
      <w:pPr/>
      <w:r>
        <w:rPr>
          <w:b/>
        </w:rPr>
        <w:t xml:space="preserve">• </w:t>
      </w:r>
      <w:r>
        <w:t>red_flags</w:t>
      </w:r>
    </w:p>
    <w:p>
      <w:pPr/>
      <w:r>
        <w:rPr>
          <w:b/>
        </w:rPr>
        <w:t xml:space="preserve">• </w:t>
      </w:r>
      <w:r>
        <w:t>evidence_tier_notes</w:t>
      </w:r>
    </w:p>
    <w:p>
      <w:pPr/>
      <w:r>
        <w:rPr>
          <w:b/>
        </w:rPr>
        <w:t xml:space="preserve">• </w:t>
      </w:r>
      <w:r>
        <w:t>quiz_bank</w:t>
      </w:r>
    </w:p>
    <w:p>
      <w:pPr/>
      <w:r>
        <w:rPr>
          <w:b/>
        </w:rPr>
        <w:t xml:space="preserve">• </w:t>
      </w:r>
      <w:r>
        <w:t>case_prompt</w:t>
      </w:r>
    </w:p>
    <w:p>
      <w:pPr/>
      <w:r>
        <w:rPr>
          <w:b/>
        </w:rPr>
        <w:t xml:space="preserve">• </w:t>
      </w:r>
      <w:r>
        <w:t>downloadable_summary</w:t>
      </w:r>
    </w:p>
    <w:p>
      <w:pPr/>
      <w:r>
        <w:rPr>
          <w:b/>
        </w:rPr>
        <w:t xml:space="preserve">• </w:t>
      </w:r>
      <w:r>
        <w:t>faculty_notes</w:t>
      </w:r>
    </w:p>
    <w:p>
      <w:pPr>
        <w:pStyle w:val="Heading2"/>
      </w:pPr>
      <w:r>
        <w:t>Module 2 online object requirements</w:t>
      </w:r>
    </w:p>
    <w:p>
      <w:pPr/>
      <w:r>
        <w:rPr>
          <w:b/>
        </w:rPr>
        <w:t xml:space="preserve">• </w:t>
      </w:r>
      <w:r>
        <w:t>module_title</w:t>
      </w:r>
    </w:p>
    <w:p>
      <w:pPr/>
      <w:r>
        <w:rPr>
          <w:b/>
        </w:rPr>
        <w:t xml:space="preserve">• </w:t>
      </w:r>
      <w:r>
        <w:t>module_slug</w:t>
      </w:r>
    </w:p>
    <w:p>
      <w:pPr/>
      <w:r>
        <w:rPr>
          <w:b/>
        </w:rPr>
        <w:t xml:space="preserve">• </w:t>
      </w:r>
      <w:r>
        <w:t>overview</w:t>
      </w:r>
    </w:p>
    <w:p>
      <w:pPr/>
      <w:r>
        <w:rPr>
          <w:b/>
        </w:rPr>
        <w:t xml:space="preserve">• </w:t>
      </w:r>
      <w:r>
        <w:t>learning_outcomes</w:t>
      </w:r>
    </w:p>
    <w:p>
      <w:pPr/>
      <w:r>
        <w:rPr>
          <w:b/>
        </w:rPr>
        <w:t xml:space="preserve">• </w:t>
      </w:r>
      <w:r>
        <w:t>lessons</w:t>
      </w:r>
    </w:p>
    <w:p>
      <w:pPr/>
      <w:r>
        <w:rPr>
          <w:b/>
        </w:rPr>
        <w:t xml:space="preserve">• </w:t>
      </w:r>
      <w:r>
        <w:t>key_takeaways</w:t>
      </w:r>
    </w:p>
    <w:p>
      <w:pPr/>
      <w:r>
        <w:rPr>
          <w:b/>
        </w:rPr>
        <w:t xml:space="preserve">• </w:t>
      </w:r>
      <w:r>
        <w:t>red_flags</w:t>
      </w:r>
    </w:p>
    <w:p>
      <w:pPr/>
      <w:r>
        <w:rPr>
          <w:b/>
        </w:rPr>
        <w:t xml:space="preserve">• </w:t>
      </w:r>
      <w:r>
        <w:t>evidence_tier_notes</w:t>
      </w:r>
    </w:p>
    <w:p>
      <w:pPr/>
      <w:r>
        <w:rPr>
          <w:b/>
        </w:rPr>
        <w:t xml:space="preserve">• </w:t>
      </w:r>
      <w:r>
        <w:t>quiz_bank</w:t>
      </w:r>
    </w:p>
    <w:p>
      <w:pPr/>
      <w:r>
        <w:rPr>
          <w:b/>
        </w:rPr>
        <w:t xml:space="preserve">• </w:t>
      </w:r>
      <w:r>
        <w:t>case_prompt</w:t>
      </w:r>
    </w:p>
    <w:p>
      <w:pPr/>
      <w:r>
        <w:rPr>
          <w:b/>
        </w:rPr>
        <w:t xml:space="preserve">• </w:t>
      </w:r>
      <w:r>
        <w:t>downloadable_summary</w:t>
      </w:r>
    </w:p>
    <w:p>
      <w:pPr/>
      <w:r>
        <w:rPr>
          <w:b/>
        </w:rPr>
        <w:t xml:space="preserve">• </w:t>
      </w:r>
      <w:r>
        <w:t>faculty_notes</w:t>
      </w:r>
    </w:p>
    <w:p>
      <w:pPr>
        <w:pStyle w:val="Heading2"/>
      </w:pPr>
      <w:r>
        <w:t>Module 3 online object requirements</w:t>
      </w:r>
    </w:p>
    <w:p>
      <w:pPr/>
      <w:r>
        <w:rPr>
          <w:b/>
        </w:rPr>
        <w:t xml:space="preserve">• </w:t>
      </w:r>
      <w:r>
        <w:t>module_title</w:t>
      </w:r>
    </w:p>
    <w:p>
      <w:pPr/>
      <w:r>
        <w:rPr>
          <w:b/>
        </w:rPr>
        <w:t xml:space="preserve">• </w:t>
      </w:r>
      <w:r>
        <w:t>module_slug</w:t>
      </w:r>
    </w:p>
    <w:p>
      <w:pPr/>
      <w:r>
        <w:rPr>
          <w:b/>
        </w:rPr>
        <w:t xml:space="preserve">• </w:t>
      </w:r>
      <w:r>
        <w:t>overview</w:t>
      </w:r>
    </w:p>
    <w:p>
      <w:pPr/>
      <w:r>
        <w:rPr>
          <w:b/>
        </w:rPr>
        <w:t xml:space="preserve">• </w:t>
      </w:r>
      <w:r>
        <w:t>learning_outcomes</w:t>
      </w:r>
    </w:p>
    <w:p>
      <w:pPr/>
      <w:r>
        <w:rPr>
          <w:b/>
        </w:rPr>
        <w:t xml:space="preserve">• </w:t>
      </w:r>
      <w:r>
        <w:t>lessons</w:t>
      </w:r>
    </w:p>
    <w:p>
      <w:pPr/>
      <w:r>
        <w:rPr>
          <w:b/>
        </w:rPr>
        <w:t xml:space="preserve">• </w:t>
      </w:r>
      <w:r>
        <w:t>key_takeaways</w:t>
      </w:r>
    </w:p>
    <w:p>
      <w:pPr/>
      <w:r>
        <w:rPr>
          <w:b/>
        </w:rPr>
        <w:t xml:space="preserve">• </w:t>
      </w:r>
      <w:r>
        <w:t>red_flags</w:t>
      </w:r>
    </w:p>
    <w:p>
      <w:pPr/>
      <w:r>
        <w:rPr>
          <w:b/>
        </w:rPr>
        <w:t xml:space="preserve">• </w:t>
      </w:r>
      <w:r>
        <w:t>evidence_tier_notes</w:t>
      </w:r>
    </w:p>
    <w:p>
      <w:pPr/>
      <w:r>
        <w:rPr>
          <w:b/>
        </w:rPr>
        <w:t xml:space="preserve">• </w:t>
      </w:r>
      <w:r>
        <w:t>quiz_bank</w:t>
      </w:r>
    </w:p>
    <w:p>
      <w:pPr/>
      <w:r>
        <w:rPr>
          <w:b/>
        </w:rPr>
        <w:t xml:space="preserve">• </w:t>
      </w:r>
      <w:r>
        <w:t>case_prompt</w:t>
      </w:r>
    </w:p>
    <w:p>
      <w:pPr/>
      <w:r>
        <w:rPr>
          <w:b/>
        </w:rPr>
        <w:t xml:space="preserve">• </w:t>
      </w:r>
      <w:r>
        <w:t>downloadable_summary</w:t>
      </w:r>
    </w:p>
    <w:p>
      <w:pPr/>
      <w:r>
        <w:rPr>
          <w:b/>
        </w:rPr>
        <w:t xml:space="preserve">• </w:t>
      </w:r>
      <w:r>
        <w:t>faculty_notes</w:t>
      </w:r>
    </w:p>
    <w:p>
      <w:pPr>
        <w:pStyle w:val="Heading2"/>
      </w:pPr>
      <w:r>
        <w:t>Module 4 online object requirements</w:t>
      </w:r>
    </w:p>
    <w:p>
      <w:pPr/>
      <w:r>
        <w:rPr>
          <w:b/>
        </w:rPr>
        <w:t xml:space="preserve">• </w:t>
      </w:r>
      <w:r>
        <w:t>module_title</w:t>
      </w:r>
    </w:p>
    <w:p>
      <w:pPr/>
      <w:r>
        <w:rPr>
          <w:b/>
        </w:rPr>
        <w:t xml:space="preserve">• </w:t>
      </w:r>
      <w:r>
        <w:t>module_slug</w:t>
      </w:r>
    </w:p>
    <w:p>
      <w:pPr/>
      <w:r>
        <w:rPr>
          <w:b/>
        </w:rPr>
        <w:t xml:space="preserve">• </w:t>
      </w:r>
      <w:r>
        <w:t>overview</w:t>
      </w:r>
    </w:p>
    <w:p>
      <w:pPr/>
      <w:r>
        <w:rPr>
          <w:b/>
        </w:rPr>
        <w:t xml:space="preserve">• </w:t>
      </w:r>
      <w:r>
        <w:t>learning_outcomes</w:t>
      </w:r>
    </w:p>
    <w:p>
      <w:pPr/>
      <w:r>
        <w:rPr>
          <w:b/>
        </w:rPr>
        <w:t xml:space="preserve">• </w:t>
      </w:r>
      <w:r>
        <w:t>lessons</w:t>
      </w:r>
    </w:p>
    <w:p>
      <w:pPr/>
      <w:r>
        <w:rPr>
          <w:b/>
        </w:rPr>
        <w:t xml:space="preserve">• </w:t>
      </w:r>
      <w:r>
        <w:t>key_takeaways</w:t>
      </w:r>
    </w:p>
    <w:p>
      <w:pPr/>
      <w:r>
        <w:rPr>
          <w:b/>
        </w:rPr>
        <w:t xml:space="preserve">• </w:t>
      </w:r>
      <w:r>
        <w:t>red_flags</w:t>
      </w:r>
    </w:p>
    <w:p>
      <w:pPr/>
      <w:r>
        <w:rPr>
          <w:b/>
        </w:rPr>
        <w:t xml:space="preserve">• </w:t>
      </w:r>
      <w:r>
        <w:t>evidence_tier_notes</w:t>
      </w:r>
    </w:p>
    <w:p>
      <w:pPr/>
      <w:r>
        <w:rPr>
          <w:b/>
        </w:rPr>
        <w:t xml:space="preserve">• </w:t>
      </w:r>
      <w:r>
        <w:t>quiz_bank</w:t>
      </w:r>
    </w:p>
    <w:p>
      <w:pPr/>
      <w:r>
        <w:rPr>
          <w:b/>
        </w:rPr>
        <w:t xml:space="preserve">• </w:t>
      </w:r>
      <w:r>
        <w:t>case_prompt</w:t>
      </w:r>
    </w:p>
    <w:p>
      <w:pPr/>
      <w:r>
        <w:rPr>
          <w:b/>
        </w:rPr>
        <w:t xml:space="preserve">• </w:t>
      </w:r>
      <w:r>
        <w:t>downloadable_summary</w:t>
      </w:r>
    </w:p>
    <w:p>
      <w:pPr/>
      <w:r>
        <w:rPr>
          <w:b/>
        </w:rPr>
        <w:t xml:space="preserve">• </w:t>
      </w:r>
      <w:r>
        <w:t>faculty_notes</w:t>
      </w:r>
    </w:p>
    <w:p>
      <w:pPr>
        <w:pStyle w:val="Heading1"/>
      </w:pPr>
      <w:r>
        <w:t>Selected reference base for this volume</w:t>
      </w:r>
    </w:p>
    <w:p>
      <w:pPr>
        <w:pStyle w:val="Small"/>
      </w:pPr>
      <w:r>
        <w:t xml:space="preserve">• </w:t>
      </w:r>
      <w:r>
        <w:t>International Association of Trichologists. Course and organisational information used for positioning and benchmarking of trichology education.</w:t>
      </w:r>
    </w:p>
    <w:p>
      <w:pPr>
        <w:pStyle w:val="Small"/>
      </w:pPr>
      <w:r>
        <w:t xml:space="preserve">• </w:t>
      </w:r>
      <w:r>
        <w:t>Kuczara A, et al. Trichoscopy of androgenetic alopecia: systematic review. 2024.</w:t>
      </w:r>
    </w:p>
    <w:p>
      <w:pPr>
        <w:pStyle w:val="Small"/>
      </w:pPr>
      <w:r>
        <w:t xml:space="preserve">• </w:t>
      </w:r>
      <w:r>
        <w:t>Ramos PM, et al. Female-pattern hair loss: therapeutic update. 2023.</w:t>
      </w:r>
    </w:p>
    <w:p>
      <w:pPr>
        <w:pStyle w:val="Small"/>
      </w:pPr>
      <w:r>
        <w:t xml:space="preserve">• </w:t>
      </w:r>
      <w:r>
        <w:t>Gupta AK, et al. Low-dose oral minoxidil for alopecia: comprehensive review. 2023.</w:t>
      </w:r>
    </w:p>
    <w:p>
      <w:pPr>
        <w:pStyle w:val="Small"/>
      </w:pPr>
      <w:r>
        <w:t xml:space="preserve">• </w:t>
      </w:r>
      <w:r>
        <w:t>Mohy SM, et al. Consensus recommendations for management of androgenetic alopecia. 2025.</w:t>
      </w:r>
    </w:p>
    <w:p>
      <w:pPr>
        <w:pStyle w:val="Small"/>
      </w:pPr>
      <w:r>
        <w:t xml:space="preserve">• </w:t>
      </w:r>
      <w:r>
        <w:t>Katoulis AC, et al. Three-step diagnostic algorithm for alopecia. 2025.</w:t>
      </w:r>
    </w:p>
    <w:p>
      <w:pPr>
        <w:pStyle w:val="Small"/>
      </w:pPr>
      <w:r>
        <w:t xml:space="preserve">• </w:t>
      </w:r>
      <w:r>
        <w:t>Shin JW, et al. Updates in treatment for androgenetic alopecia. 2025.</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E6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A2A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2304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itle">
    <w:name w:val="Callout Title"/>
    <w:rPr>
      <w:rFonts w:ascii="Aptos" w:hAnsi="Aptos"/>
      <w:b/>
      <w:color w:val="FFFFFF"/>
      <w:sz w:val="20"/>
    </w:rPr>
  </w:style>
  <w:style w:type="paragraph" w:customStyle="1" w:styleId="CalloutBody">
    <w:name w:val="Callout Body"/>
    <w:pPr>
      <w:spacing w:after="60"/>
    </w:pPr>
    <w:rPr>
      <w:rFonts w:ascii="Aptos" w:hAnsi="Aptos"/>
      <w:sz w:val="18"/>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