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VOLUME 2</w:t>
      </w:r>
    </w:p>
    <w:p>
      <w:pPr>
        <w:jc w:val="center"/>
      </w:pPr>
      <w:r>
        <w:rPr>
          <w:b/>
          <w:color w:val="355C7D"/>
          <w:sz w:val="40"/>
        </w:rPr>
        <w:t>Diagnostic Trichology and Pattern Hair Loss Medicine</w:t>
      </w:r>
    </w:p>
    <w:p>
      <w:pPr>
        <w:jc w:val="center"/>
      </w:pPr>
      <w:r>
        <w:rPr>
          <w:i/>
          <w:sz w:val="22"/>
        </w:rPr>
        <w:t>HLI / IIIOHR Advanced Trichology Academy</w:t>
      </w:r>
    </w:p>
    <w:p/>
    <w:p>
      <w:pPr>
        <w:jc w:val="center"/>
      </w:pPr>
      <w:r>
        <w:rPr>
          <w:b/>
        </w:rPr>
        <w:t>Modules 5–9</w:t>
        <w:br/>
      </w:r>
      <w:r>
        <w:t>Clinical Examination of Hair and Scalp</w:t>
        <w:br/>
        <w:t>Trichoscopy</w:t>
        <w:br/>
        <w:t>Laboratory Investigations, Endocrine Workup, and Biopsy Logic</w:t>
        <w:br/>
        <w:t>Androgenetic Alopecia in Males</w:t>
        <w:br/>
        <w:t>Female Pattern Hair Loss and Hormonal Hair Loss in Women</w:t>
      </w:r>
    </w:p>
    <w:p>
      <w:r>
        <w:br w:type="page"/>
      </w:r>
    </w:p>
    <w:p>
      <w:pPr>
        <w:pStyle w:val="Heading1"/>
      </w:pPr>
      <w:r>
        <w:t>Volume Overview</w:t>
      </w:r>
    </w:p>
    <w:p>
      <w:r>
        <w:t>Volume 2 moves the learner from basic science into structured physician-level diagnosis and pattern hair loss medicine. The emphasis is on disciplined observation, clinicopathological reasoning, trichoscopic pattern recognition, investigation planning, and the construction of long-term treatment strategies for male and female patterned hair loss.</w:t>
      </w:r>
    </w:p>
    <w:p>
      <w:r>
        <w:t>This volume is written to support both academy manual use and later online delivery on iiohr.com. Each module therefore includes learning objectives, lesson architecture, diagnostic frameworks, clinical pearls, red flags, and end-of-module assessment prompts.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DCE6F1"/>
          </w:tcPr>
          <w:p>
            <w:r>
              <w:t>Module</w:t>
            </w:r>
          </w:p>
        </w:tc>
        <w:tc>
          <w:tcPr>
            <w:tcW w:type="dxa" w:w="2578"/>
            <w:shd w:fill="DCE6F1"/>
          </w:tcPr>
          <w:p>
            <w:r>
              <w:t>Core focus</w:t>
            </w:r>
          </w:p>
        </w:tc>
        <w:tc>
          <w:tcPr>
            <w:tcW w:type="dxa" w:w="2578"/>
            <w:shd w:fill="DCE6F1"/>
          </w:tcPr>
          <w:p>
            <w:r>
              <w:t>Clinical output</w:t>
            </w:r>
          </w:p>
        </w:tc>
        <w:tc>
          <w:tcPr>
            <w:tcW w:type="dxa" w:w="2578"/>
            <w:shd w:fill="DCE6F1"/>
          </w:tcPr>
          <w:p>
            <w:r>
              <w:t>LMS mapping note</w:t>
            </w:r>
          </w:p>
        </w:tc>
      </w:tr>
      <w:tr>
        <w:tc>
          <w:tcPr>
            <w:tcW w:type="dxa" w:w="2578"/>
          </w:tcPr>
          <w:p>
            <w:r>
              <w:t>5</w:t>
            </w:r>
          </w:p>
        </w:tc>
        <w:tc>
          <w:tcPr>
            <w:tcW w:type="dxa" w:w="2578"/>
          </w:tcPr>
          <w:p>
            <w:r>
              <w:t>Examination of hair/scalp</w:t>
            </w:r>
          </w:p>
        </w:tc>
        <w:tc>
          <w:tcPr>
            <w:tcW w:type="dxa" w:w="2578"/>
          </w:tcPr>
          <w:p>
            <w:r>
              <w:t>Build a reproducible clinical exam</w:t>
            </w:r>
          </w:p>
        </w:tc>
        <w:tc>
          <w:tcPr>
            <w:tcW w:type="dxa" w:w="2578"/>
          </w:tcPr>
          <w:p>
            <w:r>
              <w:t>Maps to practical consultation lessons</w:t>
            </w:r>
          </w:p>
        </w:tc>
      </w:tr>
      <w:tr>
        <w:tc>
          <w:tcPr>
            <w:tcW w:type="dxa" w:w="2578"/>
          </w:tcPr>
          <w:p>
            <w:r>
              <w:t>6</w:t>
            </w:r>
          </w:p>
        </w:tc>
        <w:tc>
          <w:tcPr>
            <w:tcW w:type="dxa" w:w="2578"/>
          </w:tcPr>
          <w:p>
            <w:r>
              <w:t>Trichoscopy</w:t>
            </w:r>
          </w:p>
        </w:tc>
        <w:tc>
          <w:tcPr>
            <w:tcW w:type="dxa" w:w="2578"/>
          </w:tcPr>
          <w:p>
            <w:r>
              <w:t>Interpret common and high-risk patterns</w:t>
            </w:r>
          </w:p>
        </w:tc>
        <w:tc>
          <w:tcPr>
            <w:tcW w:type="dxa" w:w="2578"/>
          </w:tcPr>
          <w:p>
            <w:r>
              <w:t>Maps to image-atlas and quiz lessons</w:t>
            </w:r>
          </w:p>
        </w:tc>
      </w:tr>
      <w:tr>
        <w:tc>
          <w:tcPr>
            <w:tcW w:type="dxa" w:w="2578"/>
          </w:tcPr>
          <w:p>
            <w:r>
              <w:t>7</w:t>
            </w:r>
          </w:p>
        </w:tc>
        <w:tc>
          <w:tcPr>
            <w:tcW w:type="dxa" w:w="2578"/>
          </w:tcPr>
          <w:p>
            <w:r>
              <w:t>Investigations and biopsy</w:t>
            </w:r>
          </w:p>
        </w:tc>
        <w:tc>
          <w:tcPr>
            <w:tcW w:type="dxa" w:w="2578"/>
          </w:tcPr>
          <w:p>
            <w:r>
              <w:t>Choose tests and biopsy site logically</w:t>
            </w:r>
          </w:p>
        </w:tc>
        <w:tc>
          <w:tcPr>
            <w:tcW w:type="dxa" w:w="2578"/>
          </w:tcPr>
          <w:p>
            <w:r>
              <w:t>Maps to investigation pathways and case reasoning</w:t>
            </w:r>
          </w:p>
        </w:tc>
      </w:tr>
      <w:tr>
        <w:tc>
          <w:tcPr>
            <w:tcW w:type="dxa" w:w="2578"/>
          </w:tcPr>
          <w:p>
            <w:r>
              <w:t>8</w:t>
            </w:r>
          </w:p>
        </w:tc>
        <w:tc>
          <w:tcPr>
            <w:tcW w:type="dxa" w:w="2578"/>
          </w:tcPr>
          <w:p>
            <w:r>
              <w:t>Male AGA</w:t>
            </w:r>
          </w:p>
        </w:tc>
        <w:tc>
          <w:tcPr>
            <w:tcW w:type="dxa" w:w="2578"/>
          </w:tcPr>
          <w:p>
            <w:r>
              <w:t>Diagnose, stage, treat, and plan long term</w:t>
            </w:r>
          </w:p>
        </w:tc>
        <w:tc>
          <w:tcPr>
            <w:tcW w:type="dxa" w:w="2578"/>
          </w:tcPr>
          <w:p>
            <w:r>
              <w:t>Maps to treatment ladder and surgery-candidacy lessons</w:t>
            </w:r>
          </w:p>
        </w:tc>
      </w:tr>
      <w:tr>
        <w:tc>
          <w:tcPr>
            <w:tcW w:type="dxa" w:w="2578"/>
          </w:tcPr>
          <w:p>
            <w:r>
              <w:t>9</w:t>
            </w:r>
          </w:p>
        </w:tc>
        <w:tc>
          <w:tcPr>
            <w:tcW w:type="dxa" w:w="2578"/>
          </w:tcPr>
          <w:p>
            <w:r>
              <w:t>Female pattern loss</w:t>
            </w:r>
          </w:p>
        </w:tc>
        <w:tc>
          <w:tcPr>
            <w:tcW w:type="dxa" w:w="2578"/>
          </w:tcPr>
          <w:p>
            <w:r>
              <w:t>Integrate endocrine and reproductive logic</w:t>
            </w:r>
          </w:p>
        </w:tc>
        <w:tc>
          <w:tcPr>
            <w:tcW w:type="dxa" w:w="2578"/>
          </w:tcPr>
          <w:p>
            <w:r>
              <w:t>Maps to female hair-loss stream and case reviews</w:t>
            </w:r>
          </w:p>
        </w:tc>
      </w:tr>
    </w:tbl>
    <w:p>
      <w:r>
        <w:br w:type="page"/>
      </w:r>
    </w:p>
    <w:p>
      <w:pPr>
        <w:pStyle w:val="Heading1"/>
      </w:pPr>
      <w:r>
        <w:t>Module 5. Clinical Examination of Hair and Scalp</w:t>
      </w:r>
    </w:p>
    <w:p>
      <w:r>
        <w:t>The hair consultation begins before the first instrument is lifted. Pattern, scalp visibility, hairstyle adaptation, eyebrow symmetry, body language, and distribution of loss all offer clues. A strong examiner uses a standard order of examination so that subtle patterned miniaturisation, inflammatory disease, breakage, and scarring are not missed.</w:t>
      </w:r>
    </w:p>
    <w:tbl>
      <w:tblPr>
        <w:tblW w:type="auto" w:w="0"/>
        <w:jc w:val="center"/>
        <w:tblLook w:firstColumn="1" w:firstRow="1" w:lastColumn="0" w:lastRow="0" w:noHBand="0" w:noVBand="1" w:val="04A0"/>
      </w:tblPr>
      <w:tblGrid>
        <w:gridCol w:w="10313"/>
      </w:tblGrid>
      <w:tr>
        <w:tc>
          <w:tcPr>
            <w:tcW w:type="dxa" w:w="10313"/>
            <w:shd w:fill="EEF4FB"/>
            <w:vAlign w:val="center"/>
          </w:tcPr>
          <w:p>
            <w:r>
              <w:rPr>
                <w:b/>
                <w:color w:val="1F3A5F"/>
              </w:rPr>
              <w:t>Learning objectives</w:t>
            </w:r>
          </w:p>
          <w:p>
            <w:pPr>
              <w:pStyle w:val="ListBullet"/>
            </w:pPr>
            <w:r>
              <w:t>Conduct a complete and reproducible examination of the hair-bearing scalp and adjacent hair-bearing sites.</w:t>
            </w:r>
          </w:p>
          <w:p>
            <w:pPr>
              <w:pStyle w:val="ListBullet"/>
            </w:pPr>
            <w:r>
              <w:t>Distinguish shedding, breakage, and true reduction in follicular density.</w:t>
            </w:r>
          </w:p>
          <w:p>
            <w:pPr>
              <w:pStyle w:val="ListBullet"/>
            </w:pPr>
            <w:r>
              <w:t>Use grading scales and photography standards to document baseline severity.</w:t>
            </w:r>
          </w:p>
          <w:p>
            <w:pPr>
              <w:pStyle w:val="ListBullet"/>
            </w:pPr>
            <w:r>
              <w:t>Identify clinical red flags that require urgent workup or biopsy.</w:t>
            </w:r>
          </w:p>
        </w:tc>
      </w:tr>
    </w:tbl>
    <w:p/>
    <w:p>
      <w:pPr>
        <w:pStyle w:val="Heading2"/>
      </w:pPr>
      <w:r>
        <w:t>5.1 Global visual inspection and pattern recognition</w:t>
      </w:r>
    </w:p>
    <w:p>
      <w:r>
        <w:t>The first minute of the consultation provides information that no dermatoscope can replace. Observe part-line width, frontal fringe retention, temporal recession, crown see-through, eyebrow loss, body hair changes, and whether the patient uses camouflage or styling to conceal specific zones.</w:t>
      </w:r>
    </w:p>
    <w:p>
      <w:r>
        <w:t>Pattern recognition should be taught as a disciplined skill. Male patterned loss commonly affects frontotemporal angles, frontal forelock, mid-scalp, and crown, whereas female pattern loss more often presents with widening of the central part, reduced ponytail volume, and variable frontal accentuation. Diffuse thinning with preserved pattern should trigger consideration of telogen effluvium, diffuse alopecia areata, chronic illness, or medication-related loss.</w:t>
      </w:r>
    </w:p>
    <w:p>
      <w:r>
        <w:t>Scalp symptoms matter. Pruritus, pain, burning, perifollicular scale, tenderness, pustulation, and bleeding are not typical primary features of uncomplicated androgenetic alopecia and may indicate inflammatory or cicatricial disease.</w:t>
      </w:r>
    </w:p>
    <w:p>
      <w:pPr>
        <w:pStyle w:val="Heading2"/>
      </w:pPr>
      <w:r>
        <w:t>5.2 Density, calibre, and part-line assessment</w:t>
      </w:r>
    </w:p>
    <w:p>
      <w:r>
        <w:t>Density is not merely the number of visible hairs; it is the combined effect of follicular unit density, hairs per unit, calibre, hair colour contrast, curl, and shaft length. A patient with fine-calibre hair may appear 'thin' despite adequate follicle counts.</w:t>
      </w:r>
    </w:p>
    <w:p>
      <w:r>
        <w:t>Calibre variability is one of the most useful bedside clues to miniaturisation. Mixed terminal and miniaturised hairs in patterned zones support androgenetic alopecia, while uniform-calibre short broken hairs suggest fragility or breakage disorders.</w:t>
      </w:r>
    </w:p>
    <w:p>
      <w:r>
        <w:t>Part-line width should be observed in standard central, left, and right partings. In women, progressive central widening is a practical longitudinal marker of worsening patterned loss.</w:t>
      </w:r>
    </w:p>
    <w:p>
      <w:pPr>
        <w:pStyle w:val="Heading2"/>
      </w:pPr>
      <w:r>
        <w:t>5.3 Scalp examination and inflammatory clues</w:t>
      </w:r>
    </w:p>
    <w:p>
      <w:r>
        <w:t>Examine erythema, perifollicular scale, greasy scale, adherent scale, loss of ostia, tufting, pustules, dyspigmentation, atrophy, and follicular hyperkeratosis. Loss of follicular openings and shiny atrophic skin should immediately raise concern for scarring alopecia.</w:t>
      </w:r>
    </w:p>
    <w:p>
      <w:r>
        <w:t>Do not let dandruff distract from pathology. Diffuse fine white scale may reflect xerosis, seborrhoeic dermatitis, psoriasis, contact dermatitis, or lichen planopilaris; the distribution and associated erythema matter.</w:t>
      </w:r>
    </w:p>
    <w:p>
      <w:r>
        <w:t>In darker skin, erythema may be understated; clinicians must use texture changes, perifollicular keratosis, tenderness, and patient-reported burning to detect active inflammation.</w:t>
      </w:r>
    </w:p>
    <w:p>
      <w:pPr>
        <w:pStyle w:val="Heading2"/>
      </w:pPr>
      <w:r>
        <w:t>5.4 Hair pull test, shed analysis, and breakage logic</w:t>
      </w:r>
    </w:p>
    <w:p>
      <w:r>
        <w:t>The hair pull test is a bedside assessment, not a standalone diagnosis. It is most informative when performed in multiple scalp regions and interpreted with history. A positive pull at the margins of an alopecia areata patch suggests activity; a diffuse positive pull may support telogen effluvium or diffuse immune-mediated shedding.</w:t>
      </w:r>
    </w:p>
    <w:p>
      <w:r>
        <w:t>Patients often confuse shed hair with broken hair. Shed telogen hairs typically show a depigmented club root; broken hairs lack a club and vary in shaft length. This distinction changes the entire differential.</w:t>
      </w:r>
    </w:p>
    <w:p>
      <w:r>
        <w:t>Where useful, review patient-supplied shed hairs or wash-test photographs. They can clarify whether the complaint is excessive shedding, poor regrowth, or reduced density.</w:t>
      </w:r>
    </w:p>
    <w:p>
      <w:pPr>
        <w:pStyle w:val="Heading2"/>
      </w:pPr>
      <w:r>
        <w:t>5.5 Standardised photography and severity grading</w:t>
      </w:r>
    </w:p>
    <w:p>
      <w:r>
        <w:t>Photography is a clinical instrument. Use fixed lighting, camera distance, hairstyle preparation, and reproducible views: frontal, frontal oblique, vertex, crown, lateral views, donor view, and part-line close-ups where relevant.</w:t>
      </w:r>
    </w:p>
    <w:p>
      <w:r>
        <w:t>Severity scales are useful when combined with clinical narrative. Norwood-Hamilton staging supports male pattern documentation; Ludwig, Sinclair, and Olsen descriptors support female documentation. Scales should not replace nuanced phenotype description.</w:t>
      </w:r>
    </w:p>
    <w:p>
      <w:r>
        <w:t>Pre-treatment photography is essential before medical, regenerative, or surgical intervention. It supports counselling, objective follow-up, and medicolegal defensibility.</w:t>
      </w:r>
    </w:p>
    <w:tbl>
      <w:tblPr>
        <w:tblW w:type="auto" w:w="0"/>
        <w:jc w:val="center"/>
        <w:tblLook w:firstColumn="1" w:firstRow="1" w:lastColumn="0" w:lastRow="0" w:noHBand="0" w:noVBand="1" w:val="04A0"/>
      </w:tblPr>
      <w:tblGrid>
        <w:gridCol w:w="10313"/>
      </w:tblGrid>
      <w:tr>
        <w:tc>
          <w:tcPr>
            <w:tcW w:type="dxa" w:w="10313"/>
            <w:shd w:fill="F3F7EE"/>
            <w:vAlign w:val="center"/>
          </w:tcPr>
          <w:p>
            <w:r>
              <w:rPr>
                <w:b/>
                <w:color w:val="1F3A5F"/>
              </w:rPr>
              <w:t>Clinical pearls</w:t>
            </w:r>
          </w:p>
          <w:p>
            <w:pPr>
              <w:pStyle w:val="ListBullet"/>
            </w:pPr>
            <w:r>
              <w:t>Always distinguish density loss from reduced calibre; the patient experiences both as ‘thinning’ but they behave differently clinically.</w:t>
            </w:r>
          </w:p>
          <w:p>
            <w:pPr>
              <w:pStyle w:val="ListBullet"/>
            </w:pPr>
            <w:r>
              <w:t>Symptoms such as burning, tenderness, or pustulation are not explained by uncomplicated pattern hair loss.</w:t>
            </w:r>
          </w:p>
          <w:p>
            <w:pPr>
              <w:pStyle w:val="ListBullet"/>
            </w:pPr>
            <w:r>
              <w:t>A careful baseline photo set is one of the most valuable interventions in long-term management.</w:t>
            </w:r>
          </w:p>
        </w:tc>
      </w:tr>
    </w:tbl>
    <w:p/>
    <w:tbl>
      <w:tblPr>
        <w:tblW w:type="auto" w:w="0"/>
        <w:jc w:val="center"/>
        <w:tblLook w:firstColumn="1" w:firstRow="1" w:lastColumn="0" w:lastRow="0" w:noHBand="0" w:noVBand="1" w:val="04A0"/>
      </w:tblPr>
      <w:tblGrid>
        <w:gridCol w:w="10313"/>
      </w:tblGrid>
      <w:tr>
        <w:tc>
          <w:tcPr>
            <w:tcW w:type="dxa" w:w="10313"/>
            <w:shd w:fill="FBE5D6"/>
            <w:vAlign w:val="center"/>
          </w:tcPr>
          <w:p>
            <w:r>
              <w:rPr>
                <w:b/>
                <w:color w:val="1F3A5F"/>
              </w:rPr>
              <w:t>Red flags</w:t>
            </w:r>
          </w:p>
          <w:p>
            <w:pPr>
              <w:pStyle w:val="ListBullet"/>
            </w:pPr>
            <w:r>
              <w:t>Rapid progression over weeks or a few months without a plausible trigger.</w:t>
            </w:r>
          </w:p>
          <w:p>
            <w:pPr>
              <w:pStyle w:val="ListBullet"/>
            </w:pPr>
            <w:r>
              <w:t>Loss of follicular ostia, scalp pain, perifollicular scale, or pustules.</w:t>
            </w:r>
          </w:p>
          <w:p>
            <w:pPr>
              <w:pStyle w:val="ListBullet"/>
            </w:pPr>
            <w:r>
              <w:t>Patchy eyebrow loss, body hair loss, or scalp dyspigmentation.</w:t>
            </w:r>
          </w:p>
          <w:p>
            <w:pPr>
              <w:pStyle w:val="ListBullet"/>
            </w:pPr>
            <w:r>
              <w:t>Marked diffuse shedding in a patient with systemic symptoms, weight loss, or menstrual disturbance.</w:t>
            </w:r>
          </w:p>
        </w:tc>
      </w:tr>
    </w:tbl>
    <w:p/>
    <w:tbl>
      <w:tblPr>
        <w:tblW w:type="auto" w:w="0"/>
        <w:jc w:val="center"/>
        <w:tblLook w:firstColumn="1" w:firstRow="1" w:lastColumn="0" w:lastRow="0" w:noHBand="0" w:noVBand="1" w:val="04A0"/>
      </w:tblPr>
      <w:tblGrid>
        <w:gridCol w:w="10313"/>
      </w:tblGrid>
      <w:tr>
        <w:tc>
          <w:tcPr>
            <w:tcW w:type="dxa" w:w="10313"/>
            <w:shd w:fill="EDE7F6"/>
            <w:vAlign w:val="center"/>
          </w:tcPr>
          <w:p>
            <w:r>
              <w:rPr>
                <w:b/>
                <w:color w:val="1F3A5F"/>
              </w:rPr>
              <w:t>End-of-module assessment prompts</w:t>
            </w:r>
          </w:p>
          <w:p>
            <w:pPr>
              <w:pStyle w:val="ListBullet"/>
            </w:pPr>
            <w:r>
              <w:t>Describe a standard eight-view photography protocol for patterned hair loss.</w:t>
            </w:r>
          </w:p>
          <w:p>
            <w:pPr>
              <w:pStyle w:val="ListBullet"/>
            </w:pPr>
            <w:r>
              <w:t>List bedside findings that favour miniaturisation rather than telogen shedding.</w:t>
            </w:r>
          </w:p>
          <w:p>
            <w:pPr>
              <w:pStyle w:val="ListBullet"/>
            </w:pPr>
            <w:r>
              <w:t>Explain when a positive hair pull test is clinically meaningful.</w:t>
            </w:r>
          </w:p>
        </w:tc>
      </w:tr>
    </w:tbl>
    <w:p/>
    <w:p>
      <w:r>
        <w:br w:type="page"/>
      </w:r>
    </w:p>
    <w:p>
      <w:pPr>
        <w:pStyle w:val="Heading1"/>
      </w:pPr>
      <w:r>
        <w:t>Module 6. Trichoscopy: Foundations to Advanced Interpretation</w:t>
      </w:r>
    </w:p>
    <w:p>
      <w:r>
        <w:t>Trichoscopy should be treated as a diagnostic language rather than a gadget. It improves confidence, supports early diagnosis, guides biopsy site selection, and refines follow-up. In a physician-level curriculum, learners should understand which findings are high-yield, which are supportive rather than diagnostic, and how trichoscopy changes management.</w:t>
      </w:r>
    </w:p>
    <w:tbl>
      <w:tblPr>
        <w:tblW w:type="auto" w:w="0"/>
        <w:jc w:val="center"/>
        <w:tblLook w:firstColumn="1" w:firstRow="1" w:lastColumn="0" w:lastRow="0" w:noHBand="0" w:noVBand="1" w:val="04A0"/>
      </w:tblPr>
      <w:tblGrid>
        <w:gridCol w:w="10313"/>
      </w:tblGrid>
      <w:tr>
        <w:tc>
          <w:tcPr>
            <w:tcW w:type="dxa" w:w="10313"/>
            <w:shd w:fill="EEF4FB"/>
            <w:vAlign w:val="center"/>
          </w:tcPr>
          <w:p>
            <w:r>
              <w:rPr>
                <w:b/>
                <w:color w:val="1F3A5F"/>
              </w:rPr>
              <w:t>Learning objectives</w:t>
            </w:r>
          </w:p>
          <w:p>
            <w:pPr>
              <w:pStyle w:val="ListBullet"/>
            </w:pPr>
            <w:r>
              <w:t>Use dry and wet trichoscopy appropriately across hair and scalp disorders.</w:t>
            </w:r>
          </w:p>
          <w:p>
            <w:pPr>
              <w:pStyle w:val="ListBullet"/>
            </w:pPr>
            <w:r>
              <w:t>Recognise trichoscopic patterns associated with male and female pattern hair loss.</w:t>
            </w:r>
          </w:p>
          <w:p>
            <w:pPr>
              <w:pStyle w:val="ListBullet"/>
            </w:pPr>
            <w:r>
              <w:t>Identify key signs of alopecia areata, inflammatory scalp disease, and cicatricial alopecias.</w:t>
            </w:r>
          </w:p>
          <w:p>
            <w:pPr>
              <w:pStyle w:val="ListBullet"/>
            </w:pPr>
            <w:r>
              <w:t>Use trichoscopy to select the most informative biopsy site.</w:t>
            </w:r>
          </w:p>
        </w:tc>
      </w:tr>
    </w:tbl>
    <w:p/>
    <w:p>
      <w:pPr>
        <w:pStyle w:val="Heading2"/>
      </w:pPr>
      <w:r>
        <w:t>6.1 Equipment, magnification, and examination technique</w:t>
      </w:r>
    </w:p>
    <w:p>
      <w:r>
        <w:t>Different magnifications answer different questions. Lower magnification assists global pattern and perifollicular mapping; higher magnification supports shaft and follicular detail. Dry trichoscopy is useful for scale and shaft disorders; interface fluid may help reduce light scatter and improve vascular and follicular detail.</w:t>
      </w:r>
    </w:p>
    <w:p>
      <w:r>
        <w:t>Standardisation matters. Examine frontal, mid-scalp, crown, occipital scalp, and any symptomatic zones. The occipital scalp is not merely a donor area; it is your internal control site in many pattern loss consultations.</w:t>
      </w:r>
    </w:p>
    <w:p>
      <w:pPr>
        <w:pStyle w:val="Heading2"/>
      </w:pPr>
      <w:r>
        <w:t>6.2 Normal trichoscopic background</w:t>
      </w:r>
    </w:p>
    <w:p>
      <w:r>
        <w:t>Before learning disease, doctors must learn the normal range: follicular units containing one to four hairs, interfollicular pigment network, occasional empty follicles after natural cycling, and expected variation by scalp site and ethnicity.</w:t>
      </w:r>
    </w:p>
    <w:p>
      <w:r>
        <w:t>Normal findings vary with hair curl pattern, pigmentation, cosmetic treatments, and age. Overcalling pathology from normal heterogeneity is a common novice error.</w:t>
      </w:r>
    </w:p>
    <w:p>
      <w:pPr>
        <w:pStyle w:val="Heading2"/>
      </w:pPr>
      <w:r>
        <w:t>6.3 Pattern hair loss under trichoscopy</w:t>
      </w:r>
    </w:p>
    <w:p>
      <w:r>
        <w:t>Pattern hair loss is supported by increased hair shaft diameter diversity, a rising proportion of thin and vellus-like hairs in affected zones, reduced average hairs per follicular unit, and perifollicular brown discolouration or peripilar sign in some patients.</w:t>
      </w:r>
    </w:p>
    <w:p>
      <w:r>
        <w:t>In women, frontal and midline comparison with occipital scalp is often more informative than searching for a single pathognomonic sign. In men, frontotemporal and frontal forelock zones usually show the most obvious heterogeneity early.</w:t>
      </w:r>
    </w:p>
    <w:p>
      <w:r>
        <w:t>Trichoscopy can detect patterned miniaturisation before gross alopecia is visually dramatic. This is one reason it is regarded as essential in current expert consensus for pattern hair loss assessment.</w:t>
      </w:r>
    </w:p>
    <w:p>
      <w:pPr>
        <w:pStyle w:val="Heading2"/>
      </w:pPr>
      <w:r>
        <w:t>6.4 Telogen effluvium and diffuse shedding patterns</w:t>
      </w:r>
    </w:p>
    <w:p>
      <w:r>
        <w:t>Acute telogen effluvium often shows relative preservation of shaft diversity compared with androgenetic alopecia. Numerous short regrowing hairs may appear during recovery, but these do not necessarily indicate miniaturisation.</w:t>
      </w:r>
    </w:p>
    <w:p>
      <w:r>
        <w:t>When diffuse shedding coexists with pattern hair loss, the occipital control area and a careful history become particularly important. Mixed disorders are common and trichoscopy should be interpreted alongside time course and labs.</w:t>
      </w:r>
    </w:p>
    <w:p>
      <w:pPr>
        <w:pStyle w:val="Heading2"/>
      </w:pPr>
      <w:r>
        <w:t>6.5 Alopecia areata and immune-mediated clues</w:t>
      </w:r>
    </w:p>
    <w:p>
      <w:r>
        <w:t>Yellow dots, black dots, broken hairs, exclamation mark hairs, tapered hairs, and regrowing upright hairs support alopecia areata when the clinical setting fits. No single sign should be read in isolation.</w:t>
      </w:r>
    </w:p>
    <w:p>
      <w:r>
        <w:t>Diffuse alopecia areata can mimic telogen effluvium or diffuse patterned loss. In these cases, trichoscopy may be the difference between reassurance and a correct immune-mediated diagnosis.</w:t>
      </w:r>
    </w:p>
    <w:p>
      <w:pPr>
        <w:pStyle w:val="Heading2"/>
      </w:pPr>
      <w:r>
        <w:t>6.6 Scarring alopecia trichoscopy and biopsy targeting</w:t>
      </w:r>
    </w:p>
    <w:p>
      <w:r>
        <w:t>Loss of follicular openings, perifollicular scale or casts, perifollicular erythema, white structureless areas, tufting, and pustulation can indicate cicatricial alopecia or destructive folliculitis. The most informative biopsy site is usually the active advancing margin rather than the burned-out centre.</w:t>
      </w:r>
    </w:p>
    <w:p>
      <w:r>
        <w:t>Trichoscopy is not a substitute for histology in suspected scarring disease, but it is extremely valuable in directing where and when to biopsy.</w:t>
      </w:r>
    </w:p>
    <w:p>
      <w:pPr>
        <w:pStyle w:val="Heading2"/>
      </w:pPr>
      <w:r>
        <w:t>6.7 Reporting standards and longitudinal follow-up</w:t>
      </w:r>
    </w:p>
    <w:p>
      <w:r>
        <w:t>A clinical report should state site examined, magnification method, comparison zones, and the key findings that changed or supported management. Avoid overlong descriptive dumps without interpretation.</w:t>
      </w:r>
    </w:p>
    <w:p>
      <w:r>
        <w:t>Longitudinal follow-up benefits from repeat imaging at the same sites. This supports a trichoscopic atlas approach within the academy and online platform.</w:t>
      </w:r>
    </w:p>
    <w:tbl>
      <w:tblPr>
        <w:tblW w:type="auto" w:w="0"/>
        <w:jc w:val="center"/>
        <w:tblLook w:firstColumn="1" w:firstRow="1" w:lastColumn="0" w:lastRow="0" w:noHBand="0" w:noVBand="1" w:val="04A0"/>
      </w:tblPr>
      <w:tblGrid>
        <w:gridCol w:w="10313"/>
      </w:tblGrid>
      <w:tr>
        <w:tc>
          <w:tcPr>
            <w:tcW w:type="dxa" w:w="10313"/>
            <w:shd w:fill="F3F7EE"/>
            <w:vAlign w:val="center"/>
          </w:tcPr>
          <w:p>
            <w:r>
              <w:rPr>
                <w:b/>
                <w:color w:val="1F3A5F"/>
              </w:rPr>
              <w:t>Clinical pearls</w:t>
            </w:r>
          </w:p>
          <w:p>
            <w:pPr>
              <w:pStyle w:val="ListBullet"/>
            </w:pPr>
            <w:r>
              <w:t>Trichoscopy is most powerful when used comparatively: affected zone versus control zone.</w:t>
            </w:r>
          </w:p>
          <w:p>
            <w:pPr>
              <w:pStyle w:val="ListBullet"/>
            </w:pPr>
            <w:r>
              <w:t>Early pattern hair loss can be clinically subtle but trichoscopically obvious.</w:t>
            </w:r>
          </w:p>
          <w:p>
            <w:pPr>
              <w:pStyle w:val="ListBullet"/>
            </w:pPr>
            <w:r>
              <w:t>The best biopsy site is often identified trichoscopically, not by naked-eye inspection alone.</w:t>
            </w:r>
          </w:p>
        </w:tc>
      </w:tr>
    </w:tbl>
    <w:p/>
    <w:tbl>
      <w:tblPr>
        <w:tblW w:type="auto" w:w="0"/>
        <w:jc w:val="center"/>
        <w:tblLook w:firstColumn="1" w:firstRow="1" w:lastColumn="0" w:lastRow="0" w:noHBand="0" w:noVBand="1" w:val="04A0"/>
      </w:tblPr>
      <w:tblGrid>
        <w:gridCol w:w="10313"/>
      </w:tblGrid>
      <w:tr>
        <w:tc>
          <w:tcPr>
            <w:tcW w:type="dxa" w:w="10313"/>
            <w:shd w:fill="FBE5D6"/>
            <w:vAlign w:val="center"/>
          </w:tcPr>
          <w:p>
            <w:r>
              <w:rPr>
                <w:b/>
                <w:color w:val="1F3A5F"/>
              </w:rPr>
              <w:t>Red flags</w:t>
            </w:r>
          </w:p>
          <w:p>
            <w:pPr>
              <w:pStyle w:val="ListBullet"/>
            </w:pPr>
            <w:r>
              <w:t>Loss of ostia with symptoms such as burning or tenderness.</w:t>
            </w:r>
          </w:p>
          <w:p>
            <w:pPr>
              <w:pStyle w:val="ListBullet"/>
            </w:pPr>
            <w:r>
              <w:t>Tufting, pustules, perifollicular casts, or diffuse white scar-like areas.</w:t>
            </w:r>
          </w:p>
          <w:p>
            <w:pPr>
              <w:pStyle w:val="ListBullet"/>
            </w:pPr>
            <w:r>
              <w:t>Diffuse shedding with trichoscopic immune-mediated clues rather than simple regrowth.</w:t>
            </w:r>
          </w:p>
        </w:tc>
      </w:tr>
    </w:tbl>
    <w:p/>
    <w:tbl>
      <w:tblPr>
        <w:tblW w:type="auto" w:w="0"/>
        <w:jc w:val="center"/>
        <w:tblLook w:firstColumn="1" w:firstRow="1" w:lastColumn="0" w:lastRow="0" w:noHBand="0" w:noVBand="1" w:val="04A0"/>
      </w:tblPr>
      <w:tblGrid>
        <w:gridCol w:w="10313"/>
      </w:tblGrid>
      <w:tr>
        <w:tc>
          <w:tcPr>
            <w:tcW w:type="dxa" w:w="10313"/>
            <w:shd w:fill="EDE7F6"/>
            <w:vAlign w:val="center"/>
          </w:tcPr>
          <w:p>
            <w:r>
              <w:rPr>
                <w:b/>
                <w:color w:val="1F3A5F"/>
              </w:rPr>
              <w:t>End-of-module assessment prompts</w:t>
            </w:r>
          </w:p>
          <w:p>
            <w:pPr>
              <w:pStyle w:val="ListBullet"/>
            </w:pPr>
            <w:r>
              <w:t>List trichoscopic findings that support androgenetic alopecia.</w:t>
            </w:r>
          </w:p>
          <w:p>
            <w:pPr>
              <w:pStyle w:val="ListBullet"/>
            </w:pPr>
            <w:r>
              <w:t>Explain how dry and wet trichoscopy differ in practice.</w:t>
            </w:r>
          </w:p>
          <w:p>
            <w:pPr>
              <w:pStyle w:val="ListBullet"/>
            </w:pPr>
            <w:r>
              <w:t>Describe how trichoscopy helps select a biopsy site in suspected scarring alopecia.</w:t>
            </w:r>
          </w:p>
        </w:tc>
      </w:tr>
    </w:tbl>
    <w:p/>
    <w:p>
      <w:r>
        <w:br w:type="page"/>
      </w:r>
    </w:p>
    <w:p>
      <w:pPr>
        <w:pStyle w:val="Heading1"/>
      </w:pPr>
      <w:r>
        <w:t>Module 7. Laboratory Investigations, Endocrine Workup, and Biopsy Logic</w:t>
      </w:r>
    </w:p>
    <w:p>
      <w:r>
        <w:t>Doctors should not order indiscriminate hair-loss blood panels, but neither should they under-investigate patients with diffuse shedding, menstrual disturbance, hyperandrogenic clues, nutritional risk, autoimmune history, or inflammatory disease. The best workup is phenotype-led and hypothesis-driven.</w:t>
      </w:r>
    </w:p>
    <w:tbl>
      <w:tblPr>
        <w:tblW w:type="auto" w:w="0"/>
        <w:jc w:val="center"/>
        <w:tblLook w:firstColumn="1" w:firstRow="1" w:lastColumn="0" w:lastRow="0" w:noHBand="0" w:noVBand="1" w:val="04A0"/>
      </w:tblPr>
      <w:tblGrid>
        <w:gridCol w:w="10313"/>
      </w:tblGrid>
      <w:tr>
        <w:tc>
          <w:tcPr>
            <w:tcW w:type="dxa" w:w="10313"/>
            <w:shd w:fill="EEF4FB"/>
            <w:vAlign w:val="center"/>
          </w:tcPr>
          <w:p>
            <w:r>
              <w:rPr>
                <w:b/>
                <w:color w:val="1F3A5F"/>
              </w:rPr>
              <w:t>Learning objectives</w:t>
            </w:r>
          </w:p>
          <w:p>
            <w:pPr>
              <w:pStyle w:val="ListBullet"/>
            </w:pPr>
            <w:r>
              <w:t>Select laboratory investigations based on phenotype, history, and differential diagnosis.</w:t>
            </w:r>
          </w:p>
          <w:p>
            <w:pPr>
              <w:pStyle w:val="ListBullet"/>
            </w:pPr>
            <w:r>
              <w:t>Interpret common blood markers in the context of shedding and patterned loss.</w:t>
            </w:r>
          </w:p>
          <w:p>
            <w:pPr>
              <w:pStyle w:val="ListBullet"/>
            </w:pPr>
            <w:r>
              <w:t>Know when biopsy is indicated and how to select the site.</w:t>
            </w:r>
          </w:p>
          <w:p>
            <w:pPr>
              <w:pStyle w:val="ListBullet"/>
            </w:pPr>
            <w:r>
              <w:t>Integrate laboratory and histologic data with clinical and trichoscopic findings.</w:t>
            </w:r>
          </w:p>
        </w:tc>
      </w:tr>
    </w:tbl>
    <w:p/>
    <w:p>
      <w:pPr>
        <w:pStyle w:val="Heading2"/>
      </w:pPr>
      <w:r>
        <w:t>7.1 Principles of a phenotype-led workup</w:t>
      </w:r>
    </w:p>
    <w:p>
      <w:r>
        <w:t>Not every patient with hair loss needs the same tests. Classic male patterned loss with a strong family history and no systemic symptoms can often be diagnosed clinically. By contrast, diffuse shedding, menstrual irregularity, hirsutism, acne, severe fatigue, major dietary restriction, or autoimmune features justify targeted laboratory assessment.</w:t>
      </w:r>
    </w:p>
    <w:p>
      <w:r>
        <w:t>A common error is to over-medicalise straightforward pattern hair loss in one patient and miss endocrine or inflammatory drivers in another. The physician must learn proportionate investigation.</w:t>
      </w:r>
    </w:p>
    <w:p>
      <w:pPr>
        <w:pStyle w:val="Heading2"/>
      </w:pPr>
      <w:r>
        <w:t>7.2 Core laboratory markers in diffuse shedding and female hair loss</w:t>
      </w:r>
    </w:p>
    <w:p>
      <w:r>
        <w:t>Common core tests in appropriate patients include full blood count, ferritin and iron studies, thyroid function, vitamin D where deficiency risk is present, B12/folate in selected contexts, and inflammatory markers when systemic disease is suspected.</w:t>
      </w:r>
    </w:p>
    <w:p>
      <w:r>
        <w:t>Ferritin should not be interpreted in isolation from clinical context and the rest of the iron panel. Inflammation can distort ferritin; menstrual history and dietary adequacy matter.</w:t>
      </w:r>
    </w:p>
    <w:p>
      <w:r>
        <w:t>Thyroid dysfunction can present with shedding, texture change, and eyebrow loss. Mild biochemical abnormalities require correlation with symptoms and general medical care.</w:t>
      </w:r>
    </w:p>
    <w:p>
      <w:pPr>
        <w:pStyle w:val="Heading2"/>
      </w:pPr>
      <w:r>
        <w:t>7.3 Hyperandrogenism and endocrine assessment in women</w:t>
      </w:r>
    </w:p>
    <w:p>
      <w:r>
        <w:t>Women with FPHL do not all need an androgen panel. Testing is most useful where there are signs of hyperandrogenism or endocrine disturbance: irregular cycles, infertility, severe acne, hirsutism, obesity with insulin resistance, or rapid severe onset.</w:t>
      </w:r>
    </w:p>
    <w:p>
      <w:r>
        <w:t>Possible investigations may include total/free testosterone or calculated equivalents, sex hormone binding globulin, DHEAS, prolactin, LH/FSH where relevant, and metabolic screening. These should be interpreted in the broader endocrine picture, not as isolated cosmetic values.</w:t>
      </w:r>
    </w:p>
    <w:p>
      <w:pPr>
        <w:pStyle w:val="Heading2"/>
      </w:pPr>
      <w:r>
        <w:t>7.4 Additional investigations and system review</w:t>
      </w:r>
    </w:p>
    <w:p>
      <w:r>
        <w:t>Autoimmune screening may be appropriate in diffuse or patchy loss with a relevant history. Syphilis, nutritional deficiency, and medication-related loss remain part of real-world differentials. In men, systemic workup should also be guided by phenotype rather than reflexive overtesting.</w:t>
      </w:r>
    </w:p>
    <w:p>
      <w:r>
        <w:t>Laboratory workup is only as good as the accompanying history. Hair loss can be the visible endpoint of childbirth, surgery, severe illness, restrictive dieting, thyroid disease, inflammatory bowel disease, or chronic stress.</w:t>
      </w:r>
    </w:p>
    <w:p>
      <w:pPr>
        <w:pStyle w:val="Heading2"/>
      </w:pPr>
      <w:r>
        <w:t>7.5 Biopsy indications</w:t>
      </w:r>
    </w:p>
    <w:p>
      <w:r>
        <w:t>Biopsy becomes important when there is diagnostic uncertainty, concern for cicatricial alopecia, overlap inflammatory disease, disproportionate symptoms, atypical diffuse loss, or failure of a reasonable empiric plan.</w:t>
      </w:r>
    </w:p>
    <w:p>
      <w:r>
        <w:t>Pattern hair loss alone does not usually need biopsy when clinicotrichoscopic evidence is strong. However, biopsy can be helpful in women with mixed presentations, suspected diffuse alopecia areata, or possible scarring disease masquerading as pattern loss.</w:t>
      </w:r>
    </w:p>
    <w:p>
      <w:pPr>
        <w:pStyle w:val="Heading2"/>
      </w:pPr>
      <w:r>
        <w:t>7.6 Biopsy site selection and pathology communication</w:t>
      </w:r>
    </w:p>
    <w:p>
      <w:r>
        <w:t>A poor biopsy can waste the opportunity for diagnosis. The ideal site is active but not fully destroyed: an advancing symptomatic margin with perifollicular change rather than a slick end-stage scar centre.</w:t>
      </w:r>
    </w:p>
    <w:p>
      <w:r>
        <w:t>Clinical information should accompany the specimen: time course, symptoms, differential diagnosis, trichoscopic findings, treatment already used, and whether horizontal or vertical sections are preferred locally. Clinicopathological dialogue increases diagnostic yield.</w:t>
      </w:r>
    </w:p>
    <w:p>
      <w:pPr>
        <w:pStyle w:val="Heading2"/>
      </w:pPr>
      <w:r>
        <w:t>7.7 Horizontal versus vertical sections and clinicopathological correlation</w:t>
      </w:r>
    </w:p>
    <w:p>
      <w:r>
        <w:t>Horizontal sections are particularly valuable in quantitative assessment of follicle number, miniaturisation, and terminal-to-vellus relationships. Vertical sections can be useful for interface change, perifollicular inflammation, and deeper anatomic relationships. Local pathology expertise and protocol matter.</w:t>
      </w:r>
    </w:p>
    <w:p>
      <w:r>
        <w:t>Histology does not exist in a vacuum. A good physician does not ask, 'What did the biopsy say?' but 'How do the biopsy, symptoms, scalp signs, and trichoscopy fit together?'</w:t>
      </w:r>
    </w:p>
    <w:tbl>
      <w:tblPr>
        <w:tblW w:type="auto" w:w="0"/>
        <w:jc w:val="center"/>
        <w:tblLook w:firstColumn="1" w:firstRow="1" w:lastColumn="0" w:lastRow="0" w:noHBand="0" w:noVBand="1" w:val="04A0"/>
      </w:tblPr>
      <w:tblGrid>
        <w:gridCol w:w="10313"/>
      </w:tblGrid>
      <w:tr>
        <w:tc>
          <w:tcPr>
            <w:tcW w:type="dxa" w:w="10313"/>
            <w:shd w:fill="F3F7EE"/>
            <w:vAlign w:val="center"/>
          </w:tcPr>
          <w:p>
            <w:r>
              <w:rPr>
                <w:b/>
                <w:color w:val="1F3A5F"/>
              </w:rPr>
              <w:t>Clinical pearls</w:t>
            </w:r>
          </w:p>
          <w:p>
            <w:pPr>
              <w:pStyle w:val="ListBullet"/>
            </w:pPr>
            <w:r>
              <w:t>Investigation should follow phenotype, not habit.</w:t>
            </w:r>
          </w:p>
          <w:p>
            <w:pPr>
              <w:pStyle w:val="ListBullet"/>
            </w:pPr>
            <w:r>
              <w:t>Most biopsy failures are site-selection failures rather than pathology failures.</w:t>
            </w:r>
          </w:p>
          <w:p>
            <w:pPr>
              <w:pStyle w:val="ListBullet"/>
            </w:pPr>
            <w:r>
              <w:t>Clinical notes sent with the biopsy materially improve histologic interpretation.</w:t>
            </w:r>
          </w:p>
        </w:tc>
      </w:tr>
    </w:tbl>
    <w:p/>
    <w:tbl>
      <w:tblPr>
        <w:tblW w:type="auto" w:w="0"/>
        <w:jc w:val="center"/>
        <w:tblLook w:firstColumn="1" w:firstRow="1" w:lastColumn="0" w:lastRow="0" w:noHBand="0" w:noVBand="1" w:val="04A0"/>
      </w:tblPr>
      <w:tblGrid>
        <w:gridCol w:w="10313"/>
      </w:tblGrid>
      <w:tr>
        <w:tc>
          <w:tcPr>
            <w:tcW w:type="dxa" w:w="10313"/>
            <w:shd w:fill="FBE5D6"/>
            <w:vAlign w:val="center"/>
          </w:tcPr>
          <w:p>
            <w:r>
              <w:rPr>
                <w:b/>
                <w:color w:val="1F3A5F"/>
              </w:rPr>
              <w:t>Red flags</w:t>
            </w:r>
          </w:p>
          <w:p>
            <w:pPr>
              <w:pStyle w:val="ListBullet"/>
            </w:pPr>
            <w:r>
              <w:t>Diffuse loss with constitutional symptoms or marked fatigue.</w:t>
            </w:r>
          </w:p>
          <w:p>
            <w:pPr>
              <w:pStyle w:val="ListBullet"/>
            </w:pPr>
            <w:r>
              <w:t>Menstrual disturbance, infertility, or overt hyperandrogenic signs in women.</w:t>
            </w:r>
          </w:p>
          <w:p>
            <w:pPr>
              <w:pStyle w:val="ListBullet"/>
            </w:pPr>
            <w:r>
              <w:t>Painful scalp, perifollicular change, or loss of ostia suggesting cicatricial disease.</w:t>
            </w:r>
          </w:p>
          <w:p>
            <w:pPr>
              <w:pStyle w:val="ListBullet"/>
            </w:pPr>
            <w:r>
              <w:t>Failure of a seemingly straightforward diagnosis to behave as expected.</w:t>
            </w:r>
          </w:p>
        </w:tc>
      </w:tr>
    </w:tbl>
    <w:p/>
    <w:tbl>
      <w:tblPr>
        <w:tblW w:type="auto" w:w="0"/>
        <w:jc w:val="center"/>
        <w:tblLook w:firstColumn="1" w:firstRow="1" w:lastColumn="0" w:lastRow="0" w:noHBand="0" w:noVBand="1" w:val="04A0"/>
      </w:tblPr>
      <w:tblGrid>
        <w:gridCol w:w="10313"/>
      </w:tblGrid>
      <w:tr>
        <w:tc>
          <w:tcPr>
            <w:tcW w:type="dxa" w:w="10313"/>
            <w:shd w:fill="EDE7F6"/>
            <w:vAlign w:val="center"/>
          </w:tcPr>
          <w:p>
            <w:r>
              <w:rPr>
                <w:b/>
                <w:color w:val="1F3A5F"/>
              </w:rPr>
              <w:t>End-of-module assessment prompts</w:t>
            </w:r>
          </w:p>
          <w:p>
            <w:pPr>
              <w:pStyle w:val="ListBullet"/>
            </w:pPr>
            <w:r>
              <w:t>Outline a targeted first-line workup for diffuse shedding in a reproductive-age woman.</w:t>
            </w:r>
          </w:p>
          <w:p>
            <w:pPr>
              <w:pStyle w:val="ListBullet"/>
            </w:pPr>
            <w:r>
              <w:t>List the features that should make you consider biopsy.</w:t>
            </w:r>
          </w:p>
          <w:p>
            <w:pPr>
              <w:pStyle w:val="ListBullet"/>
            </w:pPr>
            <w:r>
              <w:t>Explain why the centre of a scarred patch is often the wrong biopsy site.</w:t>
            </w:r>
          </w:p>
        </w:tc>
      </w:tr>
    </w:tbl>
    <w:p/>
    <w:p>
      <w:r>
        <w:br w:type="page"/>
      </w:r>
    </w:p>
    <w:p>
      <w:pPr>
        <w:pStyle w:val="Heading1"/>
      </w:pPr>
      <w:r>
        <w:t>Module 8. Androgenetic Alopecia in Males</w:t>
      </w:r>
    </w:p>
    <w:p>
      <w:r>
        <w:t>Male androgenetic alopecia is common, but managing it well is not trivial. The skilled physician does more than diagnose Norwood stage; they estimate future pattern evolution, identify aggravating shedding, assess donor stability, discuss medical and surgical timing, and frame treatment as a long-term disease-management partnership.</w:t>
      </w:r>
    </w:p>
    <w:tbl>
      <w:tblPr>
        <w:tblW w:type="auto" w:w="0"/>
        <w:jc w:val="center"/>
        <w:tblLook w:firstColumn="1" w:firstRow="1" w:lastColumn="0" w:lastRow="0" w:noHBand="0" w:noVBand="1" w:val="04A0"/>
      </w:tblPr>
      <w:tblGrid>
        <w:gridCol w:w="10313"/>
      </w:tblGrid>
      <w:tr>
        <w:tc>
          <w:tcPr>
            <w:tcW w:type="dxa" w:w="10313"/>
            <w:shd w:fill="EEF4FB"/>
            <w:vAlign w:val="center"/>
          </w:tcPr>
          <w:p>
            <w:r>
              <w:rPr>
                <w:b/>
                <w:color w:val="1F3A5F"/>
              </w:rPr>
              <w:t>Learning objectives</w:t>
            </w:r>
          </w:p>
          <w:p>
            <w:pPr>
              <w:pStyle w:val="ListBullet"/>
            </w:pPr>
            <w:r>
              <w:t>Diagnose and stage male pattern hair loss using clinical and trichoscopic findings.</w:t>
            </w:r>
          </w:p>
          <w:p>
            <w:pPr>
              <w:pStyle w:val="ListBullet"/>
            </w:pPr>
            <w:r>
              <w:t>Differentiate uncomplicated male AGA from common mimics and overlap disorders.</w:t>
            </w:r>
          </w:p>
          <w:p>
            <w:pPr>
              <w:pStyle w:val="ListBullet"/>
            </w:pPr>
            <w:r>
              <w:t>Construct evidence-based medical and regenerative treatment plans.</w:t>
            </w:r>
          </w:p>
          <w:p>
            <w:pPr>
              <w:pStyle w:val="ListBullet"/>
            </w:pPr>
            <w:r>
              <w:t>Assess surgical candidacy and long-range progression risk.</w:t>
            </w:r>
          </w:p>
        </w:tc>
      </w:tr>
    </w:tbl>
    <w:p/>
    <w:p>
      <w:pPr>
        <w:pStyle w:val="Heading2"/>
      </w:pPr>
      <w:r>
        <w:t>8.1 Epidemiology, genetics, and age-linked activation</w:t>
      </w:r>
    </w:p>
    <w:p>
      <w:r>
        <w:t>Male AGA is a genetically influenced androgen-dependent miniaturisation process. Susceptible follicles do not all miniaturise at the same age; this helps explain why a man may have a strong family history yet maintain density until a biologically programmed period of activation.</w:t>
      </w:r>
    </w:p>
    <w:p>
      <w:r>
        <w:t>The physician should explain to patients that genes create susceptibility, while the timing and tempo of expression vary. This helps move the conversation away from simplistic blame narratives around shampoo, hats, or short-term stressors.</w:t>
      </w:r>
    </w:p>
    <w:p>
      <w:pPr>
        <w:pStyle w:val="Heading2"/>
      </w:pPr>
      <w:r>
        <w:t>8.2 Clinical phenotype and staging</w:t>
      </w:r>
    </w:p>
    <w:p>
      <w:r>
        <w:t>Frontotemporal recession, frontal forelock thinning, mid-scalp see-through, and crown involvement develop in different sequences across patients. Norwood-Hamilton staging is useful, but the clinician must also describe quality of donor, calibre, hair colour contrast, and whether diffuse patterned thinning is present.</w:t>
      </w:r>
    </w:p>
    <w:p>
      <w:r>
        <w:t>Young patients with aggressive bitemporal change and diffuse frontal miniaturisation require long-view planning rather than reactive hairline restoration alone.</w:t>
      </w:r>
    </w:p>
    <w:p>
      <w:pPr>
        <w:pStyle w:val="Heading2"/>
      </w:pPr>
      <w:r>
        <w:t>8.3 Trichoscopy and differential diagnosis</w:t>
      </w:r>
    </w:p>
    <w:p>
      <w:r>
        <w:t>Trichoscopy typically shows anisotrichosis, a higher proportion of fine/vellus-like hairs, reduced hairs per unit, and patterned predominance in frontal/crown zones. Diffuse telogen effluvium, alopecia areata incognita, seborrhoeic dermatitis, or early cicatricial disease may coexist and alter presentation.</w:t>
      </w:r>
    </w:p>
    <w:p>
      <w:r>
        <w:t>Scalp symptoms should not be dismissed. Seborrhoeic or inflammatory disease can worsen comfort, adherence, and perceived shedding even when AGA remains the primary diagnosis.</w:t>
      </w:r>
    </w:p>
    <w:p>
      <w:pPr>
        <w:pStyle w:val="Heading2"/>
      </w:pPr>
      <w:r>
        <w:t>8.4 Medical treatment ladder</w:t>
      </w:r>
    </w:p>
    <w:p>
      <w:r>
        <w:t>Topical minoxidil remains a long-established option. Low-dose oral minoxidil has become an increasingly discussed alternative or adjunct, particularly where topical adherence or tolerance is poor, although clinicians must weigh cardiovascular history, side effects, and patient suitability.</w:t>
      </w:r>
    </w:p>
    <w:p>
      <w:r>
        <w:t>Finasteride remains a central DHT-lowering treatment in male AGA; dutasteride may be used selectively in more resistant or advanced disease. Treatment discussions must include realistic timelines, stabilisation versus regrowth, and the importance of maintenance.</w:t>
      </w:r>
    </w:p>
    <w:p>
      <w:r>
        <w:t>Combination therapy often outperforms monotherapy in real-world practice because AGA is not a single-pathway disease. Calibre support, DHT reduction, scalp control, and treatment adherence all matter.</w:t>
      </w:r>
    </w:p>
    <w:p>
      <w:pPr>
        <w:pStyle w:val="Heading2"/>
      </w:pPr>
      <w:r>
        <w:t>8.5 Regenerative and adjunctive strategies</w:t>
      </w:r>
    </w:p>
    <w:p>
      <w:r>
        <w:t>PRP has the strongest current clinical footing among regenerative adjuncts in routine practice, though preparation systems and treatment intervals vary. It is best framed as adjunctive rather than a substitute for core medical therapy in most men with established AGA.</w:t>
      </w:r>
    </w:p>
    <w:p>
      <w:r>
        <w:t>Microneedling may be used to enhance topical delivery and stimulate local wound-healing pathways. Exosome-based therapies remain promising but less standardised and should be positioned carefully as emerging rather than established mainstream care.</w:t>
      </w:r>
    </w:p>
    <w:p>
      <w:pPr>
        <w:pStyle w:val="Heading2"/>
      </w:pPr>
      <w:r>
        <w:t>8.6 Surgical candidacy and long-term planning</w:t>
      </w:r>
    </w:p>
    <w:p>
      <w:r>
        <w:t>A good transplant candidate is not simply someone who wants more hair. The physician must assess age, progression rate, donor density and miniaturisation, family trajectory, expectations, medical willingness, and whether crown demand will later compete with frontal reconstruction.</w:t>
      </w:r>
    </w:p>
    <w:p>
      <w:r>
        <w:t>Diffuse unpatterned thinning, unstable donor, unrealistic juvenile hairline goals, and refusal of long-term maintenance are major caution points. Surgery without disease planning can create lifelong repair problems.</w:t>
      </w:r>
    </w:p>
    <w:p>
      <w:pPr>
        <w:pStyle w:val="Heading2"/>
      </w:pPr>
      <w:r>
        <w:t>8.7 Hairline strategy, crown realism, and failure analysis</w:t>
      </w:r>
    </w:p>
    <w:p>
      <w:r>
        <w:t>Hairline design should respect age, facial proportions, ethnicity, and likely future loss. Crowns consume grafts rapidly and should be approached with realism, especially in younger men with progressive disease.</w:t>
      </w:r>
    </w:p>
    <w:p>
      <w:r>
        <w:t>When treatment seems to fail, ask: Was the diagnosis incomplete? Was shedding mistaken for progression? Was adherence poor? Was donor misread? Did the patient expect regrowth from a stabilising therapy? Failure analysis is a core physician skill.</w:t>
      </w:r>
    </w:p>
    <w:tbl>
      <w:tblPr>
        <w:tblW w:type="auto" w:w="0"/>
        <w:jc w:val="center"/>
        <w:tblLook w:firstColumn="1" w:firstRow="1" w:lastColumn="0" w:lastRow="0" w:noHBand="0" w:noVBand="1" w:val="04A0"/>
      </w:tblPr>
      <w:tblGrid>
        <w:gridCol w:w="10313"/>
      </w:tblGrid>
      <w:tr>
        <w:tc>
          <w:tcPr>
            <w:tcW w:type="dxa" w:w="10313"/>
            <w:shd w:fill="F3F7EE"/>
            <w:vAlign w:val="center"/>
          </w:tcPr>
          <w:p>
            <w:r>
              <w:rPr>
                <w:b/>
                <w:color w:val="1F3A5F"/>
              </w:rPr>
              <w:t>Clinical pearls</w:t>
            </w:r>
          </w:p>
          <w:p>
            <w:pPr>
              <w:pStyle w:val="ListBullet"/>
            </w:pPr>
            <w:r>
              <w:t>Men rarely present with ‘just a hairline problem’; they present with a lifelong progression pattern.</w:t>
            </w:r>
          </w:p>
          <w:p>
            <w:pPr>
              <w:pStyle w:val="ListBullet"/>
            </w:pPr>
            <w:r>
              <w:t>Topical or oral growth stimulation without disease control may disappoint in rapidly progressive AGA.</w:t>
            </w:r>
          </w:p>
          <w:p>
            <w:pPr>
              <w:pStyle w:val="ListBullet"/>
            </w:pPr>
            <w:r>
              <w:t>A surgical plan should make sense not just today but ten years from now.</w:t>
            </w:r>
          </w:p>
        </w:tc>
      </w:tr>
    </w:tbl>
    <w:p/>
    <w:tbl>
      <w:tblPr>
        <w:tblW w:type="auto" w:w="0"/>
        <w:jc w:val="center"/>
        <w:tblLook w:firstColumn="1" w:firstRow="1" w:lastColumn="0" w:lastRow="0" w:noHBand="0" w:noVBand="1" w:val="04A0"/>
      </w:tblPr>
      <w:tblGrid>
        <w:gridCol w:w="10313"/>
      </w:tblGrid>
      <w:tr>
        <w:tc>
          <w:tcPr>
            <w:tcW w:type="dxa" w:w="10313"/>
            <w:shd w:fill="FBE5D6"/>
            <w:vAlign w:val="center"/>
          </w:tcPr>
          <w:p>
            <w:r>
              <w:rPr>
                <w:b/>
                <w:color w:val="1F3A5F"/>
              </w:rPr>
              <w:t>Red flags</w:t>
            </w:r>
          </w:p>
          <w:p>
            <w:pPr>
              <w:pStyle w:val="ListBullet"/>
            </w:pPr>
            <w:r>
              <w:t>Diffuse thinning that extends into the traditionally safer donor zone.</w:t>
            </w:r>
          </w:p>
          <w:p>
            <w:pPr>
              <w:pStyle w:val="ListBullet"/>
            </w:pPr>
            <w:r>
              <w:t>Rapid severe progression in a very young patient without family-pattern consistency.</w:t>
            </w:r>
          </w:p>
          <w:p>
            <w:pPr>
              <w:pStyle w:val="ListBullet"/>
            </w:pPr>
            <w:r>
              <w:t>Scalp symptoms or inflammatory signs that do not fit uncomplicated AGA.</w:t>
            </w:r>
          </w:p>
          <w:p>
            <w:pPr>
              <w:pStyle w:val="ListBullet"/>
            </w:pPr>
            <w:r>
              <w:t>Patient goals centred on a juvenile hairline with no acceptance of maintenance therapy.</w:t>
            </w:r>
          </w:p>
        </w:tc>
      </w:tr>
    </w:tbl>
    <w:p/>
    <w:tbl>
      <w:tblPr>
        <w:tblW w:type="auto" w:w="0"/>
        <w:jc w:val="center"/>
        <w:tblLook w:firstColumn="1" w:firstRow="1" w:lastColumn="0" w:lastRow="0" w:noHBand="0" w:noVBand="1" w:val="04A0"/>
      </w:tblPr>
      <w:tblGrid>
        <w:gridCol w:w="10313"/>
      </w:tblGrid>
      <w:tr>
        <w:tc>
          <w:tcPr>
            <w:tcW w:type="dxa" w:w="10313"/>
            <w:shd w:fill="EDE7F6"/>
            <w:vAlign w:val="center"/>
          </w:tcPr>
          <w:p>
            <w:r>
              <w:rPr>
                <w:b/>
                <w:color w:val="1F3A5F"/>
              </w:rPr>
              <w:t>End-of-module assessment prompts</w:t>
            </w:r>
          </w:p>
          <w:p>
            <w:pPr>
              <w:pStyle w:val="ListBullet"/>
            </w:pPr>
            <w:r>
              <w:t>Build a staged treatment plan for a 28-year-old man with Norwood 3V AGA.</w:t>
            </w:r>
          </w:p>
          <w:p>
            <w:pPr>
              <w:pStyle w:val="ListBullet"/>
            </w:pPr>
            <w:r>
              <w:t>List factors that reduce male transplant suitability.</w:t>
            </w:r>
          </w:p>
          <w:p>
            <w:pPr>
              <w:pStyle w:val="ListBullet"/>
            </w:pPr>
            <w:r>
              <w:t>Explain how you counsel stabilisation versus regrowth.</w:t>
            </w:r>
          </w:p>
        </w:tc>
      </w:tr>
    </w:tbl>
    <w:p/>
    <w:p>
      <w:r>
        <w:br w:type="page"/>
      </w:r>
    </w:p>
    <w:p>
      <w:pPr>
        <w:pStyle w:val="Heading1"/>
      </w:pPr>
      <w:r>
        <w:t>Module 9. Female Pattern Hair Loss and Hormonal Hair Loss in Women</w:t>
      </w:r>
    </w:p>
    <w:p>
      <w:r>
        <w:t>Female hair loss medicine requires greater endocrine literacy, broader differential diagnosis, and more careful reproductive counselling than many male AGA consultations. The physician must integrate pattern recognition with menstrual, metabolic, thyroid, nutritional, postpartum, menopausal, and psychosocial dimensions.</w:t>
      </w:r>
    </w:p>
    <w:tbl>
      <w:tblPr>
        <w:tblW w:type="auto" w:w="0"/>
        <w:jc w:val="center"/>
        <w:tblLook w:firstColumn="1" w:firstRow="1" w:lastColumn="0" w:lastRow="0" w:noHBand="0" w:noVBand="1" w:val="04A0"/>
      </w:tblPr>
      <w:tblGrid>
        <w:gridCol w:w="10313"/>
      </w:tblGrid>
      <w:tr>
        <w:tc>
          <w:tcPr>
            <w:tcW w:type="dxa" w:w="10313"/>
            <w:shd w:fill="EEF4FB"/>
            <w:vAlign w:val="center"/>
          </w:tcPr>
          <w:p>
            <w:r>
              <w:rPr>
                <w:b/>
                <w:color w:val="1F3A5F"/>
              </w:rPr>
              <w:t>Learning objectives</w:t>
            </w:r>
          </w:p>
          <w:p>
            <w:pPr>
              <w:pStyle w:val="ListBullet"/>
            </w:pPr>
            <w:r>
              <w:t>Recognise common phenotypes of female pattern hair loss and related hormonal hair-loss states.</w:t>
            </w:r>
          </w:p>
          <w:p>
            <w:pPr>
              <w:pStyle w:val="ListBullet"/>
            </w:pPr>
            <w:r>
              <w:t>Select targeted endocrine and laboratory investigations when indicated.</w:t>
            </w:r>
          </w:p>
          <w:p>
            <w:pPr>
              <w:pStyle w:val="ListBullet"/>
            </w:pPr>
            <w:r>
              <w:t>Construct safe, evidence-based treatment plans in women of different ages and reproductive contexts.</w:t>
            </w:r>
          </w:p>
          <w:p>
            <w:pPr>
              <w:pStyle w:val="ListBullet"/>
            </w:pPr>
            <w:r>
              <w:t>Know when medical, regenerative, or surgical options are appropriate or inappropriate.</w:t>
            </w:r>
          </w:p>
        </w:tc>
      </w:tr>
    </w:tbl>
    <w:p/>
    <w:p>
      <w:pPr>
        <w:pStyle w:val="Heading2"/>
      </w:pPr>
      <w:r>
        <w:t>9.1 Phenotypes and classification</w:t>
      </w:r>
    </w:p>
    <w:p>
      <w:r>
        <w:t>Female pattern hair loss is not one visual stereotype. Central part widening, diffuse crown attenuation, reduced overall density, frontal accentuation, preserved frontal fringe, and bitemporal recession may all occur. Ludwig, Sinclair, and Olsen descriptors are useful but should accompany a descriptive clinical narrative.</w:t>
      </w:r>
    </w:p>
    <w:p>
      <w:r>
        <w:t>Many women present later than men because the early change is loss of volume, not overt baldness. Ponytail reduction, scalp visibility in bright light, and difficulty styling are diagnostically meaningful complaints.</w:t>
      </w:r>
    </w:p>
    <w:p>
      <w:pPr>
        <w:pStyle w:val="Heading2"/>
      </w:pPr>
      <w:r>
        <w:t>9.2 Hyperandrogenism, PCOS, and endocrine overlap</w:t>
      </w:r>
    </w:p>
    <w:p>
      <w:r>
        <w:t>Not all female patterned loss is hyperandrogenic, but a subset of patients show endocrine clues that require broader medical reasoning. Acne, hirsutism, irregular cycles, infertility, weight gain, insulin resistance, or rapid progression increase suspicion for androgen excess or PCOS-related mechanisms.</w:t>
      </w:r>
    </w:p>
    <w:p>
      <w:r>
        <w:t>In some women, the scalp is the most visible androgen-sensitive site. In others, patterned loss occurs despite normal routine androgens, reminding the clinician that follicular sensitivity matters as much as circulating hormone values.</w:t>
      </w:r>
    </w:p>
    <w:p>
      <w:pPr>
        <w:pStyle w:val="Heading2"/>
      </w:pPr>
      <w:r>
        <w:t>9.3 Thyroid disease, iron, nutrition, and diffuse shedding overlap</w:t>
      </w:r>
    </w:p>
    <w:p>
      <w:r>
        <w:t>Women commonly present with mixed patterns: baseline FPHL plus telogen effluvium triggered by low iron availability, thyroid dysfunction, postpartum change, stress, restrictive dieting, or systemic illness. Treating only one driver will underperform.</w:t>
      </w:r>
    </w:p>
    <w:p>
      <w:r>
        <w:t>The history should actively include menses, contraception, pregnancies, dietary restriction, bariatric history, weight change, and chronic inflammatory disease.</w:t>
      </w:r>
    </w:p>
    <w:p>
      <w:pPr>
        <w:pStyle w:val="Heading2"/>
      </w:pPr>
      <w:r>
        <w:t>9.4 Reproductive life stage: postpartum, perimenopause, and menopause</w:t>
      </w:r>
    </w:p>
    <w:p>
      <w:r>
        <w:t>Postpartum shedding is common and usually self-limited, but it may unmask underlying patterned loss. Perimenopause and menopause may alter shaft quality, calibre, sebum, and androgen-oestrogen balance, contributing to visible thinning.</w:t>
      </w:r>
    </w:p>
    <w:p>
      <w:r>
        <w:t>These phases are emotionally loaded. Clinical language must distinguish physiological shedding, chronic patterned miniaturisation, and reversible contributing factors.</w:t>
      </w:r>
    </w:p>
    <w:p>
      <w:pPr>
        <w:pStyle w:val="Heading2"/>
      </w:pPr>
      <w:r>
        <w:t>9.5 Trichoscopy and biopsy in female patients</w:t>
      </w:r>
    </w:p>
    <w:p>
      <w:r>
        <w:t>Trichoscopy assists distinction between FPHL, chronic telogen effluvium, diffuse alopecia areata, and inflammatory scalp disease. Occipital comparison, shaft diversity, reduced hairs per unit, and miniaturised frontal-zone hairs are particularly useful.</w:t>
      </w:r>
    </w:p>
    <w:p>
      <w:r>
        <w:t>Biopsy is not routine in straightforward FPHL but becomes valuable in diagnostically mixed cases or when inflammatory disease is suspected.</w:t>
      </w:r>
    </w:p>
    <w:p>
      <w:pPr>
        <w:pStyle w:val="Heading2"/>
      </w:pPr>
      <w:r>
        <w:t>9.6 Medical treatment framework in women</w:t>
      </w:r>
    </w:p>
    <w:p>
      <w:r>
        <w:t>Topical minoxidil remains foundational. Low-dose oral minoxidil has become an important option in selected women when topical treatment is poorly tolerated or insufficient, but adverse effects such as hypertrichosis, oedema, and cardiovascular considerations require counselling and monitoring.</w:t>
      </w:r>
    </w:p>
    <w:p>
      <w:r>
        <w:t>Anti-androgen therapy may be considered in suitable women, particularly where hyperandrogenic features exist. Reproductive potential, contraceptive reliability, and teratogenic risk are central to prescribing decisions.</w:t>
      </w:r>
    </w:p>
    <w:p>
      <w:r>
        <w:t>Treatment plans should define the goal clearly: stabilisation, calibre support, reduced shedding, improved coverage, or pre-surgical optimisation. Ambiguous goals lead to perceived treatment failure.</w:t>
      </w:r>
    </w:p>
    <w:p>
      <w:pPr>
        <w:pStyle w:val="Heading2"/>
      </w:pPr>
      <w:r>
        <w:t>9.7 Regenerative medicine and female-specific surgical thinking</w:t>
      </w:r>
    </w:p>
    <w:p>
      <w:r>
        <w:t>PRP can be a useful adjunct in female patterned loss, especially where the aim is calibre support and density optimisation rather than replacement of absent follicles. Exosomes remain investigational/emerging in standard clinical practice.</w:t>
      </w:r>
    </w:p>
    <w:p>
      <w:r>
        <w:t>Surgery in women requires careful recipient and donor evaluation. Women with diffuse unpatterned thinning, active inflammatory disease, or unstable generalised miniaturisation may be poor candidates despite severe distress. Long Hair FUE or zone-shave strategies may improve acceptability in selected patients.</w:t>
      </w:r>
    </w:p>
    <w:p>
      <w:pPr>
        <w:pStyle w:val="Heading2"/>
      </w:pPr>
      <w:r>
        <w:t>9.8 Communication, psychology, and long-term partnership</w:t>
      </w:r>
    </w:p>
    <w:p>
      <w:r>
        <w:t>Hair loss in women often carries a disproportionate burden of shame, concealment, and social anxiety. Doctors should not mistake a calm presentation for low impact. Many women have already normalised distress for years before seeking medical help.</w:t>
      </w:r>
    </w:p>
    <w:p>
      <w:r>
        <w:t>Because female hair loss is frequently chronic and multifactorial, the physician should frame management as longitudinal optimisation rather than one-off rescue.</w:t>
      </w:r>
    </w:p>
    <w:tbl>
      <w:tblPr>
        <w:tblW w:type="auto" w:w="0"/>
        <w:jc w:val="center"/>
        <w:tblLook w:firstColumn="1" w:firstRow="1" w:lastColumn="0" w:lastRow="0" w:noHBand="0" w:noVBand="1" w:val="04A0"/>
      </w:tblPr>
      <w:tblGrid>
        <w:gridCol w:w="10313"/>
      </w:tblGrid>
      <w:tr>
        <w:tc>
          <w:tcPr>
            <w:tcW w:type="dxa" w:w="10313"/>
            <w:shd w:fill="F3F7EE"/>
            <w:vAlign w:val="center"/>
          </w:tcPr>
          <w:p>
            <w:r>
              <w:rPr>
                <w:b/>
                <w:color w:val="1F3A5F"/>
              </w:rPr>
              <w:t>Clinical pearls</w:t>
            </w:r>
          </w:p>
          <w:p>
            <w:pPr>
              <w:pStyle w:val="ListBullet"/>
            </w:pPr>
            <w:r>
              <w:t>Female patterned loss often coexists with shedding disorders; mixed aetiology is common, not exceptional.</w:t>
            </w:r>
          </w:p>
          <w:p>
            <w:pPr>
              <w:pStyle w:val="ListBullet"/>
            </w:pPr>
            <w:r>
              <w:t>Normal serum androgens do not exclude hormonally responsive follicular miniaturisation.</w:t>
            </w:r>
          </w:p>
          <w:p>
            <w:pPr>
              <w:pStyle w:val="ListBullet"/>
            </w:pPr>
            <w:r>
              <w:t>Treatment safety and reproductive planning are integral to the consultation, not an afterthought.</w:t>
            </w:r>
          </w:p>
        </w:tc>
      </w:tr>
    </w:tbl>
    <w:p/>
    <w:tbl>
      <w:tblPr>
        <w:tblW w:type="auto" w:w="0"/>
        <w:jc w:val="center"/>
        <w:tblLook w:firstColumn="1" w:firstRow="1" w:lastColumn="0" w:lastRow="0" w:noHBand="0" w:noVBand="1" w:val="04A0"/>
      </w:tblPr>
      <w:tblGrid>
        <w:gridCol w:w="10313"/>
      </w:tblGrid>
      <w:tr>
        <w:tc>
          <w:tcPr>
            <w:tcW w:type="dxa" w:w="10313"/>
            <w:shd w:fill="FBE5D6"/>
            <w:vAlign w:val="center"/>
          </w:tcPr>
          <w:p>
            <w:r>
              <w:rPr>
                <w:b/>
                <w:color w:val="1F3A5F"/>
              </w:rPr>
              <w:t>Red flags</w:t>
            </w:r>
          </w:p>
          <w:p>
            <w:pPr>
              <w:pStyle w:val="ListBullet"/>
            </w:pPr>
            <w:r>
              <w:t>Rapid diffuse reduction in density with eyebrow/body hair change.</w:t>
            </w:r>
          </w:p>
          <w:p>
            <w:pPr>
              <w:pStyle w:val="ListBullet"/>
            </w:pPr>
            <w:r>
              <w:t>Marked hirsutism, virilisation, infertility, or severe menstrual disturbance.</w:t>
            </w:r>
          </w:p>
          <w:p>
            <w:pPr>
              <w:pStyle w:val="ListBullet"/>
            </w:pPr>
            <w:r>
              <w:t>Scalp pain, perifollicular scale, or loss of ostia suggesting inflammatory/scarring disease.</w:t>
            </w:r>
          </w:p>
          <w:p>
            <w:pPr>
              <w:pStyle w:val="ListBullet"/>
            </w:pPr>
            <w:r>
              <w:t>Requests for surgery before stabilisation of active diffuse loss.</w:t>
            </w:r>
          </w:p>
        </w:tc>
      </w:tr>
    </w:tbl>
    <w:p/>
    <w:tbl>
      <w:tblPr>
        <w:tblW w:type="auto" w:w="0"/>
        <w:jc w:val="center"/>
        <w:tblLook w:firstColumn="1" w:firstRow="1" w:lastColumn="0" w:lastRow="0" w:noHBand="0" w:noVBand="1" w:val="04A0"/>
      </w:tblPr>
      <w:tblGrid>
        <w:gridCol w:w="10313"/>
      </w:tblGrid>
      <w:tr>
        <w:tc>
          <w:tcPr>
            <w:tcW w:type="dxa" w:w="10313"/>
            <w:shd w:fill="EDE7F6"/>
            <w:vAlign w:val="center"/>
          </w:tcPr>
          <w:p>
            <w:r>
              <w:rPr>
                <w:b/>
                <w:color w:val="1F3A5F"/>
              </w:rPr>
              <w:t>End-of-module assessment prompts</w:t>
            </w:r>
          </w:p>
          <w:p>
            <w:pPr>
              <w:pStyle w:val="ListBullet"/>
            </w:pPr>
            <w:r>
              <w:t>Outline the workup for a 34-year-old woman with part widening, acne, and irregular cycles.</w:t>
            </w:r>
          </w:p>
          <w:p>
            <w:pPr>
              <w:pStyle w:val="ListBullet"/>
            </w:pPr>
            <w:r>
              <w:t>Discuss how you differentiate chronic telogen effluvium from FPHL.</w:t>
            </w:r>
          </w:p>
          <w:p>
            <w:pPr>
              <w:pStyle w:val="ListBullet"/>
            </w:pPr>
            <w:r>
              <w:t>Describe a safe treatment strategy in a reproductive-age woman not seeking pregnancy now but potentially in the future.</w:t>
            </w:r>
          </w:p>
        </w:tc>
      </w:tr>
    </w:tbl>
    <w:p/>
    <w:p>
      <w:r>
        <w:br w:type="page"/>
      </w:r>
    </w:p>
    <w:p>
      <w:pPr>
        <w:pStyle w:val="Heading1"/>
      </w:pPr>
      <w:r>
        <w:t>Volume 2 Summary</w:t>
      </w:r>
    </w:p>
    <w:p>
      <w:r>
        <w:t>By the end of this volume, the learner should be able to move from broad hair-loss complaints to a disciplined diagnostic impression, choose sensible investigations, recognise biopsy-worthy disease, and construct initial management plans for male and female pattern hair loss. This is the diagnostic core on which later therapeutic, regenerative, and surgical volumes depend.</w:t>
      </w:r>
    </w:p>
    <w:p>
      <w:pPr>
        <w:pStyle w:val="Heading1"/>
      </w:pPr>
      <w:r>
        <w:t>Appendix. LMS Conversion Notes for IIIOHR</w:t>
      </w:r>
    </w:p>
    <w:p>
      <w:r>
        <w:t>Each module in this volume is intended to be split into discrete online lessons with the following objects:</w:t>
      </w:r>
    </w:p>
    <w:p>
      <w:pPr>
        <w:pStyle w:val="ListBullet"/>
      </w:pPr>
      <w:r>
        <w:t>Module overview page with learning outcomes and estimated study time</w:t>
      </w:r>
    </w:p>
    <w:p>
      <w:pPr>
        <w:pStyle w:val="ListBullet"/>
      </w:pPr>
      <w:r>
        <w:t>Lesson pages with structured text, key takeaways, red flags, and downloadable summaries</w:t>
      </w:r>
    </w:p>
    <w:p>
      <w:pPr>
        <w:pStyle w:val="ListBullet"/>
      </w:pPr>
      <w:r>
        <w:t>Image-based trichoscopy quizzes for Modules 5 and 6</w:t>
      </w:r>
    </w:p>
    <w:p>
      <w:pPr>
        <w:pStyle w:val="ListBullet"/>
      </w:pPr>
      <w:r>
        <w:t>Case-based investigation planning for Module 7</w:t>
      </w:r>
    </w:p>
    <w:p>
      <w:pPr>
        <w:pStyle w:val="ListBullet"/>
      </w:pPr>
      <w:r>
        <w:t>Treatment ladder and surgical-candidacy cases for Modules 8 and 9</w:t>
      </w:r>
    </w:p>
    <w:p>
      <w:pPr>
        <w:pStyle w:val="ListBullet"/>
      </w:pPr>
      <w:r>
        <w:t>Faculty-note blocks for premium/doctor-only guidance</w:t>
      </w:r>
    </w:p>
    <w:p>
      <w:r>
        <w:t>Suggested next digital assets: standard photography checklist PDF, trichoscopy interpretation atlas, laboratory workup flowchart, and male/female pattern hair loss treatment algorithms.</w:t>
      </w:r>
    </w:p>
    <w:sectPr w:rsidR="00FC693F" w:rsidRPr="0006063C" w:rsidSect="00034616">
      <w:pgSz w:w="12240" w:h="15840"/>
      <w:pgMar w:top="1020"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55C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60" w:after="60"/>
      <w:ind w:left="227" w:right="113"/>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