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345C"/>
          <w:sz w:val="48"/>
        </w:rPr>
        <w:t>Volume 4</w:t>
      </w:r>
    </w:p>
    <w:p>
      <w:pPr>
        <w:jc w:val="center"/>
      </w:pPr>
      <w:r>
        <w:rPr>
          <w:b/>
          <w:sz w:val="36"/>
        </w:rPr>
        <w:t>Therapeutics, Regenerative Medicine and</w:t>
        <w:br/>
        <w:t>Foundations of Hair Restoration Surgery</w:t>
      </w:r>
    </w:p>
    <w:p>
      <w:pPr>
        <w:jc w:val="center"/>
      </w:pPr>
      <w:r>
        <w:rPr>
          <w:i/>
        </w:rPr>
        <w:t>HLI / IIIOHR Advanced Trichology Academy</w:t>
        <w:br/>
        <w:t>Postgraduate Manual Series</w:t>
      </w:r>
    </w:p>
    <w:p>
      <w:pPr>
        <w:pStyle w:val="Heading1"/>
      </w:pPr>
      <w:r>
        <w:t>Volume Overview</w:t>
      </w:r>
    </w:p>
    <w:p>
      <w:r>
        <w:t>Volume 4 bridges diagnosis and treatment. The aim is not simply to list therapeutic options, but to train the doctor to select, sequence, combine, monitor, and modify interventions across medical, nutritional, regenerative, and surgical domains. The volume is built around evidence-tier thinking: established therapies are distinguished from evolving consensus practice and emerging modalities, so that the learner develops both therapeutic confidence and academic defensibility.</w:t>
      </w:r>
    </w:p>
    <w:p>
      <w:pPr>
        <w:shd w:fill="EAF2F8"/>
      </w:pPr>
      <w:r>
        <w:rPr>
          <w:b/>
        </w:rPr>
        <w:t xml:space="preserve">Educational focus: </w:t>
      </w:r>
      <w:r>
        <w:t>Treatment selection, contraindications, monitoring, longitudinal planning, combination therapy logic, patient counselling, regenerative medicine positioning, and surgical decision-making.</w:t>
      </w:r>
    </w:p>
    <w:p>
      <w:pPr>
        <w:pStyle w:val="Heading2"/>
      </w:pPr>
      <w:r>
        <w:t>Modules Included</w:t>
      </w:r>
    </w:p>
    <w:p>
      <w:pPr>
        <w:pStyle w:val="ListBullet"/>
      </w:pPr>
      <w:r>
        <w:t>Module 17. Medical Management of Hair Loss</w:t>
      </w:r>
    </w:p>
    <w:p>
      <w:pPr>
        <w:pStyle w:val="ListBullet"/>
      </w:pPr>
      <w:r>
        <w:t>Module 18. Nutritional, Lifestyle, and Systemic Support</w:t>
      </w:r>
    </w:p>
    <w:p>
      <w:pPr>
        <w:pStyle w:val="ListBullet"/>
      </w:pPr>
      <w:r>
        <w:t>Module 19. Regenerative Medicine in Trichology</w:t>
      </w:r>
    </w:p>
    <w:p>
      <w:pPr>
        <w:pStyle w:val="ListBullet"/>
      </w:pPr>
      <w:r>
        <w:t>Module 20. Principles of Hair Transplantation</w:t>
      </w:r>
    </w:p>
    <w:p>
      <w:pPr>
        <w:pStyle w:val="ListBullet"/>
      </w:pPr>
      <w:r>
        <w:t>Module 21. Advanced FUE Science</w:t>
      </w:r>
    </w:p>
    <w:p>
      <w:pPr>
        <w:pStyle w:val="Heading1"/>
      </w:pPr>
      <w:r>
        <w:t>Module 17. Medical Management of Hair Loss</w:t>
      </w:r>
    </w:p>
    <w:p>
      <w:r>
        <w:t>Medical management remains the backbone of most hair-loss treatment pathways. Even in patients who may later undergo surgery, medical therapy often determines stability, donor protection, recipient optimisation, and long-term maintenance. Doctors should be trained not only in what each treatment does, but in how to tailor therapy to phenotype, sex, age, comorbidity, reproductive context, adherence likelihood, and risk tolerance.</w:t>
      </w:r>
    </w:p>
    <w:p>
      <w:pPr>
        <w:pStyle w:val="Heading2"/>
      </w:pPr>
      <w:r>
        <w:t>Learning Objectives</w:t>
      </w:r>
    </w:p>
    <w:p>
      <w:pPr>
        <w:pStyle w:val="ListBullet"/>
      </w:pPr>
      <w:r>
        <w:t>Understand the role of topical and oral minoxidil in pattern hair loss and selected adjunctive contexts.</w:t>
      </w:r>
    </w:p>
    <w:p>
      <w:pPr>
        <w:pStyle w:val="ListBullet"/>
      </w:pPr>
      <w:r>
        <w:t>Use 5-alpha reductase inhibitors appropriately in male pattern hair loss and selected female patients where appropriate.</w:t>
      </w:r>
    </w:p>
    <w:p>
      <w:pPr>
        <w:pStyle w:val="ListBullet"/>
      </w:pPr>
      <w:r>
        <w:t>Recognise off-label prescribing issues, adverse effects, contraindications, and monitoring principles.</w:t>
      </w:r>
    </w:p>
    <w:p>
      <w:pPr>
        <w:pStyle w:val="ListBullet"/>
      </w:pPr>
      <w:r>
        <w:t>Construct treatment ladders that account for severity, progression, and long-term maintenance.</w:t>
      </w:r>
    </w:p>
    <w:p>
      <w:pPr>
        <w:pStyle w:val="Heading2"/>
      </w:pPr>
      <w:r>
        <w:t>17.1 Treatment Philosophy</w:t>
      </w:r>
    </w:p>
    <w:p>
      <w:r>
        <w:t>The first question in medical management is not 'which product should I use?' but 'what is the disease process, how active is it, how fast is it progressing, and what is the treatment goal?' A treatment goal may be arrest of shedding, slowing miniaturisation, thickening existing hairs, disease control in inflammatory states, surgical support, or long-term maintenance after restoration. A sophisticated therapeutic plan matches the intervention to the goal.</w:t>
      </w:r>
    </w:p>
    <w:p>
      <w:pPr>
        <w:shd w:fill="EAF2F8"/>
      </w:pPr>
      <w:r>
        <w:rPr>
          <w:b/>
        </w:rPr>
        <w:t xml:space="preserve">Evidence tier: </w:t>
      </w:r>
      <w:r>
        <w:t>Topical minoxidil and finasteride in male pattern hair loss occupy the strongest routine-practice positions. Low-dose oral minoxidil has become increasingly important, but remains off-label and requires careful patient selection.</w:t>
      </w:r>
    </w:p>
    <w:p>
      <w:pPr>
        <w:pStyle w:val="Heading2"/>
      </w:pPr>
      <w:r>
        <w:t>17.2 Topical Minoxidil</w:t>
      </w:r>
    </w:p>
    <w:p>
      <w:r>
        <w:t>Topical minoxidil remains a core treatment for male and female patterned hair loss and retains a strong evidence base in daily practice. Its value lies in prolonging anagen, reducing follicular miniaturisation pressure, and supporting calibre maintenance over time. The practical limitations are well known: irritation, residue, altered texture, inconvenience, and poor long-term adherence in some patients.</w:t>
      </w:r>
    </w:p>
    <w:p>
      <w:pPr>
        <w:pStyle w:val="ListBullet"/>
      </w:pPr>
      <w:r>
        <w:t>Best positioned as foundational first-line therapy in many male and female patterned hair-loss pathways.</w:t>
      </w:r>
    </w:p>
    <w:p>
      <w:pPr>
        <w:pStyle w:val="ListBullet"/>
      </w:pPr>
      <w:r>
        <w:t>Requires expectation setting about gradual onset and the need for long-term continuation.</w:t>
      </w:r>
    </w:p>
    <w:p>
      <w:pPr>
        <w:pStyle w:val="ListBullet"/>
      </w:pPr>
      <w:r>
        <w:t>May trigger early shedding as cycling changes; this must be explained clearly to avoid premature discontinuation.</w:t>
      </w:r>
    </w:p>
    <w:p>
      <w:pPr>
        <w:pStyle w:val="ListBullet"/>
      </w:pPr>
      <w:r>
        <w:t>Barrier-irritation, vehicle intolerance, and cosmetic nonadherence are common reasons for therapeutic failure.</w:t>
      </w:r>
    </w:p>
    <w:p>
      <w:pPr>
        <w:pStyle w:val="Heading2"/>
      </w:pPr>
      <w:r>
        <w:t>17.3 Low-Dose Oral Minoxidil</w:t>
      </w:r>
    </w:p>
    <w:p>
      <w:r>
        <w:t>Low-dose oral minoxidil has moved from fringe use into mainstream specialist discussion because it can improve adherence and bypass topical tolerance issues. It is especially relevant where topical therapy has failed due to inconvenience or scalp intolerance. However, it should be taught as an off-label treatment requiring deliberate counselling regarding side effects, cardiovascular history, fluid retention, and hypertrichosis risk.</w:t>
      </w:r>
    </w:p>
    <w:p>
      <w:pPr>
        <w:pStyle w:val="ListBullet"/>
      </w:pPr>
      <w:r>
        <w:t>Useful in male and female patterned loss when adherence to topical therapy is poor or response is insufficient.</w:t>
      </w:r>
    </w:p>
    <w:p>
      <w:pPr>
        <w:pStyle w:val="ListBullet"/>
      </w:pPr>
      <w:r>
        <w:t>Dose selection should be conservative and individualised rather than formulaic.</w:t>
      </w:r>
    </w:p>
    <w:p>
      <w:pPr>
        <w:pStyle w:val="ListBullet"/>
      </w:pPr>
      <w:r>
        <w:t>Doctors must screen for cardiovascular issues, oedema tendency, and interacting clinical factors.</w:t>
      </w:r>
    </w:p>
    <w:p>
      <w:pPr>
        <w:pStyle w:val="ListBullet"/>
      </w:pPr>
      <w:r>
        <w:t>Monitoring is clinical and safety-focused rather than protocol-heavy for every low-risk patient.</w:t>
      </w:r>
    </w:p>
    <w:p>
      <w:pPr>
        <w:shd w:fill="EAF2F8"/>
      </w:pPr>
      <w:r>
        <w:rPr>
          <w:b/>
        </w:rPr>
        <w:t xml:space="preserve">Clinical reasoning: </w:t>
      </w:r>
      <w:r>
        <w:t>Oral minoxidil is not automatically 'stronger' than topical therapy in every patient. It is often a practical or adherence-based decision as much as a pharmacologic one.</w:t>
      </w:r>
    </w:p>
    <w:p>
      <w:pPr>
        <w:pStyle w:val="Heading2"/>
      </w:pPr>
      <w:r>
        <w:t>17.4 Finasteride and Dutasteride</w:t>
      </w:r>
    </w:p>
    <w:p>
      <w:r>
        <w:t>5-alpha reductase inhibition remains central to medical management of male pattern hair loss because it addresses the androgen-driven component of miniaturisation directly. Finasteride remains the best-established routine option, while dutasteride may be considered in selected patients where a stronger DHT-suppressive effect is clinically appropriate and jurisdictional prescribing norms allow.</w:t>
      </w:r>
    </w:p>
    <w:p>
      <w:pPr>
        <w:pStyle w:val="ListBullet"/>
      </w:pPr>
      <w:r>
        <w:t>Best used when androgenetic alopecia is clearly established or highly likely.</w:t>
      </w:r>
    </w:p>
    <w:p>
      <w:pPr>
        <w:pStyle w:val="ListBullet"/>
      </w:pPr>
      <w:r>
        <w:t>Counselling should cover benefits, limitations, ongoing need for treatment, and potential adverse effects.</w:t>
      </w:r>
    </w:p>
    <w:p>
      <w:pPr>
        <w:pStyle w:val="ListBullet"/>
      </w:pPr>
      <w:r>
        <w:t>Failure analysis should consider dose adherence, disease duration, severity, unrealistic expectations, and coexistence of non-AGA drivers.</w:t>
      </w:r>
    </w:p>
    <w:p>
      <w:pPr>
        <w:pStyle w:val="ListBullet"/>
      </w:pPr>
      <w:r>
        <w:t>In women, anti-androgen strategies require more careful reproductive, endocrine, and medico-legal framing.</w:t>
      </w:r>
    </w:p>
    <w:p>
      <w:pPr>
        <w:pStyle w:val="Heading2"/>
      </w:pPr>
      <w:r>
        <w:t>17.5 Anti-Androgen Strategies in Women</w:t>
      </w:r>
    </w:p>
    <w:p>
      <w:r>
        <w:t>Female patterned hair loss may warrant anti-androgen therapy in selected patients, particularly where hyperandrogenic features, PCOS-spectrum findings, or inadequate response to minoxidil-based therapy exist. This area requires careful reproductive counselling and a strong grasp of contraindications and monitoring expectations.</w:t>
      </w:r>
    </w:p>
    <w:p>
      <w:pPr>
        <w:pStyle w:val="Heading2"/>
      </w:pPr>
      <w:r>
        <w:t>17.6 Combination Therapy Logic</w:t>
      </w:r>
    </w:p>
    <w:p>
      <w:r>
        <w:t>Most high-level hair practice is combination medicine. A patient may require one intervention for miniaturisation control, another for calibre enhancement, another for scalp health, and another for long-term maintenance. The doctor should learn to combine treatment intelligently rather than layering therapies indiscriminately.</w:t>
      </w:r>
    </w:p>
    <w:p>
      <w:pPr>
        <w:shd w:fill="FDEDEC"/>
      </w:pPr>
      <w:r>
        <w:rPr>
          <w:b/>
        </w:rPr>
        <w:t xml:space="preserve">Red flags: </w:t>
      </w:r>
      <w:r>
        <w:t>Do not intensify treatment just because progress feels slow without first checking diagnosis, adherence, side effects, and overlapping disease.</w:t>
      </w:r>
    </w:p>
    <w:p>
      <w:pPr>
        <w:pStyle w:val="Heading2"/>
      </w:pPr>
      <w:r>
        <w:t>17.7 Monitoring and Failure Analysis</w:t>
      </w:r>
    </w:p>
    <w:p>
      <w:pPr>
        <w:pStyle w:val="ListBullet"/>
      </w:pPr>
      <w:r>
        <w:t>Use standardised photography and, where available, trichoscopy to assess miniaturisation and calibre change.</w:t>
      </w:r>
    </w:p>
    <w:p>
      <w:pPr>
        <w:pStyle w:val="ListBullet"/>
      </w:pPr>
      <w:r>
        <w:t>Reassess diagnosis if shedding worsens, inflammation appears, or density drops unexpectedly.</w:t>
      </w:r>
    </w:p>
    <w:p>
      <w:pPr>
        <w:pStyle w:val="ListBullet"/>
      </w:pPr>
      <w:r>
        <w:t>Separate lack of improvement from lack of adherence and from unrealistic density expectations.</w:t>
      </w:r>
    </w:p>
    <w:p>
      <w:pPr>
        <w:pStyle w:val="ListBullet"/>
      </w:pPr>
      <w:r>
        <w:t>Review adverse effects proactively to improve long-term continuation.</w:t>
      </w:r>
    </w:p>
    <w:p>
      <w:pPr>
        <w:pStyle w:val="Heading1"/>
      </w:pPr>
      <w:r>
        <w:t>Module 18. Nutritional, Lifestyle, and Systemic Support</w:t>
      </w:r>
    </w:p>
    <w:p>
      <w:r>
        <w:t>Hair medicine is weakened when systemic contributors are treated as peripheral. Nutritional status, endocrine balance, metabolic health, sleep, inflammation, and stress all shape follicular behaviour and patient recovery. This module teaches how to address these domains without collapsing into uncritical supplement marketing or indiscriminate testing.</w:t>
      </w:r>
    </w:p>
    <w:p>
      <w:pPr>
        <w:pStyle w:val="Heading2"/>
      </w:pPr>
      <w:r>
        <w:t>18.1 The Systemic Lens</w:t>
      </w:r>
    </w:p>
    <w:p>
      <w:r>
        <w:t>The clinician should ask a simple question: is the hair disorder being accelerated, amplified, or perpetuated by a correctable internal factor? The answer may involve iron depletion, thyroid dysfunction, dietary restriction, protein insufficiency, menstrual blood loss, insulin resistance, chronic inflammation, or intense psychophysiological stress.</w:t>
      </w:r>
    </w:p>
    <w:p>
      <w:pPr>
        <w:pStyle w:val="Heading2"/>
      </w:pPr>
      <w:r>
        <w:t>18.2 Iron, Ferritin, and Haematologic Logic</w:t>
      </w:r>
    </w:p>
    <w:p>
      <w:r>
        <w:t>Iron depletion remains a common contributor to shedding and chronic poor hair quality, especially in menstruating women and in patients with restrictive diets or malabsorptive tendencies. A doctor-level approach looks beyond isolated ferritin numbers and interprets iron status in clinical context, alongside symptoms, haemoglobin, inflammatory background, and pattern of loss.</w:t>
      </w:r>
    </w:p>
    <w:p>
      <w:pPr>
        <w:pStyle w:val="Heading2"/>
      </w:pPr>
      <w:r>
        <w:t>18.3 Vitamin D, Zinc, Protein, and Micronutrients</w:t>
      </w:r>
    </w:p>
    <w:p>
      <w:r>
        <w:t>Not every patient needs extensive micronutrient testing, but selected deficiencies or suboptimal intake may influence shedding, fragility, and response to treatment. Protein adequacy, nutritional diversity, and correction of genuine deficits matter more than expensive supplement stacks with weak evidence.</w:t>
      </w:r>
    </w:p>
    <w:p>
      <w:pPr>
        <w:shd w:fill="EAF2F8"/>
      </w:pPr>
      <w:r>
        <w:rPr>
          <w:b/>
        </w:rPr>
        <w:t xml:space="preserve">Evidence tier: </w:t>
      </w:r>
      <w:r>
        <w:t>Correcting proven deficiency is evidence-based clinical medicine. Broad supplement marketing for hair growth without a defined deficiency or coherent rationale should be taught more cautiously.</w:t>
      </w:r>
    </w:p>
    <w:p>
      <w:pPr>
        <w:pStyle w:val="Heading2"/>
      </w:pPr>
      <w:r>
        <w:t>18.4 Stress, Sleep, and Neuroendocrine Burden</w:t>
      </w:r>
    </w:p>
    <w:p>
      <w:r>
        <w:t>Stress is often overused as a vague explanation for hair loss. In serious practice, it should be translated into mechanisms: sleep disruption, neuroendocrine stress load, altered diet, cortisol-linked behaviour change, inflammatory worsening, or compulsive scalp/hair manipulation. This helps make management specific rather than dismissive.</w:t>
      </w:r>
    </w:p>
    <w:p>
      <w:pPr>
        <w:pStyle w:val="Heading2"/>
      </w:pPr>
      <w:r>
        <w:t>18.5 Adherence, Behavioural Medicine, and Longitudinal Support</w:t>
      </w:r>
    </w:p>
    <w:p>
      <w:r>
        <w:t>Some of the best results in hair medicine come not from adding more medications, but from improving follow-through. Patients need simplified regimens, realistic timelines, practical routines, and support through the period when improvement is not yet obvious.</w:t>
      </w:r>
    </w:p>
    <w:p>
      <w:pPr>
        <w:shd w:fill="EAF2F8"/>
      </w:pPr>
      <w:r>
        <w:rPr>
          <w:b/>
        </w:rPr>
        <w:t xml:space="preserve">LMS mapping note: </w:t>
      </w:r>
      <w:r>
        <w:t>This module should later include worksheets for deficiency workup, supplement rationalisation, and a behaviour/adherence framework for doctors.</w:t>
      </w:r>
    </w:p>
    <w:p>
      <w:pPr>
        <w:pStyle w:val="Heading1"/>
      </w:pPr>
      <w:r>
        <w:t>Module 19. Regenerative Medicine in Trichology</w:t>
      </w:r>
    </w:p>
    <w:p>
      <w:r>
        <w:t>Regenerative medicine occupies one of the most exciting yet most easily overstated spaces in hair restoration. Doctors need a framework that is both open to innovation and disciplined by evidence. This module therefore distinguishes biological rationale from proven effect, and supportive evidence from marketing excess.</w:t>
      </w:r>
    </w:p>
    <w:p>
      <w:pPr>
        <w:pStyle w:val="Heading2"/>
      </w:pPr>
      <w:r>
        <w:t>19.1 Regenerative Medicine as a Concept</w:t>
      </w:r>
    </w:p>
    <w:p>
      <w:r>
        <w:t>Regenerative strategies aim to modify the follicular microenvironment, encourage anagen signalling, reduce inflammatory drag, or support follicular vitality in ways that complement established treatments. They should generally be presented as adjunctive or optimisation tools unless evidence for stand-alone use is sufficiently robust for a given indication.</w:t>
      </w:r>
    </w:p>
    <w:p>
      <w:pPr>
        <w:pStyle w:val="Heading2"/>
      </w:pPr>
      <w:r>
        <w:t>19.2 Platelet-Rich Plasma</w:t>
      </w:r>
    </w:p>
    <w:p>
      <w:r>
        <w:t>PRP remains the most established regenerative procedure in routine hair practice. It has supportive evidence in androgenetic alopecia, though outcomes vary by preparation method, platelet concentration, activation approach, injection technique, treatment interval, and patient selection. It should therefore be taught as a useful and increasingly evidence-supported modality, but not as a perfectly standardised therapy.</w:t>
      </w:r>
    </w:p>
    <w:p>
      <w:pPr>
        <w:pStyle w:val="ListBullet"/>
      </w:pPr>
      <w:r>
        <w:t>Best understood as an adjunct to medical therapy or a bridge/optimisation tool around surgery.</w:t>
      </w:r>
    </w:p>
    <w:p>
      <w:pPr>
        <w:pStyle w:val="ListBullet"/>
      </w:pPr>
      <w:r>
        <w:t>Protocol standardisation remains imperfect across systems and clinics.</w:t>
      </w:r>
    </w:p>
    <w:p>
      <w:pPr>
        <w:pStyle w:val="ListBullet"/>
      </w:pPr>
      <w:r>
        <w:t>Expectations should focus on calibre support, shedding reduction, and density support rather than miraculous reversal of advanced loss.</w:t>
      </w:r>
    </w:p>
    <w:p>
      <w:pPr>
        <w:pStyle w:val="ListBullet"/>
      </w:pPr>
      <w:r>
        <w:t>Photographic and trichoscopic tracking improve credibility and auditability.</w:t>
      </w:r>
    </w:p>
    <w:p>
      <w:pPr>
        <w:pStyle w:val="Heading2"/>
      </w:pPr>
      <w:r>
        <w:t>19.3 Microneedling and Combination Regenerative Logic</w:t>
      </w:r>
    </w:p>
    <w:p>
      <w:r>
        <w:t>Microneedling may act as both a stand-alone stimulus and a facilitator of combination treatment. It is important academically because it sits at the interface between procedural stimulation and biological signalling. In practice, it is often best positioned as a combination modality rather than as a sole high-impact therapy.</w:t>
      </w:r>
    </w:p>
    <w:p>
      <w:pPr>
        <w:pStyle w:val="Heading2"/>
      </w:pPr>
      <w:r>
        <w:t>19.4 Exosomes and Extracellular Vesicle Therapies</w:t>
      </w:r>
    </w:p>
    <w:p>
      <w:r>
        <w:t>Exosome-based therapies are promising, but still belong in the category of emerging regenerative medicine rather than universal standard of care. Product heterogeneity, source variability, manufacturing quality, regulatory status, and limited long-term comparative evidence all justify a cautious and academically transparent teaching approach.</w:t>
      </w:r>
    </w:p>
    <w:p>
      <w:pPr>
        <w:pStyle w:val="ListBullet"/>
      </w:pPr>
      <w:r>
        <w:t>Biological rationale is compelling, especially around signalling and microenvironment modulation.</w:t>
      </w:r>
    </w:p>
    <w:p>
      <w:pPr>
        <w:pStyle w:val="ListBullet"/>
      </w:pPr>
      <w:r>
        <w:t>Early clinical studies are encouraging but remain heterogeneous.</w:t>
      </w:r>
    </w:p>
    <w:p>
      <w:pPr>
        <w:pStyle w:val="ListBullet"/>
      </w:pPr>
      <w:r>
        <w:t>Standardisation and regulatory clarity are not yet mature across all markets.</w:t>
      </w:r>
    </w:p>
    <w:p>
      <w:pPr>
        <w:pStyle w:val="ListBullet"/>
      </w:pPr>
      <w:r>
        <w:t>Doctors should avoid presenting exosomes as evidence-equivalent to long-established therapies.</w:t>
      </w:r>
    </w:p>
    <w:p>
      <w:pPr>
        <w:shd w:fill="FFF2CC"/>
      </w:pPr>
      <w:r>
        <w:rPr>
          <w:b/>
        </w:rPr>
        <w:t xml:space="preserve">Evidence tier: </w:t>
      </w:r>
      <w:r>
        <w:t>PRP should currently be positioned above exosomes in routine clinical establishment, even though exosomes may be highly promising.</w:t>
      </w:r>
    </w:p>
    <w:p>
      <w:pPr>
        <w:pStyle w:val="Heading2"/>
      </w:pPr>
      <w:r>
        <w:t>19.5 Academy-Signature Regenerative Integration</w:t>
      </w:r>
    </w:p>
    <w:p>
      <w:r>
        <w:t>Within the HLI/IIIOHR teaching model, regenerative medicine can be taught as part of follicular longevity strategy: pre-treatment recipient optimisation, donor support, peri-operative enhancement, and post-procedural recovery support. This is also the conceptual space where advanced donor-preservation and partial-transection-associated regenerative thinking can later be introduced with proper scientific caution.</w:t>
      </w:r>
    </w:p>
    <w:p>
      <w:pPr>
        <w:pStyle w:val="Heading2"/>
      </w:pPr>
      <w:r>
        <w:t>19.6 Outcome Tracking and Governance</w:t>
      </w:r>
    </w:p>
    <w:p>
      <w:r>
        <w:t>Because regenerative therapies are variably standardised, serious practice demands stronger documentation than anecdotal practice. Doctors should track baseline density, calibre, shedding pattern, treatment protocol, and interval outcome consistently.</w:t>
      </w:r>
    </w:p>
    <w:p>
      <w:pPr>
        <w:pStyle w:val="Heading1"/>
      </w:pPr>
      <w:r>
        <w:t>Module 20. Principles of Hair Transplantation</w:t>
      </w:r>
    </w:p>
    <w:p>
      <w:r>
        <w:t>Hair transplantation should be taught as part of hair medicine, not as a separate cosmetic trade. The best surgical outcomes begin with correct diagnosis, realistic forecasting of future loss, donor preservation, recipient planning, and ethical patient selection.</w:t>
      </w:r>
    </w:p>
    <w:p>
      <w:pPr>
        <w:pStyle w:val="Heading2"/>
      </w:pPr>
      <w:r>
        <w:t>20.1 Surgical Candidacy</w:t>
      </w:r>
    </w:p>
    <w:p>
      <w:r>
        <w:t>Not every patient with hair loss is a transplant candidate. Surgery is best considered when diagnosis is secure, disease pattern is sufficiently understood, expectations are realistic, donor quality is acceptable, and the likely future course of loss has been factored into the design.</w:t>
      </w:r>
    </w:p>
    <w:p>
      <w:pPr>
        <w:pStyle w:val="ListBullet"/>
      </w:pPr>
      <w:r>
        <w:t>Unstable loss, active inflammatory disease, unrealistic age-inappropriate hairline goals, and poor donor reserve are major cautions.</w:t>
      </w:r>
    </w:p>
    <w:p>
      <w:pPr>
        <w:pStyle w:val="ListBullet"/>
      </w:pPr>
      <w:r>
        <w:t>Women require particularly thoughtful selection because diffuse thinning may compromise donor safety and aesthetic payoff.</w:t>
      </w:r>
    </w:p>
    <w:p>
      <w:pPr>
        <w:pStyle w:val="ListBullet"/>
      </w:pPr>
      <w:r>
        <w:t>Scarring alopecia requires sustained quiescence before restorative surgery is even considered.</w:t>
      </w:r>
    </w:p>
    <w:p>
      <w:pPr>
        <w:pStyle w:val="Heading2"/>
      </w:pPr>
      <w:r>
        <w:t>20.2 Donor Assessment</w:t>
      </w:r>
    </w:p>
    <w:p>
      <w:r>
        <w:t>The donor area should be treated as a finite biologic resource. Density, calibre, follicular-unit composition, miniaturisation, scalp laxity where relevant, curl, contrast, and future extraction needs all matter. Serious planning avoids the simplistic trap of focusing only on immediate graft count.</w:t>
      </w:r>
    </w:p>
    <w:p>
      <w:pPr>
        <w:pStyle w:val="Heading2"/>
      </w:pPr>
      <w:r>
        <w:t>20.3 Recipient Planning and Hairline Design</w:t>
      </w:r>
    </w:p>
    <w:p>
      <w:r>
        <w:t>Recipient design is a medical-aesthetic decision shaped by age, ethnicity, facial structure, likely future loss, donor limitations, and patient psychology. Naturalness requires restraint. Hairline lowering that ignores progression can create long-term surgical debt.</w:t>
      </w:r>
    </w:p>
    <w:p>
      <w:pPr>
        <w:pStyle w:val="Heading2"/>
      </w:pPr>
      <w:r>
        <w:t>20.4 FUT vs FUE</w:t>
      </w:r>
    </w:p>
    <w:p>
      <w:r>
        <w:t>Both FUT and FUE remain legitimate surgical methods. The educational goal is not ideological loyalty to one technique, but understanding the trade-offs in scarring pattern, extraction dynamics, donor management, total yield strategy, recovery, and candidate suitability.</w:t>
      </w:r>
    </w:p>
    <w:p>
      <w:pPr>
        <w:pStyle w:val="Heading2"/>
      </w:pPr>
      <w:r>
        <w:t>20.5 Shock Loss, Timing, and Long-Term Planning</w:t>
      </w:r>
    </w:p>
    <w:p>
      <w:r>
        <w:t>Patients must be counselled that transplanted hair is only one part of a lifelong plan. Native hair may continue to miniaturise, shock loss can occur, and future sessions may be limited by donor economics. The mature transplant surgeon-thinker plans for the next decade, not just the next six months.</w:t>
      </w:r>
    </w:p>
    <w:p>
      <w:pPr>
        <w:shd w:fill="EAF2F8"/>
      </w:pPr>
      <w:r>
        <w:rPr>
          <w:b/>
        </w:rPr>
        <w:t xml:space="preserve">Clinical pearl: </w:t>
      </w:r>
      <w:r>
        <w:t>A hair transplant is not the treatment for androgenetic alopecia; it is one component of a broader management strategy.</w:t>
      </w:r>
    </w:p>
    <w:p>
      <w:pPr>
        <w:pStyle w:val="Heading1"/>
      </w:pPr>
      <w:r>
        <w:t>Module 21. Advanced FUE Science</w:t>
      </w:r>
    </w:p>
    <w:p>
      <w:r>
        <w:t>Advanced FUE science sits at the intersection of surgical anatomy, instrumentation, skin biomechanics, graft preservation, and aesthetic planning. It should be taught to doctors as a precision tissue-handling discipline rather than a purely mechanical extraction exercise.</w:t>
      </w:r>
    </w:p>
    <w:p>
      <w:pPr>
        <w:pStyle w:val="Heading2"/>
      </w:pPr>
      <w:r>
        <w:t>21.1 Punch Dynamics and Transection Mechanics</w:t>
      </w:r>
    </w:p>
    <w:p>
      <w:r>
        <w:t>Transection risk is influenced by curl pattern, skin thickness, fibrosis, exit angle, punch diameter, sharpness profile, depth control, and operator technique. Teaching should therefore focus on why transection happens and how decision-making changes by hair type and scalp type.</w:t>
      </w:r>
    </w:p>
    <w:p>
      <w:pPr>
        <w:pStyle w:val="Heading2"/>
      </w:pPr>
      <w:r>
        <w:t>21.2 Donor Distribution and Overharvesting Prevention</w:t>
      </w:r>
    </w:p>
    <w:p>
      <w:r>
        <w:t>Good donor management depends on distributed extraction, avoidance of visible moth-eaten depletion, respect for safe donor boundaries, and an honest understanding of how much resource must be reserved for future work. Overharvesting is both a technical and an ethical failure.</w:t>
      </w:r>
    </w:p>
    <w:p>
      <w:pPr>
        <w:pStyle w:val="Heading2"/>
      </w:pPr>
      <w:r>
        <w:t>21.3 Graft Handling and Survival Logic</w:t>
      </w:r>
    </w:p>
    <w:p>
      <w:r>
        <w:t>Graft survival is influenced by dehydration avoidance, holding solution quality, out-of-body time, temperature control, and atraumatic implantation. Doctors should learn that excellent implantation cannot rescue poor graft stewardship earlier in the workflow.</w:t>
      </w:r>
    </w:p>
    <w:p>
      <w:pPr>
        <w:pStyle w:val="Heading2"/>
      </w:pPr>
      <w:r>
        <w:t>21.4 Density Strategy and Naturalness</w:t>
      </w:r>
    </w:p>
    <w:p>
      <w:r>
        <w:t>Density planning must be anatomically and aesthetically intelligent. Hairline density, frontal framing, mid-scalp blending, and crown economy all require different thinking. The educational aim is to teach allocation logic rather than simple 'maximum density' ideology.</w:t>
      </w:r>
    </w:p>
    <w:p>
      <w:pPr>
        <w:pStyle w:val="Heading2"/>
      </w:pPr>
      <w:r>
        <w:t>21.5 Bridge to Advanced Academy Techniques</w:t>
      </w:r>
    </w:p>
    <w:p>
      <w:r>
        <w:t>This module sets up the later transition into Long Hair FUE, unshaven strategies, regenerative donor optimisation, and partial transection concepts. Those advanced topics should be taught after the learner already understands extraction mechanics, donor economics, and graft biology.</w:t>
      </w:r>
    </w:p>
    <w:p>
      <w:pPr>
        <w:shd w:fill="EAF2F8"/>
      </w:pPr>
      <w:r>
        <w:rPr>
          <w:b/>
        </w:rPr>
        <w:t xml:space="preserve">LMS mapping note: </w:t>
      </w:r>
      <w:r>
        <w:t>Module 21 should later be paired with diagrams, transection-risk illustrations, donor-distribution schematics, and graft-handling workflow panels.</w:t>
      </w:r>
    </w:p>
    <w:p>
      <w:pPr>
        <w:pStyle w:val="Heading1"/>
      </w:pPr>
      <w:r>
        <w:t>End-of-Volume Integration</w:t>
      </w:r>
    </w:p>
    <w:p>
      <w:r>
        <w:t>By the end of Volume 4, the learner should be able to build rational medical treatment plans, correct systemic contributors without overmedicalising every case, position regenerative therapies honestly, assess when surgery is appropriate, and understand the tissue-level logic that underpins advanced FUE practice. This volume is the bridge from diagnosis into real therapeutic execution.</w:t>
      </w:r>
    </w:p>
    <w:p>
      <w:pPr>
        <w:pStyle w:val="Heading1"/>
      </w:pPr>
      <w:r>
        <w:t>LMS Conversion Notes</w:t>
      </w:r>
    </w:p>
    <w:p>
      <w:pPr>
        <w:pStyle w:val="ListBullet"/>
      </w:pPr>
      <w:r>
        <w:t>Module 17 should be split into therapeutic lessons by mechanism, indication, and safety logic.</w:t>
      </w:r>
    </w:p>
    <w:p>
      <w:pPr>
        <w:pStyle w:val="ListBullet"/>
      </w:pPr>
      <w:r>
        <w:t>Module 19 should include explicit evidence-tier labels: established, adjunctive, emerging, investigational.</w:t>
      </w:r>
    </w:p>
    <w:p>
      <w:pPr>
        <w:pStyle w:val="ListBullet"/>
      </w:pPr>
      <w:r>
        <w:t>Module 20 should include candidacy and long-term planning cases.</w:t>
      </w:r>
    </w:p>
    <w:p>
      <w:pPr>
        <w:pStyle w:val="ListBullet"/>
      </w:pPr>
      <w:r>
        <w:t>Module 21 should be paired with visual donor-management and transection-risk teaching assets.</w:t>
      </w:r>
    </w:p>
    <w:p>
      <w:pPr>
        <w:pStyle w:val="ListBullet"/>
      </w:pPr>
      <w:r>
        <w:t>Volume 4 should later feed directly into the surgeon and regenerative tracks of the IIIOHR portal.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4345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6466E"/>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646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4345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