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345C"/>
          <w:sz w:val="48"/>
        </w:rPr>
        <w:t>Volume 5</w:t>
      </w:r>
    </w:p>
    <w:p>
      <w:pPr>
        <w:jc w:val="center"/>
      </w:pPr>
      <w:r>
        <w:rPr>
          <w:b/>
          <w:sz w:val="36"/>
        </w:rPr>
        <w:t>Advanced Surgical Integration, Professional Practice,</w:t>
        <w:br/>
        <w:t>Research Literacy and Certification</w:t>
      </w:r>
    </w:p>
    <w:p>
      <w:pPr>
        <w:jc w:val="center"/>
      </w:pPr>
      <w:r>
        <w:rPr>
          <w:i/>
        </w:rPr>
        <w:t>HLI / IIIOHR Advanced Trichology Academy</w:t>
        <w:br/>
        <w:t>Postgraduate Manual Series</w:t>
      </w:r>
    </w:p>
    <w:p>
      <w:pPr>
        <w:pStyle w:val="Heading1"/>
      </w:pPr>
      <w:r>
        <w:t>Volume Overview</w:t>
      </w:r>
    </w:p>
    <w:p>
      <w:r>
        <w:t>Volume 5 completes the backbone of the academy. It advances from foundational transplant science into specialised procedural approaches such as Long Hair FUE and academy-signature donor-preservation concepts, then widens back out into the professional standards that determine whether a clinician can practise hair medicine responsibly: ethics, communication, research literacy, outcomes tracking, and capstone clinical integration. The aim is to graduate doctors who do not merely know techniques, but who can think, communicate, document, audit, and evolve within the discipline.</w:t>
      </w:r>
    </w:p>
    <w:p>
      <w:pPr>
        <w:shd w:fill="EAF2F8"/>
      </w:pPr>
      <w:r>
        <w:rPr>
          <w:b/>
        </w:rPr>
        <w:t xml:space="preserve">Educational focus: </w:t>
      </w:r>
      <w:r>
        <w:t>Advanced technique positioning, responsible innovation, recovery and complications, consent and ethics, scientific appraisal, case integration, and certification readiness.</w:t>
      </w:r>
    </w:p>
    <w:p>
      <w:pPr>
        <w:pStyle w:val="Heading2"/>
      </w:pPr>
      <w:r>
        <w:t>Modules Included</w:t>
      </w:r>
    </w:p>
    <w:p>
      <w:pPr>
        <w:pStyle w:val="ListBullet"/>
      </w:pPr>
      <w:r>
        <w:t>Module 22. Long Hair FUE and Unshaven Techniques</w:t>
      </w:r>
    </w:p>
    <w:p>
      <w:pPr>
        <w:pStyle w:val="ListBullet"/>
      </w:pPr>
      <w:r>
        <w:t>Module 23. Partial Transection and Regenerative Donor Concepts</w:t>
      </w:r>
    </w:p>
    <w:p>
      <w:pPr>
        <w:pStyle w:val="ListBullet"/>
      </w:pPr>
      <w:r>
        <w:t>Module 24. Surgical Recovery, Optimisation, and Complication Management</w:t>
      </w:r>
    </w:p>
    <w:p>
      <w:pPr>
        <w:pStyle w:val="ListBullet"/>
      </w:pPr>
      <w:r>
        <w:t>Module 25. Consultation Mastery, Ethics, and Psychological Care</w:t>
      </w:r>
    </w:p>
    <w:p>
      <w:pPr>
        <w:pStyle w:val="ListBullet"/>
      </w:pPr>
      <w:r>
        <w:t>Module 26. Research Literacy and Evidence Appraisal</w:t>
      </w:r>
    </w:p>
    <w:p>
      <w:pPr>
        <w:pStyle w:val="ListBullet"/>
      </w:pPr>
      <w:r>
        <w:t>Module 27. Capstone Case Review and Clinical Integration</w:t>
      </w:r>
    </w:p>
    <w:p>
      <w:pPr>
        <w:pStyle w:val="ListBullet"/>
      </w:pPr>
      <w:r>
        <w:t>Module 28. Final Assessment and Certification</w:t>
      </w:r>
    </w:p>
    <w:p>
      <w:pPr>
        <w:pStyle w:val="Heading1"/>
      </w:pPr>
      <w:r>
        <w:t>Module 22. Long Hair FUE and Unshaven Techniques</w:t>
      </w:r>
    </w:p>
    <w:p>
      <w:r>
        <w:t>Long Hair FUE and unshaven approaches occupy an important place in modern restorative practice because they respond to real patient needs around privacy, rapid return to work, donor concealment, and aesthetic continuity. Their value is not only cosmetic; they also challenge the surgeon to work with a more demanding visual field while preserving natural design logic. In women especially, long-hair approaches can be transformative because conventional shaving is a major barrier to treatment uptake.</w:t>
      </w:r>
    </w:p>
    <w:p>
      <w:pPr>
        <w:pStyle w:val="Heading2"/>
      </w:pPr>
      <w:r>
        <w:t>Learning Objectives</w:t>
      </w:r>
    </w:p>
    <w:p>
      <w:pPr>
        <w:pStyle w:val="ListBullet"/>
      </w:pPr>
      <w:r>
        <w:t>Understand the core indications and limitations of Long Hair FUE and unshaven implantation strategies.</w:t>
      </w:r>
    </w:p>
    <w:p>
      <w:pPr>
        <w:pStyle w:val="ListBullet"/>
      </w:pPr>
      <w:r>
        <w:t>Recognise which patient groups benefit most from concealment-oriented approaches.</w:t>
      </w:r>
    </w:p>
    <w:p>
      <w:pPr>
        <w:pStyle w:val="ListBullet"/>
      </w:pPr>
      <w:r>
        <w:t>Appreciate how visibility, workflow, and team coordination differ from standard shaved FUE.</w:t>
      </w:r>
    </w:p>
    <w:p>
      <w:pPr>
        <w:pStyle w:val="ListBullet"/>
      </w:pPr>
      <w:r>
        <w:t>Integrate Long Hair FUE into female hair restoration, temple work, and eyebrow restoration planning.</w:t>
      </w:r>
    </w:p>
    <w:p>
      <w:pPr>
        <w:pStyle w:val="Heading2"/>
      </w:pPr>
      <w:r>
        <w:t>22.1 Why Long Hair FUE Matters</w:t>
      </w:r>
    </w:p>
    <w:p>
      <w:r>
        <w:t>The relevance of Long Hair FUE is often underestimated by surgeons who focus only on technical efficiency. In real practice, patient barriers to surgery include fear of shaving, inability to take visible downtime, professional image concerns, and gender-specific social factors. Long Hair FUE directly addresses these barriers, making it an important procedural option rather than a niche add-on.</w:t>
      </w:r>
    </w:p>
    <w:p>
      <w:pPr>
        <w:shd w:fill="EAF2F8"/>
      </w:pPr>
      <w:r>
        <w:rPr>
          <w:b/>
        </w:rPr>
        <w:t xml:space="preserve">Clinical reasoning: </w:t>
      </w:r>
      <w:r>
        <w:t>Long Hair FUE should not be offered simply because it looks impressive. It should be selected when concealment, social recovery, and immediate visual continuity materially improve the patient's treatment pathway.</w:t>
      </w:r>
    </w:p>
    <w:p>
      <w:pPr>
        <w:pStyle w:val="Heading2"/>
      </w:pPr>
      <w:r>
        <w:t>22.2 Indications</w:t>
      </w:r>
    </w:p>
    <w:p>
      <w:pPr>
        <w:pStyle w:val="ListBullet"/>
      </w:pPr>
      <w:r>
        <w:t>Female patients seeking hairline, temple, diffuse pattern, or eyebrow restoration without donor shaving visibility.</w:t>
      </w:r>
    </w:p>
    <w:p>
      <w:pPr>
        <w:pStyle w:val="ListBullet"/>
      </w:pPr>
      <w:r>
        <w:t>Male patients in public-facing professions requiring rapid return to work.</w:t>
      </w:r>
    </w:p>
    <w:p>
      <w:pPr>
        <w:pStyle w:val="ListBullet"/>
      </w:pPr>
      <w:r>
        <w:t>Hairline refinement and limited-zone correction where concealment is particularly valuable.</w:t>
      </w:r>
    </w:p>
    <w:p>
      <w:pPr>
        <w:pStyle w:val="ListBullet"/>
      </w:pPr>
      <w:r>
        <w:t>Repair cases where incremental visible improvement is preferable to a fully shaved reset.</w:t>
      </w:r>
    </w:p>
    <w:p>
      <w:pPr>
        <w:pStyle w:val="Heading2"/>
      </w:pPr>
      <w:r>
        <w:t>22.3 Technical and Workflow Challenges</w:t>
      </w:r>
    </w:p>
    <w:p>
      <w:r>
        <w:t>Long Hair FUE is more demanding because hair length alters visibility, orientation, graft separation, and placement control. The surgeon must adapt extraction rhythm, field management, team workflow, and implantation handling. A teaching program should therefore position Long Hair FUE as an advanced operational method, not merely a marketing label.</w:t>
      </w:r>
    </w:p>
    <w:p>
      <w:pPr>
        <w:pStyle w:val="Heading2"/>
      </w:pPr>
      <w:r>
        <w:t>22.4 Female Applications</w:t>
      </w:r>
    </w:p>
    <w:p>
      <w:r>
        <w:t>Female hair restoration is one of the strongest indications for Long Hair FUE. This includes frontal softening, temple rounding, localized density work, scar concealment in selected cases, and eyebrow restoration. Female surgery demands conservative design, careful donor assessment, and a stronger appreciation of diffuse miniaturisation risk than is sometimes seen in male-focused surgical training.</w:t>
      </w:r>
    </w:p>
    <w:p>
      <w:pPr>
        <w:pStyle w:val="Heading2"/>
      </w:pPr>
      <w:r>
        <w:t>22.5 Eyebrow and Facial Hair Applications</w:t>
      </w:r>
    </w:p>
    <w:p>
      <w:r>
        <w:t>Long-hair planning is especially useful in eyebrow restoration because orientation, curl, and aesthetic preview matter greatly. Doctors should be taught that facial hair work is fundamentally design-sensitive and often psychologically important.</w:t>
      </w:r>
    </w:p>
    <w:p>
      <w:pPr>
        <w:shd w:fill="EAF2F8"/>
      </w:pPr>
      <w:r>
        <w:rPr>
          <w:b/>
        </w:rPr>
        <w:t xml:space="preserve">LMS mapping note: </w:t>
      </w:r>
      <w:r>
        <w:t>Module 22 should later include visual donor-concealment examples, female case pathways, and eyebrow-angle design teaching assets.</w:t>
      </w:r>
    </w:p>
    <w:p>
      <w:pPr>
        <w:pStyle w:val="Heading1"/>
      </w:pPr>
      <w:r>
        <w:t>Module 23. Partial Transection and Regenerative Donor Concepts</w:t>
      </w:r>
    </w:p>
    <w:p>
      <w:r>
        <w:t>This module presents one of the academy’s signature advanced concepts. Partial transection and regenerative donor thinking should be taught with scientific ambition and academic restraint. The clinician must understand the biological hypothesis, the potential donor preservation rationale, the role of stem-cell-rich follicular regions and dermal papilla biology, and the current limitations in external standardisation and large-scale comparative evidence.</w:t>
      </w:r>
    </w:p>
    <w:p>
      <w:pPr>
        <w:pStyle w:val="Heading2"/>
      </w:pPr>
      <w:r>
        <w:t>23.1 Conceptual Basis</w:t>
      </w:r>
    </w:p>
    <w:p>
      <w:r>
        <w:t>The concept rests on the idea that donor extraction strategies may be designed to preserve or leave behind biologically meaningful follicular elements capable of supporting some degree of donor-site regeneration or improved healing response, particularly when combined with regenerative support. This is best framed as an advanced donor-management and tissue-preservation hypothesis rather than as a settled universal fact.</w:t>
      </w:r>
    </w:p>
    <w:p>
      <w:pPr>
        <w:shd w:fill="FFF2CC"/>
      </w:pPr>
      <w:r>
        <w:rPr>
          <w:b/>
        </w:rPr>
        <w:t xml:space="preserve">Evidence tier: </w:t>
      </w:r>
      <w:r>
        <w:t>Partial transection should currently be taught as an academy-signature, advanced, emerging technique. It is not yet a mainstream guideline-level standard.</w:t>
      </w:r>
    </w:p>
    <w:p>
      <w:pPr>
        <w:pStyle w:val="Heading2"/>
      </w:pPr>
      <w:r>
        <w:t>23.2 Dermal Papilla and Stem-Cell Rationale</w:t>
      </w:r>
    </w:p>
    <w:p>
      <w:r>
        <w:t>The biological plausibility of partial transection is linked to preserved dermal papilla signalling, epithelial-mesenchymal interaction, and the regenerative capacity associated with key follicular cell populations. Doctors studying this concept should revisit Volume 1 science so that the innovation is understood through follicular biology rather than through procedural enthusiasm alone.</w:t>
      </w:r>
    </w:p>
    <w:p>
      <w:pPr>
        <w:pStyle w:val="Heading2"/>
      </w:pPr>
      <w:r>
        <w:t>23.3 Integration with PRP and Regenerative Support</w:t>
      </w:r>
    </w:p>
    <w:p>
      <w:r>
        <w:t>Within the academy framework, partial transection is not viewed in isolation. It is paired conceptually with donor-site support using regenerative strategies such as PRP and, where appropriate within regulatory and evidence boundaries, other microenvironment-supportive approaches. The teaching emphasis is on donor recovery, reduced visible impact, and preservation-oriented philosophy.</w:t>
      </w:r>
    </w:p>
    <w:p>
      <w:pPr>
        <w:pStyle w:val="Heading2"/>
      </w:pPr>
      <w:r>
        <w:t>23.4 Procedural Positioning</w:t>
      </w:r>
    </w:p>
    <w:p>
      <w:pPr>
        <w:pStyle w:val="ListBullet"/>
      </w:pPr>
      <w:r>
        <w:t>Should be reserved for advanced training pathways rather than beginner transplant modules.</w:t>
      </w:r>
    </w:p>
    <w:p>
      <w:pPr>
        <w:pStyle w:val="ListBullet"/>
      </w:pPr>
      <w:r>
        <w:t>Requires careful case selection, photographic documentation, and outcome tracking.</w:t>
      </w:r>
    </w:p>
    <w:p>
      <w:pPr>
        <w:pStyle w:val="ListBullet"/>
      </w:pPr>
      <w:r>
        <w:t>Must be presented with explicit discussion of limitations, unanswered questions, and the importance of audit.</w:t>
      </w:r>
    </w:p>
    <w:p>
      <w:pPr>
        <w:pStyle w:val="ListBullet"/>
      </w:pPr>
      <w:r>
        <w:t>Should be taught alongside donor ethics and the concept of finite donor economics.</w:t>
      </w:r>
    </w:p>
    <w:p>
      <w:pPr>
        <w:pStyle w:val="Heading2"/>
      </w:pPr>
      <w:r>
        <w:t>23.5 Academic Defensibility</w:t>
      </w:r>
    </w:p>
    <w:p>
      <w:r>
        <w:t>For university or doctor-level sign-off, the teaching language here must remain disciplined. The correct tone is not promotional certainty but structured innovation: biologically reasoned, clinically promising, rigorously documented, and open to refinement as evidence grows.</w:t>
      </w:r>
    </w:p>
    <w:p>
      <w:pPr>
        <w:shd w:fill="EAF2F8"/>
      </w:pPr>
      <w:r>
        <w:rPr>
          <w:b/>
        </w:rPr>
        <w:t xml:space="preserve">Clinical pearl: </w:t>
      </w:r>
      <w:r>
        <w:t>Responsible innovation is teachable. A doctor should know how to use new techniques without exaggerating certainty or outrunning evidence.</w:t>
      </w:r>
    </w:p>
    <w:p>
      <w:pPr>
        <w:pStyle w:val="Heading1"/>
      </w:pPr>
      <w:r>
        <w:t>Module 24. Surgical Recovery, Optimisation, and Complication Management</w:t>
      </w:r>
    </w:p>
    <w:p>
      <w:r>
        <w:t>Post-operative care is often under-taught relative to the surgery itself. Yet long-term outcome depends not only on extraction and implantation quality, but on wound healing, inflammation control, donor recovery, recipient care, infection prevention, patient education, and the early recognition of complications.</w:t>
      </w:r>
    </w:p>
    <w:p>
      <w:pPr>
        <w:pStyle w:val="Heading2"/>
      </w:pPr>
      <w:r>
        <w:t>24.1 Recovery Biology</w:t>
      </w:r>
    </w:p>
    <w:p>
      <w:r>
        <w:t>Doctors should understand the stages of donor and recipient healing, including inflammation, crusting, re-epithelialisation, telogen shedding of transplanted shafts, re-entry into anagen, and the long maturation phase of calibre and visual density.</w:t>
      </w:r>
    </w:p>
    <w:p>
      <w:pPr>
        <w:pStyle w:val="Heading2"/>
      </w:pPr>
      <w:r>
        <w:t>24.2 Donor Recovery and Optimisation</w:t>
      </w:r>
    </w:p>
    <w:p>
      <w:r>
        <w:t>Donor recovery matters aesthetically and psychologically. Teaching should cover shock, erythema, overharvest visibility, folliculitis, textural change, and how post-operative support strategies may improve recovery perception and confidence.</w:t>
      </w:r>
    </w:p>
    <w:p>
      <w:pPr>
        <w:pStyle w:val="Heading2"/>
      </w:pPr>
      <w:r>
        <w:t>24.3 Common Complications</w:t>
      </w:r>
    </w:p>
    <w:p>
      <w:pPr>
        <w:pStyle w:val="ListBullet"/>
      </w:pPr>
      <w:r>
        <w:t>Excessive donor depletion or patchiness</w:t>
      </w:r>
    </w:p>
    <w:p>
      <w:pPr>
        <w:pStyle w:val="ListBullet"/>
      </w:pPr>
      <w:r>
        <w:t>Poor growth or suboptimal graft survival</w:t>
      </w:r>
    </w:p>
    <w:p>
      <w:pPr>
        <w:pStyle w:val="ListBullet"/>
      </w:pPr>
      <w:r>
        <w:t>Shock loss in native recipient hair</w:t>
      </w:r>
    </w:p>
    <w:p>
      <w:pPr>
        <w:pStyle w:val="ListBullet"/>
      </w:pPr>
      <w:r>
        <w:t>Folliculitis, infection, or persistent crusting</w:t>
      </w:r>
    </w:p>
    <w:p>
      <w:pPr>
        <w:pStyle w:val="ListBullet"/>
      </w:pPr>
      <w:r>
        <w:t>Cobblestoning, pitting, or unnatural angle/orientation</w:t>
      </w:r>
    </w:p>
    <w:p>
      <w:pPr>
        <w:pStyle w:val="ListBullet"/>
      </w:pPr>
      <w:r>
        <w:t>Patient dissatisfaction despite technically adequate surgery</w:t>
      </w:r>
    </w:p>
    <w:p>
      <w:pPr>
        <w:pStyle w:val="Heading2"/>
      </w:pPr>
      <w:r>
        <w:t>24.4 Repair Logic</w:t>
      </w:r>
    </w:p>
    <w:p>
      <w:r>
        <w:t>Repair surgery should be taught as forensic and strategic work. The clinician must identify whether failure resulted from poor design, weak donor planning, low graft survival, continued progressive loss, unrealistic expectations, or a combination of factors. Repair is not simply a second surgery; it is a new diagnostic process.</w:t>
      </w:r>
    </w:p>
    <w:p>
      <w:pPr>
        <w:shd w:fill="FDEDEC"/>
      </w:pPr>
      <w:r>
        <w:rPr>
          <w:b/>
        </w:rPr>
        <w:t xml:space="preserve">Red flags: </w:t>
      </w:r>
      <w:r>
        <w:t>Scarring change, severe donor depletion, persistent inflammation, or unexpectedly low survival should trigger careful reassessment rather than routine reassurance.</w:t>
      </w:r>
    </w:p>
    <w:p>
      <w:pPr>
        <w:pStyle w:val="Heading1"/>
      </w:pPr>
      <w:r>
        <w:t>Module 25. Consultation Mastery, Ethics, and Psychological Care</w:t>
      </w:r>
    </w:p>
    <w:p>
      <w:r>
        <w:t>Hair medicine is psychologically charged. Doctors who are technically strong but weak in communication, consent, and ethical framing can still produce poor outcomes. This module is therefore central to the academy’s professional identity.</w:t>
      </w:r>
    </w:p>
    <w:p>
      <w:pPr>
        <w:pStyle w:val="Heading2"/>
      </w:pPr>
      <w:r>
        <w:t>25.1 The Emotional Reality of Hair Loss</w:t>
      </w:r>
    </w:p>
    <w:p>
      <w:r>
        <w:t>Hair loss affects self-image, age identity, perceived attractiveness, social confidence, and in some patients overall mental wellbeing. This does not mean every patient is psychologically fragile; it means the consultation must respect the depth of meaning hair can hold.</w:t>
      </w:r>
    </w:p>
    <w:p>
      <w:pPr>
        <w:pStyle w:val="Heading2"/>
      </w:pPr>
      <w:r>
        <w:t>25.2 Consultation Structure</w:t>
      </w:r>
    </w:p>
    <w:p>
      <w:pPr>
        <w:pStyle w:val="ListBullet"/>
      </w:pPr>
      <w:r>
        <w:t>Listen for the patient’s true problem, not just the visible pattern.</w:t>
      </w:r>
    </w:p>
    <w:p>
      <w:pPr>
        <w:pStyle w:val="ListBullet"/>
      </w:pPr>
      <w:r>
        <w:t>Clarify timeline, previous treatments, fears, expectations, and decision pressures.</w:t>
      </w:r>
    </w:p>
    <w:p>
      <w:pPr>
        <w:pStyle w:val="ListBullet"/>
      </w:pPr>
      <w:r>
        <w:t>Explain diagnosis in a layered way: what is happening, why it is happening, what can be changed, and what cannot.</w:t>
      </w:r>
    </w:p>
    <w:p>
      <w:pPr>
        <w:pStyle w:val="ListBullet"/>
      </w:pPr>
      <w:r>
        <w:t>Move from education to recommendation rather than from sales to persuasion.</w:t>
      </w:r>
    </w:p>
    <w:p>
      <w:pPr>
        <w:pStyle w:val="Heading2"/>
      </w:pPr>
      <w:r>
        <w:t>25.3 Ethical Boundaries</w:t>
      </w:r>
    </w:p>
    <w:p>
      <w:r>
        <w:t>Doctors must avoid overpromising, age-inappropriate design decisions, premature surgery, exploitative urgency, or presenting emerging therapies as settled science. Ethical practice protects both the patient and the academy’s credibility.</w:t>
      </w:r>
    </w:p>
    <w:p>
      <w:pPr>
        <w:pStyle w:val="Heading2"/>
      </w:pPr>
      <w:r>
        <w:t>25.4 Consent Standards</w:t>
      </w:r>
    </w:p>
    <w:p>
      <w:r>
        <w:t>Good consent is a process, not a form. It includes diagnosis, alternatives, likely benefit, limitations, maintenance needs, uncertainty, future progression, cost implications where relevant, and the possibility that a technically successful treatment may still fall short of a patient's emotional expectation.</w:t>
      </w:r>
    </w:p>
    <w:p>
      <w:pPr>
        <w:pStyle w:val="Heading2"/>
      </w:pPr>
      <w:r>
        <w:t>25.5 Long-Term Doctor–Patient Partnership</w:t>
      </w:r>
    </w:p>
    <w:p>
      <w:r>
        <w:t>Hair restoration medicine is longitudinal. The best clinicians think in years, not visits. They track progression, adjust plans, support adherence, and maintain trust even when results are partial or disease is chronic.</w:t>
      </w:r>
    </w:p>
    <w:p>
      <w:pPr>
        <w:shd w:fill="EAF2F8"/>
      </w:pPr>
      <w:r>
        <w:rPr>
          <w:b/>
        </w:rPr>
        <w:t xml:space="preserve">LMS mapping note: </w:t>
      </w:r>
      <w:r>
        <w:t>Module 25 should later include consultation scripts, expectation-management scenarios, and ethical dilemma case discussions.</w:t>
      </w:r>
    </w:p>
    <w:p>
      <w:pPr>
        <w:pStyle w:val="Heading1"/>
      </w:pPr>
      <w:r>
        <w:t>Module 26. Research Literacy and Evidence Appraisal</w:t>
      </w:r>
    </w:p>
    <w:p>
      <w:r>
        <w:t>A modern hair doctor must be able to read literature critically. The field contains strong data, weak data, commercial bias, small case series, before-and-after marketing masquerading as evidence, and fast-moving regenerative claims. Research literacy is therefore a patient-safety skill as much as an academic skill.</w:t>
      </w:r>
    </w:p>
    <w:p>
      <w:pPr>
        <w:pStyle w:val="Heading2"/>
      </w:pPr>
      <w:r>
        <w:t>26.1 Levels of Evidence</w:t>
      </w:r>
    </w:p>
    <w:p>
      <w:r>
        <w:t>Learners should understand the hierarchy from expert opinion and case reports through cohort studies, controlled trials, systematic reviews, and meta-analyses, while also recognising that procedure-based disciplines may contain important practice knowledge outside large pharmaceutical-style trials.</w:t>
      </w:r>
    </w:p>
    <w:p>
      <w:pPr>
        <w:pStyle w:val="Heading2"/>
      </w:pPr>
      <w:r>
        <w:t>26.2 Common Sources of Bias in Hair Literature</w:t>
      </w:r>
    </w:p>
    <w:p>
      <w:pPr>
        <w:pStyle w:val="ListBullet"/>
      </w:pPr>
      <w:r>
        <w:t>Small sample size and underpowered studies</w:t>
      </w:r>
    </w:p>
    <w:p>
      <w:pPr>
        <w:pStyle w:val="ListBullet"/>
      </w:pPr>
      <w:r>
        <w:t>Variable photography and uncontrolled visual comparisons</w:t>
      </w:r>
    </w:p>
    <w:p>
      <w:pPr>
        <w:pStyle w:val="ListBullet"/>
      </w:pPr>
      <w:r>
        <w:t>Short follow-up in slowly changing disorders</w:t>
      </w:r>
    </w:p>
    <w:p>
      <w:pPr>
        <w:pStyle w:val="ListBullet"/>
      </w:pPr>
      <w:r>
        <w:t>Selection bias and publication bias</w:t>
      </w:r>
    </w:p>
    <w:p>
      <w:pPr>
        <w:pStyle w:val="ListBullet"/>
      </w:pPr>
      <w:r>
        <w:t>Heterogeneous treatment protocols in PRP and regenerative medicine</w:t>
      </w:r>
    </w:p>
    <w:p>
      <w:pPr>
        <w:pStyle w:val="ListBullet"/>
      </w:pPr>
      <w:r>
        <w:t>Commercial sponsorship and marketing language</w:t>
      </w:r>
    </w:p>
    <w:p>
      <w:pPr>
        <w:pStyle w:val="Heading2"/>
      </w:pPr>
      <w:r>
        <w:t>26.3 Reading Before-and-After Data Critically</w:t>
      </w:r>
    </w:p>
    <w:p>
      <w:r>
        <w:t>Doctors should examine angle, lighting, styling, hair length, density concealment, part-line manipulation, and timescale. Visual change without methodological discipline can mislead both clinicians and patients.</w:t>
      </w:r>
    </w:p>
    <w:p>
      <w:pPr>
        <w:pStyle w:val="Heading2"/>
      </w:pPr>
      <w:r>
        <w:t>26.4 Outcomes Tracking and Registry Thinking</w:t>
      </w:r>
    </w:p>
    <w:p>
      <w:r>
        <w:t>The academy should train doctors to document outcomes consistently using photography, trichoscopy, donor mapping, treatment protocol logging, and longitudinal notes. This mindset supports quality improvement, audit, publication, and eventually tools like HairAudit and Follicle Intelligence.</w:t>
      </w:r>
    </w:p>
    <w:p>
      <w:pPr>
        <w:shd w:fill="EAF2F8"/>
      </w:pPr>
      <w:r>
        <w:rPr>
          <w:b/>
        </w:rPr>
        <w:t xml:space="preserve">Strategic note: </w:t>
      </w:r>
      <w:r>
        <w:t>This module can become a distinctive strength of the academy because it links education to measurable outcomes rather than opinion alone.</w:t>
      </w:r>
    </w:p>
    <w:p>
      <w:pPr>
        <w:pStyle w:val="Heading1"/>
      </w:pPr>
      <w:r>
        <w:t>Module 27. Capstone Case Review and Clinical Integration</w:t>
      </w:r>
    </w:p>
    <w:p>
      <w:r>
        <w:t>The capstone module is where isolated knowledge becomes real clinical competence. Doctors should be tested on how they integrate history, examination, trichoscopy, investigation, diagnosis, treatment planning, ethical communication, and follow-up strategy in complete cases.</w:t>
      </w:r>
    </w:p>
    <w:p>
      <w:pPr>
        <w:pStyle w:val="Heading2"/>
      </w:pPr>
      <w:r>
        <w:t>27.1 Case Domains</w:t>
      </w:r>
    </w:p>
    <w:p>
      <w:pPr>
        <w:pStyle w:val="ListBullet"/>
      </w:pPr>
      <w:r>
        <w:t>Male androgenetic alopecia with future-loss forecasting</w:t>
      </w:r>
    </w:p>
    <w:p>
      <w:pPr>
        <w:pStyle w:val="ListBullet"/>
      </w:pPr>
      <w:r>
        <w:t>Female patterned hair loss with endocrine overlap</w:t>
      </w:r>
    </w:p>
    <w:p>
      <w:pPr>
        <w:pStyle w:val="ListBullet"/>
      </w:pPr>
      <w:r>
        <w:t>Diffuse shedding with mixed TE and background miniaturisation</w:t>
      </w:r>
    </w:p>
    <w:p>
      <w:pPr>
        <w:pStyle w:val="ListBullet"/>
      </w:pPr>
      <w:r>
        <w:t>Alopecia areata vs telogen effluvium differential</w:t>
      </w:r>
    </w:p>
    <w:p>
      <w:pPr>
        <w:pStyle w:val="ListBullet"/>
      </w:pPr>
      <w:r>
        <w:t>Lymphocytic cicatricial alopecia requiring biopsy and disease control</w:t>
      </w:r>
    </w:p>
    <w:p>
      <w:pPr>
        <w:pStyle w:val="ListBullet"/>
      </w:pPr>
      <w:r>
        <w:t>Transplant candidacy and donor limitation case</w:t>
      </w:r>
    </w:p>
    <w:p>
      <w:pPr>
        <w:pStyle w:val="ListBullet"/>
      </w:pPr>
      <w:r>
        <w:t>Repair surgery with prior suboptimal results</w:t>
      </w:r>
    </w:p>
    <w:p>
      <w:pPr>
        <w:pStyle w:val="ListBullet"/>
      </w:pPr>
      <w:r>
        <w:t>Regenerative medicine planning with honest evidence framing</w:t>
      </w:r>
    </w:p>
    <w:p>
      <w:pPr>
        <w:pStyle w:val="Heading2"/>
      </w:pPr>
      <w:r>
        <w:t>27.2 What the Learner Must Demonstrate</w:t>
      </w:r>
    </w:p>
    <w:p>
      <w:pPr>
        <w:pStyle w:val="ListBullet"/>
      </w:pPr>
      <w:r>
        <w:t>Accurate disease classification and differential diagnosis</w:t>
      </w:r>
    </w:p>
    <w:p>
      <w:pPr>
        <w:pStyle w:val="ListBullet"/>
      </w:pPr>
      <w:r>
        <w:t>Appropriate use of investigations and biopsy logic</w:t>
      </w:r>
    </w:p>
    <w:p>
      <w:pPr>
        <w:pStyle w:val="ListBullet"/>
      </w:pPr>
      <w:r>
        <w:t>Safe and evidence-aware treatment sequencing</w:t>
      </w:r>
    </w:p>
    <w:p>
      <w:pPr>
        <w:pStyle w:val="ListBullet"/>
      </w:pPr>
      <w:r>
        <w:t>Recognition of contraindications and referral thresholds</w:t>
      </w:r>
    </w:p>
    <w:p>
      <w:pPr>
        <w:pStyle w:val="ListBullet"/>
      </w:pPr>
      <w:r>
        <w:t>Ethical explanation and expectation management</w:t>
      </w:r>
    </w:p>
    <w:p>
      <w:pPr>
        <w:pStyle w:val="ListBullet"/>
      </w:pPr>
      <w:r>
        <w:t>Longitudinal planning rather than one-off intervention thinking</w:t>
      </w:r>
    </w:p>
    <w:p>
      <w:pPr>
        <w:pStyle w:val="Heading2"/>
      </w:pPr>
      <w:r>
        <w:t>27.3 Viva Preparation</w:t>
      </w:r>
    </w:p>
    <w:p>
      <w:r>
        <w:t>A strong viva tests not just memory, but reasoning. The learner should be able to defend why a diagnosis was favoured, why an alternative was excluded, what the treatment goals are, what the evidence level is, and how the patient would be counselled.</w:t>
      </w:r>
    </w:p>
    <w:p>
      <w:pPr>
        <w:pStyle w:val="Heading1"/>
      </w:pPr>
      <w:r>
        <w:t>Module 28. Final Assessment and Certification</w:t>
      </w:r>
    </w:p>
    <w:p>
      <w:r>
        <w:t>The final module defines how completion is judged and what the award means. A credible certification should represent demonstrable competence, not passive content consumption.</w:t>
      </w:r>
    </w:p>
    <w:p>
      <w:pPr>
        <w:pStyle w:val="Heading2"/>
      </w:pPr>
      <w:r>
        <w:t>28.1 Assessment Structure</w:t>
      </w:r>
    </w:p>
    <w:p>
      <w:pPr>
        <w:pStyle w:val="ListBullet"/>
      </w:pPr>
      <w:r>
        <w:t>Written knowledge examination</w:t>
      </w:r>
    </w:p>
    <w:p>
      <w:pPr>
        <w:pStyle w:val="ListBullet"/>
      </w:pPr>
      <w:r>
        <w:t>Image-based trichoscopy and scalp pathology interpretation</w:t>
      </w:r>
    </w:p>
    <w:p>
      <w:pPr>
        <w:pStyle w:val="ListBullet"/>
      </w:pPr>
      <w:r>
        <w:t>Case-based short answer and clinical reasoning assessment</w:t>
      </w:r>
    </w:p>
    <w:p>
      <w:pPr>
        <w:pStyle w:val="ListBullet"/>
      </w:pPr>
      <w:r>
        <w:t>Treatment-planning portfolio</w:t>
      </w:r>
    </w:p>
    <w:p>
      <w:pPr>
        <w:pStyle w:val="ListBullet"/>
      </w:pPr>
      <w:r>
        <w:t>Faculty-reviewed capstone submission</w:t>
      </w:r>
    </w:p>
    <w:p>
      <w:pPr>
        <w:pStyle w:val="ListBullet"/>
      </w:pPr>
      <w:r>
        <w:t>Optional distinction or honours pathway for high performers</w:t>
      </w:r>
    </w:p>
    <w:p>
      <w:pPr>
        <w:pStyle w:val="Heading2"/>
      </w:pPr>
      <w:r>
        <w:t>28.2 Pass Criteria</w:t>
      </w:r>
    </w:p>
    <w:p>
      <w:r>
        <w:t>Certification should require satisfactory performance across knowledge, reasoning, and case integration domains. This avoids the weakness of programs that rely only on multiple-choice completion.</w:t>
      </w:r>
    </w:p>
    <w:p>
      <w:pPr>
        <w:pStyle w:val="Heading2"/>
      </w:pPr>
      <w:r>
        <w:t>28.3 Certification Meaning</w:t>
      </w:r>
    </w:p>
    <w:p>
      <w:r>
        <w:t>The award should certify that the doctor has completed a structured postgraduate training pathway in clinical trichology and hair restoration medicine, demonstrated competence in core diagnostic and therapeutic reasoning, and met the academy’s standards in ethical and evidence-aware practice.</w:t>
      </w:r>
    </w:p>
    <w:p>
      <w:pPr>
        <w:pStyle w:val="Heading2"/>
      </w:pPr>
      <w:r>
        <w:t>28.4 University and Doctor Sign-Off Considerations</w:t>
      </w:r>
    </w:p>
    <w:p>
      <w:r>
        <w:t>For university alignment, the certification framework should include formal learning outcomes, moderation logic, version control, faculty oversight, and clear differentiation between established evidence, consensus practice, and emerging innovation.</w:t>
      </w:r>
    </w:p>
    <w:p>
      <w:pPr>
        <w:shd w:fill="EAF2F8"/>
      </w:pPr>
      <w:r>
        <w:rPr>
          <w:b/>
        </w:rPr>
        <w:t xml:space="preserve">Certification principle: </w:t>
      </w:r>
      <w:r>
        <w:t>The stronger the assessment architecture, the more credible the certification becomes to doctors, institutions, and future academic partners.</w:t>
      </w:r>
    </w:p>
    <w:p>
      <w:pPr>
        <w:pStyle w:val="Heading1"/>
      </w:pPr>
      <w:r>
        <w:t>End-of-Volume Integration</w:t>
      </w:r>
    </w:p>
    <w:p>
      <w:r>
        <w:t>By the end of Volume 5, the learner should be able to understand advanced concealment-focused surgical options, place partial transection and regenerative donor concepts in a disciplined evidence-aware framework, manage post-operative recovery and complications more intelligently, consult ethically, critique literature, document outcomes, and demonstrate integrated clinical competence through final assessment.</w:t>
      </w:r>
    </w:p>
    <w:p>
      <w:pPr>
        <w:pStyle w:val="Heading1"/>
      </w:pPr>
      <w:r>
        <w:t>Completion of the Backbone Program</w:t>
      </w:r>
    </w:p>
    <w:p>
      <w:r>
        <w:t>Volumes 1–5 together form the backbone of the academy’s postgraduate curriculum. They are designed to function as a teaching manual, a certification framework, and a source text for the IIIOHR online doctor platform. The next operational stage is to map these volumes into structured lessons, quizzes, case modules, and certificate logic inside the LMS build.</w:t>
      </w:r>
    </w:p>
    <w:p>
      <w:pPr>
        <w:pStyle w:val="Heading1"/>
      </w:pPr>
      <w:r>
        <w:t>LMS Conversion Notes</w:t>
      </w:r>
    </w:p>
    <w:p>
      <w:pPr>
        <w:pStyle w:val="ListBullet"/>
      </w:pPr>
      <w:r>
        <w:t>Module 22 should later include advanced surgical visuals, female and eyebrow case examples, and recovery-timeline teaching assets.</w:t>
      </w:r>
    </w:p>
    <w:p>
      <w:pPr>
        <w:pStyle w:val="ListBullet"/>
      </w:pPr>
      <w:r>
        <w:t>Module 23 should include evidence-tier labels, procedural animation concepts, and outcome-audit fields.</w:t>
      </w:r>
    </w:p>
    <w:p>
      <w:pPr>
        <w:pStyle w:val="ListBullet"/>
      </w:pPr>
      <w:r>
        <w:t>Module 25 should become a highly interactive communication and ethics module with scenario branching.</w:t>
      </w:r>
    </w:p>
    <w:p>
      <w:pPr>
        <w:pStyle w:val="ListBullet"/>
      </w:pPr>
      <w:r>
        <w:t>Module 26 should support downloadable appraisal checklists and research-review templates.</w:t>
      </w:r>
    </w:p>
    <w:p>
      <w:pPr>
        <w:pStyle w:val="ListBullet"/>
      </w:pPr>
      <w:r>
        <w:t>Modules 27 and 28 should directly inform the final online capstone and certification engine in the IIIOHR portal.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4345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6466E"/>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6464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4345C"/>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