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76" w:lineRule="auto"/>
        <w:jc w:val="center"/>
      </w:pPr>
      <w:r>
        <w:rPr>
          <w:b/>
          <w:color w:val="162B4A"/>
          <w:sz w:val="52"/>
        </w:rPr>
        <w:t>IIOHR Consultant / Nurse Academy</w:t>
      </w:r>
    </w:p>
    <w:p>
      <w:pPr>
        <w:spacing w:before="0" w:after="40" w:line="276" w:lineRule="auto"/>
        <w:jc w:val="center"/>
      </w:pPr>
      <w:r>
        <w:rPr>
          <w:color w:val="57606F"/>
          <w:sz w:val="28"/>
        </w:rPr>
        <w:t>Framework for the Online Professional Education Platform</w:t>
      </w:r>
    </w:p>
    <w:p>
      <w:pPr>
        <w:spacing w:before="0" w:after="320" w:line="276" w:lineRule="auto"/>
        <w:jc w:val="center"/>
      </w:pPr>
      <w:r>
        <w:rPr>
          <w:i/>
          <w:color w:val="846226"/>
          <w:sz w:val="30"/>
        </w:rPr>
        <w:t>Certificate in Hair Loss Consultation &amp; Clinical Patient Coordination</w:t>
      </w:r>
    </w:p>
    <w:tbl>
      <w:tblPr>
        <w:tblW w:type="auto" w:w="0"/>
        <w:jc w:val="center"/>
        <w:tblLayout w:type="fixed"/>
        <w:tblLook w:firstColumn="1" w:firstRow="1" w:lastColumn="0" w:lastRow="0" w:noHBand="0" w:noVBand="1" w:val="04A0"/>
      </w:tblPr>
      <w:tblGrid>
        <w:gridCol w:w="9632"/>
      </w:tblGrid>
      <w:tr>
        <w:tc>
          <w:tcPr>
            <w:tcW w:type="dxa" w:w="8787"/>
            <w:shd w:fill="F4F6F8"/>
            <w:tcMar>
              <w:top w:w="130" w:type="dxa"/>
              <w:start w:w="180" w:type="dxa"/>
              <w:bottom w:w="130" w:type="dxa"/>
              <w:end w:w="180" w:type="dxa"/>
            </w:tcMar>
            <w:vAlign w:val="center"/>
          </w:tcPr>
          <w:p>
            <w:pPr>
              <w:spacing w:before="0" w:after="0" w:line="288" w:lineRule="auto"/>
              <w:jc w:val="left"/>
            </w:pPr>
            <w:r>
              <w:rPr>
                <w:b/>
                <w:color w:val="162B4A"/>
                <w:sz w:val="22"/>
              </w:rPr>
              <w:t>Purpose</w:t>
              <w:br/>
            </w:r>
            <w:r>
              <w:rPr>
                <w:sz w:val="21"/>
              </w:rPr>
              <w:t>To establish a university-grade, online professional education pathway for consultants, nurses, coordinators, and patient-facing clinic staff working in hair restoration. The program is designed to professionalise the pre-doctor patient journey through stronger clinical literacy, ethical consultation practice, structured screening support, communication, documentation, and coordinated care.</w:t>
            </w:r>
          </w:p>
        </w:tc>
      </w:tr>
    </w:tbl>
    <w:p/>
    <w:p>
      <w:pPr>
        <w:pStyle w:val="Heading1"/>
        <w:spacing w:before="160" w:after="120" w:line="276" w:lineRule="auto"/>
      </w:pPr>
      <w:r>
        <w:t>Program Snapshot</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tcMar>
              <w:top w:w="90" w:type="dxa"/>
              <w:start w:w="120" w:type="dxa"/>
              <w:bottom w:w="90" w:type="dxa"/>
              <w:end w:w="120" w:type="dxa"/>
            </w:tcMar>
            <w:vAlign w:val="center"/>
            <w:shd w:fill="E9EEF4"/>
          </w:tcPr>
          <w:p>
            <w:pPr>
              <w:spacing w:before="0" w:after="0" w:line="276" w:lineRule="auto"/>
            </w:pPr>
            <w:r>
              <w:rPr>
                <w:b/>
                <w:color w:val="162B4A"/>
                <w:sz w:val="20"/>
              </w:rPr>
              <w:t>Working title</w:t>
            </w:r>
          </w:p>
        </w:tc>
        <w:tc>
          <w:tcPr>
            <w:tcW w:type="dxa" w:w="5953"/>
            <w:tcMar>
              <w:top w:w="90" w:type="dxa"/>
              <w:start w:w="120" w:type="dxa"/>
              <w:bottom w:w="90" w:type="dxa"/>
              <w:end w:w="120" w:type="dxa"/>
            </w:tcMar>
            <w:vAlign w:val="center"/>
          </w:tcPr>
          <w:p>
            <w:pPr>
              <w:spacing w:before="0" w:after="0" w:line="276" w:lineRule="auto"/>
            </w:pPr>
            <w:r>
              <w:rPr>
                <w:sz w:val="20"/>
              </w:rPr>
              <w:t>IIOHR Certificate in Hair Loss Consultation &amp; Clinical Patient Coordination</w:t>
            </w:r>
          </w:p>
        </w:tc>
      </w:tr>
      <w:tr>
        <w:tc>
          <w:tcPr>
            <w:tcW w:type="dxa" w:w="2835"/>
            <w:tcMar>
              <w:top w:w="90" w:type="dxa"/>
              <w:start w:w="120" w:type="dxa"/>
              <w:bottom w:w="90" w:type="dxa"/>
              <w:end w:w="120" w:type="dxa"/>
            </w:tcMar>
            <w:vAlign w:val="center"/>
            <w:shd w:fill="E9EEF4"/>
          </w:tcPr>
          <w:p>
            <w:pPr>
              <w:spacing w:before="0" w:after="0" w:line="276" w:lineRule="auto"/>
            </w:pPr>
            <w:r>
              <w:rPr>
                <w:b/>
                <w:color w:val="162B4A"/>
                <w:sz w:val="20"/>
              </w:rPr>
              <w:t>Audience</w:t>
            </w:r>
          </w:p>
        </w:tc>
        <w:tc>
          <w:tcPr>
            <w:tcW w:type="dxa" w:w="5953"/>
            <w:tcMar>
              <w:top w:w="90" w:type="dxa"/>
              <w:start w:w="120" w:type="dxa"/>
              <w:bottom w:w="90" w:type="dxa"/>
              <w:end w:w="120" w:type="dxa"/>
            </w:tcMar>
            <w:vAlign w:val="center"/>
          </w:tcPr>
          <w:p>
            <w:pPr>
              <w:spacing w:before="0" w:after="0" w:line="276" w:lineRule="auto"/>
            </w:pPr>
            <w:r>
              <w:rPr>
                <w:sz w:val="20"/>
              </w:rPr>
              <w:t>Consultants, nurses, patient coordinators, treatment coordinators, senior front-end managers</w:t>
            </w:r>
          </w:p>
        </w:tc>
      </w:tr>
      <w:tr>
        <w:tc>
          <w:tcPr>
            <w:tcW w:type="dxa" w:w="2835"/>
            <w:tcMar>
              <w:top w:w="90" w:type="dxa"/>
              <w:start w:w="120" w:type="dxa"/>
              <w:bottom w:w="90" w:type="dxa"/>
              <w:end w:w="120" w:type="dxa"/>
            </w:tcMar>
            <w:vAlign w:val="center"/>
            <w:shd w:fill="E9EEF4"/>
          </w:tcPr>
          <w:p>
            <w:pPr>
              <w:spacing w:before="0" w:after="0" w:line="276" w:lineRule="auto"/>
            </w:pPr>
            <w:r>
              <w:rPr>
                <w:b/>
                <w:color w:val="162B4A"/>
                <w:sz w:val="20"/>
              </w:rPr>
              <w:t>Recommended duration</w:t>
            </w:r>
          </w:p>
        </w:tc>
        <w:tc>
          <w:tcPr>
            <w:tcW w:type="dxa" w:w="5953"/>
            <w:tcMar>
              <w:top w:w="90" w:type="dxa"/>
              <w:start w:w="120" w:type="dxa"/>
              <w:bottom w:w="90" w:type="dxa"/>
              <w:end w:w="120" w:type="dxa"/>
            </w:tcMar>
            <w:vAlign w:val="center"/>
          </w:tcPr>
          <w:p>
            <w:pPr>
              <w:spacing w:before="0" w:after="0" w:line="276" w:lineRule="auto"/>
            </w:pPr>
            <w:r>
              <w:rPr>
                <w:sz w:val="20"/>
              </w:rPr>
              <w:t>12 weeks online</w:t>
            </w:r>
          </w:p>
        </w:tc>
      </w:tr>
      <w:tr>
        <w:tc>
          <w:tcPr>
            <w:tcW w:type="dxa" w:w="2835"/>
            <w:tcMar>
              <w:top w:w="90" w:type="dxa"/>
              <w:start w:w="120" w:type="dxa"/>
              <w:bottom w:w="90" w:type="dxa"/>
              <w:end w:w="120" w:type="dxa"/>
            </w:tcMar>
            <w:vAlign w:val="center"/>
            <w:shd w:fill="E9EEF4"/>
          </w:tcPr>
          <w:p>
            <w:pPr>
              <w:spacing w:before="0" w:after="0" w:line="276" w:lineRule="auto"/>
            </w:pPr>
            <w:r>
              <w:rPr>
                <w:b/>
                <w:color w:val="162B4A"/>
                <w:sz w:val="20"/>
              </w:rPr>
              <w:t>Delivery model</w:t>
            </w:r>
          </w:p>
        </w:tc>
        <w:tc>
          <w:tcPr>
            <w:tcW w:type="dxa" w:w="5953"/>
            <w:tcMar>
              <w:top w:w="90" w:type="dxa"/>
              <w:start w:w="120" w:type="dxa"/>
              <w:bottom w:w="90" w:type="dxa"/>
              <w:end w:w="120" w:type="dxa"/>
            </w:tcMar>
            <w:vAlign w:val="center"/>
          </w:tcPr>
          <w:p>
            <w:pPr>
              <w:spacing w:before="0" w:after="0" w:line="276" w:lineRule="auto"/>
            </w:pPr>
            <w:r>
              <w:rPr>
                <w:sz w:val="20"/>
              </w:rPr>
              <w:t>Self-paced learning, case-based modules, quizzes, practical tasks, live tutorials/webinars</w:t>
            </w:r>
          </w:p>
        </w:tc>
      </w:tr>
      <w:tr>
        <w:tc>
          <w:tcPr>
            <w:tcW w:type="dxa" w:w="2835"/>
            <w:tcMar>
              <w:top w:w="90" w:type="dxa"/>
              <w:start w:w="120" w:type="dxa"/>
              <w:bottom w:w="90" w:type="dxa"/>
              <w:end w:w="120" w:type="dxa"/>
            </w:tcMar>
            <w:vAlign w:val="center"/>
            <w:shd w:fill="E9EEF4"/>
          </w:tcPr>
          <w:p>
            <w:pPr>
              <w:spacing w:before="0" w:after="0" w:line="276" w:lineRule="auto"/>
            </w:pPr>
            <w:r>
              <w:rPr>
                <w:b/>
                <w:color w:val="162B4A"/>
                <w:sz w:val="20"/>
              </w:rPr>
              <w:t>Primary outcome</w:t>
            </w:r>
          </w:p>
        </w:tc>
        <w:tc>
          <w:tcPr>
            <w:tcW w:type="dxa" w:w="5953"/>
            <w:tcMar>
              <w:top w:w="90" w:type="dxa"/>
              <w:start w:w="120" w:type="dxa"/>
              <w:bottom w:w="90" w:type="dxa"/>
              <w:end w:w="120" w:type="dxa"/>
            </w:tcMar>
            <w:vAlign w:val="center"/>
          </w:tcPr>
          <w:p>
            <w:pPr>
              <w:spacing w:before="0" w:after="0" w:line="276" w:lineRule="auto"/>
            </w:pPr>
            <w:r>
              <w:rPr>
                <w:sz w:val="20"/>
              </w:rPr>
              <w:t>A safer, more consistent, more ethical patient-facing workforce within appropriate scope of practice</w:t>
            </w:r>
          </w:p>
        </w:tc>
      </w:tr>
    </w:tbl>
    <w:p>
      <w:pPr>
        <w:pStyle w:val="Heading1"/>
        <w:spacing w:before="200" w:after="80" w:line="276" w:lineRule="auto"/>
      </w:pPr>
      <w:r>
        <w:t>1. Strategic Purpose of This Academy Stream</w:t>
      </w:r>
    </w:p>
    <w:p>
      <w:pPr>
        <w:pStyle w:val="ListBullet"/>
        <w:spacing w:before="0" w:after="20" w:line="276" w:lineRule="auto"/>
      </w:pPr>
      <w:r>
        <w:rPr>
          <w:sz w:val="21"/>
        </w:rPr>
        <w:t>This program is designed to solve five major industry problems: poor pre-doctor screening, overconfident non-doctor consultations, weak patient education, poor expectation setting, and the absence of a formal professional training pathway for patient-facing clinic staff.</w:t>
      </w:r>
    </w:p>
    <w:p>
      <w:pPr>
        <w:pStyle w:val="ListBullet"/>
        <w:spacing w:before="0" w:after="20" w:line="276" w:lineRule="auto"/>
      </w:pPr>
      <w:r>
        <w:rPr>
          <w:sz w:val="21"/>
        </w:rPr>
        <w:t>It positions IIOHR as the institution that professionalises the front line of hair restoration and lifts standards before the patient ever reaches the doctor or surgeon.</w:t>
      </w:r>
    </w:p>
    <w:p>
      <w:pPr>
        <w:pStyle w:val="Heading1"/>
        <w:spacing w:before="200" w:after="80" w:line="276" w:lineRule="auto"/>
      </w:pPr>
      <w:r>
        <w:t>2. Positioning Statement</w:t>
      </w:r>
    </w:p>
    <w:p>
      <w:pPr>
        <w:pStyle w:val="ListBullet"/>
        <w:spacing w:before="0" w:after="20" w:line="276" w:lineRule="auto"/>
      </w:pPr>
      <w:r>
        <w:rPr>
          <w:sz w:val="21"/>
        </w:rPr>
        <w:t>The IIOHR Consultant &amp; Nurse Education Pathway is designed to train patient-facing professionals in ethical consultation, clinical screening support, hair loss literacy, documentation, communication, and care coordination within the boundaries of their professional role.</w:t>
      </w:r>
    </w:p>
    <w:p>
      <w:pPr>
        <w:pStyle w:val="ListBullet"/>
        <w:spacing w:before="0" w:after="20" w:line="276" w:lineRule="auto"/>
      </w:pPr>
      <w:r>
        <w:rPr>
          <w:sz w:val="21"/>
        </w:rPr>
        <w:t>This course does not turn consultants into doctors. It turns them into safer, more knowledgeable, more ethical, and more effective clinical support professionals.</w:t>
      </w:r>
    </w:p>
    <w:p>
      <w:pPr>
        <w:pStyle w:val="Heading1"/>
        <w:spacing w:before="200" w:after="80" w:line="276" w:lineRule="auto"/>
      </w:pPr>
      <w:r>
        <w:t>3. Guiding Principles</w:t>
      </w:r>
    </w:p>
    <w:p>
      <w:pPr>
        <w:pStyle w:val="ListBullet"/>
        <w:spacing w:before="0" w:after="20" w:line="276" w:lineRule="auto"/>
      </w:pPr>
      <w:r>
        <w:rPr>
          <w:sz w:val="21"/>
        </w:rPr>
        <w:t>Scope before confidence: learners must know what they can say, what they cannot say, and when escalation is required.</w:t>
      </w:r>
    </w:p>
    <w:p>
      <w:pPr>
        <w:pStyle w:val="ListBullet"/>
        <w:spacing w:before="0" w:after="20" w:line="276" w:lineRule="auto"/>
      </w:pPr>
      <w:r>
        <w:rPr>
          <w:sz w:val="21"/>
        </w:rPr>
        <w:t>Education over selling: the patient must feel guided, not pressured.</w:t>
      </w:r>
    </w:p>
    <w:p>
      <w:pPr>
        <w:pStyle w:val="ListBullet"/>
        <w:spacing w:before="0" w:after="20" w:line="276" w:lineRule="auto"/>
      </w:pPr>
      <w:r>
        <w:rPr>
          <w:sz w:val="21"/>
        </w:rPr>
        <w:t>Triage over diagnosis: pattern recognition and red-flag awareness must never be confused with independent diagnostic authority.</w:t>
      </w:r>
    </w:p>
    <w:p>
      <w:pPr>
        <w:pStyle w:val="ListBullet"/>
        <w:spacing w:before="0" w:after="20" w:line="276" w:lineRule="auto"/>
      </w:pPr>
      <w:r>
        <w:rPr>
          <w:sz w:val="21"/>
        </w:rPr>
        <w:t>Trust over conversion: a good consultation protects both the patient and the clinic.</w:t>
      </w:r>
    </w:p>
    <w:p>
      <w:pPr>
        <w:pStyle w:val="ListBullet"/>
        <w:spacing w:before="0" w:after="20" w:line="276" w:lineRule="auto"/>
      </w:pPr>
      <w:r>
        <w:rPr>
          <w:sz w:val="21"/>
        </w:rPr>
        <w:t>Standardisation over personality: the course should create repeatable systems rather than reliance on individual style.</w:t>
      </w:r>
    </w:p>
    <w:p>
      <w:pPr>
        <w:pStyle w:val="Heading1"/>
        <w:spacing w:before="200" w:after="80" w:line="276" w:lineRule="auto"/>
      </w:pPr>
      <w:r>
        <w:t>4. Academy Architecture</w:t>
      </w:r>
    </w:p>
    <w:p>
      <w:pPr>
        <w:pStyle w:val="ListBullet"/>
        <w:spacing w:before="0" w:after="20" w:line="276" w:lineRule="auto"/>
      </w:pPr>
      <w:r>
        <w:rPr>
          <w:sz w:val="21"/>
        </w:rPr>
        <w:t>Level 1: Foundation Certificate in Hair Loss Consultation — for new consultants, junior nurses, and staff stepping into patient-facing education roles.</w:t>
      </w:r>
    </w:p>
    <w:p>
      <w:pPr>
        <w:pStyle w:val="ListBullet"/>
        <w:spacing w:before="0" w:after="20" w:line="276" w:lineRule="auto"/>
      </w:pPr>
      <w:r>
        <w:rPr>
          <w:sz w:val="21"/>
        </w:rPr>
        <w:t>Level 2: Advanced Certificate in Hair Restoration Consultation &amp; Patient Coordination — for experienced consultants, senior nurses, and clinic educators.</w:t>
      </w:r>
    </w:p>
    <w:p>
      <w:pPr>
        <w:pStyle w:val="ListBullet"/>
        <w:spacing w:before="0" w:after="20" w:line="276" w:lineRule="auto"/>
      </w:pPr>
      <w:r>
        <w:rPr>
          <w:sz w:val="21"/>
        </w:rPr>
        <w:t>Level 3: Diploma in Hair Restoration Consultation Leadership &amp; Clinical Coordination — for head consultants, nurse leaders, training managers, and quality leads.</w:t>
      </w:r>
    </w:p>
    <w:p>
      <w:pPr>
        <w:pStyle w:val="Heading1"/>
        <w:spacing w:before="200" w:after="80" w:line="276" w:lineRule="auto"/>
      </w:pPr>
      <w:r>
        <w:t>5. Full Curriculum Backbone</w:t>
      </w:r>
    </w:p>
    <w:p>
      <w:pPr>
        <w:pStyle w:val="Heading2"/>
        <w:spacing w:before="120" w:after="40" w:line="276" w:lineRule="auto"/>
      </w:pPr>
      <w:r>
        <w:t>Module 1 — The Role of the Consultant / Nurse in Modern Hair Restoration</w:t>
      </w:r>
    </w:p>
    <w:p>
      <w:pPr>
        <w:pStyle w:val="ListBullet2"/>
        <w:spacing w:before="0" w:after="0" w:line="264" w:lineRule="auto"/>
      </w:pPr>
      <w:r>
        <w:rPr>
          <w:sz w:val="20"/>
        </w:rPr>
        <w:t>Overview of the hair restoration ecosystem and patient journey</w:t>
      </w:r>
    </w:p>
    <w:p>
      <w:pPr>
        <w:pStyle w:val="ListBullet2"/>
        <w:spacing w:before="0" w:after="0" w:line="264" w:lineRule="auto"/>
      </w:pPr>
      <w:r>
        <w:rPr>
          <w:sz w:val="20"/>
        </w:rPr>
        <w:t>Role boundaries: consultant, nurse, trichologist, doctor, surgeon</w:t>
      </w:r>
    </w:p>
    <w:p>
      <w:pPr>
        <w:pStyle w:val="ListBullet2"/>
        <w:spacing w:before="0" w:after="0" w:line="264" w:lineRule="auto"/>
      </w:pPr>
      <w:r>
        <w:rPr>
          <w:sz w:val="20"/>
        </w:rPr>
        <w:t>The difference between education, support, triage, and diagnosis</w:t>
      </w:r>
    </w:p>
    <w:p>
      <w:pPr>
        <w:pStyle w:val="ListBullet2"/>
        <w:spacing w:before="0" w:after="0" w:line="264" w:lineRule="auto"/>
      </w:pPr>
      <w:r>
        <w:rPr>
          <w:sz w:val="20"/>
        </w:rPr>
        <w:t>Why structured pre-doctor consultation matters</w:t>
      </w:r>
    </w:p>
    <w:p>
      <w:pPr>
        <w:pStyle w:val="Heading2"/>
        <w:spacing w:before="120" w:after="40" w:line="276" w:lineRule="auto"/>
      </w:pPr>
      <w:r>
        <w:t>Module 2 — Foundations of Hair and Scalp Science</w:t>
      </w:r>
    </w:p>
    <w:p>
      <w:pPr>
        <w:pStyle w:val="ListBullet2"/>
        <w:spacing w:before="0" w:after="0" w:line="264" w:lineRule="auto"/>
      </w:pPr>
      <w:r>
        <w:rPr>
          <w:sz w:val="20"/>
        </w:rPr>
        <w:t>Scalp anatomy and follicular unit structure</w:t>
      </w:r>
    </w:p>
    <w:p>
      <w:pPr>
        <w:pStyle w:val="ListBullet2"/>
        <w:spacing w:before="0" w:after="0" w:line="264" w:lineRule="auto"/>
      </w:pPr>
      <w:r>
        <w:rPr>
          <w:sz w:val="20"/>
        </w:rPr>
        <w:t>Hair cycle and miniaturisation</w:t>
      </w:r>
    </w:p>
    <w:p>
      <w:pPr>
        <w:pStyle w:val="ListBullet2"/>
        <w:spacing w:before="0" w:after="0" w:line="264" w:lineRule="auto"/>
      </w:pPr>
      <w:r>
        <w:rPr>
          <w:sz w:val="20"/>
        </w:rPr>
        <w:t>Density, calibre, curl, contrast, donor and recipient concepts</w:t>
      </w:r>
    </w:p>
    <w:p>
      <w:pPr>
        <w:pStyle w:val="ListBullet2"/>
        <w:spacing w:before="0" w:after="0" w:line="264" w:lineRule="auto"/>
      </w:pPr>
      <w:r>
        <w:rPr>
          <w:sz w:val="20"/>
        </w:rPr>
        <w:t>Explaining hair biology in patient-friendly language</w:t>
      </w:r>
    </w:p>
    <w:p>
      <w:pPr>
        <w:pStyle w:val="Heading2"/>
        <w:spacing w:before="120" w:after="40" w:line="276" w:lineRule="auto"/>
      </w:pPr>
      <w:r>
        <w:t>Module 3 — Common Hair Loss Presentations Seen in Clinic</w:t>
      </w:r>
    </w:p>
    <w:p>
      <w:pPr>
        <w:pStyle w:val="ListBullet2"/>
        <w:spacing w:before="0" w:after="0" w:line="264" w:lineRule="auto"/>
      </w:pPr>
      <w:r>
        <w:rPr>
          <w:sz w:val="20"/>
        </w:rPr>
        <w:t>Male androgenetic alopecia and female pattern hair loss</w:t>
      </w:r>
    </w:p>
    <w:p>
      <w:pPr>
        <w:pStyle w:val="ListBullet2"/>
        <w:spacing w:before="0" w:after="0" w:line="264" w:lineRule="auto"/>
      </w:pPr>
      <w:r>
        <w:rPr>
          <w:sz w:val="20"/>
        </w:rPr>
        <w:t>Diffuse thinning, telogen effluvium, postpartum shedding, traction alopecia</w:t>
      </w:r>
    </w:p>
    <w:p>
      <w:pPr>
        <w:pStyle w:val="ListBullet2"/>
        <w:spacing w:before="0" w:after="0" w:line="264" w:lineRule="auto"/>
      </w:pPr>
      <w:r>
        <w:rPr>
          <w:sz w:val="20"/>
        </w:rPr>
        <w:t>Inflammatory/scarring red flags</w:t>
      </w:r>
    </w:p>
    <w:p>
      <w:pPr>
        <w:pStyle w:val="ListBullet2"/>
        <w:spacing w:before="0" w:after="0" w:line="264" w:lineRule="auto"/>
      </w:pPr>
      <w:r>
        <w:rPr>
          <w:sz w:val="20"/>
        </w:rPr>
        <w:t>Recognising patterns without overstepping into diagnosis</w:t>
      </w:r>
    </w:p>
    <w:p>
      <w:pPr>
        <w:pStyle w:val="Heading2"/>
        <w:spacing w:before="120" w:after="40" w:line="276" w:lineRule="auto"/>
      </w:pPr>
      <w:r>
        <w:t>Module 4 — Consultation Structure and Clinical Information Gathering</w:t>
      </w:r>
    </w:p>
    <w:p>
      <w:pPr>
        <w:pStyle w:val="ListBullet2"/>
        <w:spacing w:before="0" w:after="0" w:line="264" w:lineRule="auto"/>
      </w:pPr>
      <w:r>
        <w:rPr>
          <w:sz w:val="20"/>
        </w:rPr>
        <w:t>History taking and rapport building</w:t>
      </w:r>
    </w:p>
    <w:p>
      <w:pPr>
        <w:pStyle w:val="ListBullet2"/>
        <w:spacing w:before="0" w:after="0" w:line="264" w:lineRule="auto"/>
      </w:pPr>
      <w:r>
        <w:rPr>
          <w:sz w:val="20"/>
        </w:rPr>
        <w:t>Progression timeline, family history, treatments, medications, symptoms</w:t>
      </w:r>
    </w:p>
    <w:p>
      <w:pPr>
        <w:pStyle w:val="ListBullet2"/>
        <w:spacing w:before="0" w:after="0" w:line="264" w:lineRule="auto"/>
      </w:pPr>
      <w:r>
        <w:rPr>
          <w:sz w:val="20"/>
        </w:rPr>
        <w:t>Documenting goals, motivations, and risk factors</w:t>
      </w:r>
    </w:p>
    <w:p>
      <w:pPr>
        <w:pStyle w:val="ListBullet2"/>
        <w:spacing w:before="0" w:after="0" w:line="264" w:lineRule="auto"/>
      </w:pPr>
      <w:r>
        <w:rPr>
          <w:sz w:val="20"/>
        </w:rPr>
        <w:t>Preparing a doctor-ready summary</w:t>
      </w:r>
    </w:p>
    <w:p>
      <w:pPr>
        <w:pStyle w:val="Heading2"/>
        <w:spacing w:before="120" w:after="40" w:line="276" w:lineRule="auto"/>
      </w:pPr>
      <w:r>
        <w:t>Module 5 — Candidate Screening and Suitability Support</w:t>
      </w:r>
    </w:p>
    <w:p>
      <w:pPr>
        <w:pStyle w:val="ListBullet2"/>
        <w:spacing w:before="0" w:after="0" w:line="264" w:lineRule="auto"/>
      </w:pPr>
      <w:r>
        <w:rPr>
          <w:sz w:val="20"/>
        </w:rPr>
        <w:t>Potential suitability versus cautionary cases</w:t>
      </w:r>
    </w:p>
    <w:p>
      <w:pPr>
        <w:pStyle w:val="ListBullet2"/>
        <w:spacing w:before="0" w:after="0" w:line="264" w:lineRule="auto"/>
      </w:pPr>
      <w:r>
        <w:rPr>
          <w:sz w:val="20"/>
        </w:rPr>
        <w:t>Age, progression, donor quality, diffuse loss, prior surgery, unrealistic expectations</w:t>
      </w:r>
    </w:p>
    <w:p>
      <w:pPr>
        <w:pStyle w:val="ListBullet2"/>
        <w:spacing w:before="0" w:after="0" w:line="264" w:lineRule="auto"/>
      </w:pPr>
      <w:r>
        <w:rPr>
          <w:sz w:val="20"/>
        </w:rPr>
        <w:t>Mental health and vulnerability awareness</w:t>
      </w:r>
    </w:p>
    <w:p>
      <w:pPr>
        <w:pStyle w:val="ListBullet2"/>
        <w:spacing w:before="0" w:after="0" w:line="264" w:lineRule="auto"/>
      </w:pPr>
      <w:r>
        <w:rPr>
          <w:sz w:val="20"/>
        </w:rPr>
        <w:t>When to pause, defer, or escalate</w:t>
      </w:r>
    </w:p>
    <w:p>
      <w:pPr>
        <w:pStyle w:val="Heading2"/>
        <w:spacing w:before="120" w:after="40" w:line="276" w:lineRule="auto"/>
      </w:pPr>
      <w:r>
        <w:t>Module 6 — Ethics, Consent Support, and Scope of Practice</w:t>
      </w:r>
    </w:p>
    <w:p>
      <w:pPr>
        <w:pStyle w:val="ListBullet2"/>
        <w:spacing w:before="0" w:after="0" w:line="264" w:lineRule="auto"/>
      </w:pPr>
      <w:r>
        <w:rPr>
          <w:sz w:val="20"/>
        </w:rPr>
        <w:t>What can and cannot be said in consultation</w:t>
      </w:r>
    </w:p>
    <w:p>
      <w:pPr>
        <w:pStyle w:val="ListBullet2"/>
        <w:spacing w:before="0" w:after="0" w:line="264" w:lineRule="auto"/>
      </w:pPr>
      <w:r>
        <w:rPr>
          <w:sz w:val="20"/>
        </w:rPr>
        <w:t>Premature surgical recommendation risks</w:t>
      </w:r>
    </w:p>
    <w:p>
      <w:pPr>
        <w:pStyle w:val="ListBullet2"/>
        <w:spacing w:before="0" w:after="0" w:line="264" w:lineRule="auto"/>
      </w:pPr>
      <w:r>
        <w:rPr>
          <w:sz w:val="20"/>
        </w:rPr>
        <w:t>Informed consent principles and truthful communication</w:t>
      </w:r>
    </w:p>
    <w:p>
      <w:pPr>
        <w:pStyle w:val="ListBullet2"/>
        <w:spacing w:before="0" w:after="0" w:line="264" w:lineRule="auto"/>
      </w:pPr>
      <w:r>
        <w:rPr>
          <w:sz w:val="20"/>
        </w:rPr>
        <w:t>Medico-legal exposure from poor consultation behaviour</w:t>
      </w:r>
    </w:p>
    <w:p>
      <w:pPr>
        <w:pStyle w:val="Heading2"/>
        <w:spacing w:before="120" w:after="40" w:line="276" w:lineRule="auto"/>
      </w:pPr>
      <w:r>
        <w:t>Module 7 — Communication Excellence and Trust-Based Consultation</w:t>
      </w:r>
    </w:p>
    <w:p>
      <w:pPr>
        <w:pStyle w:val="ListBullet2"/>
        <w:spacing w:before="0" w:after="0" w:line="264" w:lineRule="auto"/>
      </w:pPr>
      <w:r>
        <w:rPr>
          <w:sz w:val="20"/>
        </w:rPr>
        <w:t>Active listening and building trust</w:t>
      </w:r>
    </w:p>
    <w:p>
      <w:pPr>
        <w:pStyle w:val="ListBullet2"/>
        <w:spacing w:before="0" w:after="0" w:line="264" w:lineRule="auto"/>
      </w:pPr>
      <w:r>
        <w:rPr>
          <w:sz w:val="20"/>
        </w:rPr>
        <w:t>Handling distress, urgency, and objections without pressure</w:t>
      </w:r>
    </w:p>
    <w:p>
      <w:pPr>
        <w:pStyle w:val="ListBullet2"/>
        <w:spacing w:before="0" w:after="0" w:line="264" w:lineRule="auto"/>
      </w:pPr>
      <w:r>
        <w:rPr>
          <w:sz w:val="20"/>
        </w:rPr>
        <w:t>Communicating limitations honestly</w:t>
      </w:r>
    </w:p>
    <w:p>
      <w:pPr>
        <w:pStyle w:val="ListBullet2"/>
        <w:spacing w:before="0" w:after="0" w:line="264" w:lineRule="auto"/>
      </w:pPr>
      <w:r>
        <w:rPr>
          <w:sz w:val="20"/>
        </w:rPr>
        <w:t>Guiding rather than selling</w:t>
      </w:r>
    </w:p>
    <w:p>
      <w:pPr>
        <w:pStyle w:val="Heading2"/>
        <w:spacing w:before="120" w:after="40" w:line="276" w:lineRule="auto"/>
      </w:pPr>
      <w:r>
        <w:t>Module 8 — Non-Surgical Treatment Education</w:t>
      </w:r>
    </w:p>
    <w:p>
      <w:pPr>
        <w:pStyle w:val="ListBullet2"/>
        <w:spacing w:before="0" w:after="0" w:line="264" w:lineRule="auto"/>
      </w:pPr>
      <w:r>
        <w:rPr>
          <w:sz w:val="20"/>
        </w:rPr>
        <w:t>PRP, exosomes, microneedling, topical and oral therapies</w:t>
      </w:r>
    </w:p>
    <w:p>
      <w:pPr>
        <w:pStyle w:val="ListBullet2"/>
        <w:spacing w:before="0" w:after="0" w:line="264" w:lineRule="auto"/>
      </w:pPr>
      <w:r>
        <w:rPr>
          <w:sz w:val="20"/>
        </w:rPr>
        <w:t>Maintenance realities and timeframes</w:t>
      </w:r>
    </w:p>
    <w:p>
      <w:pPr>
        <w:pStyle w:val="ListBullet2"/>
        <w:spacing w:before="0" w:after="0" w:line="264" w:lineRule="auto"/>
      </w:pPr>
      <w:r>
        <w:rPr>
          <w:sz w:val="20"/>
        </w:rPr>
        <w:t>How to discuss emerging therapies carefully</w:t>
      </w:r>
    </w:p>
    <w:p>
      <w:pPr>
        <w:pStyle w:val="ListBullet2"/>
        <w:spacing w:before="0" w:after="0" w:line="264" w:lineRule="auto"/>
      </w:pPr>
      <w:r>
        <w:rPr>
          <w:sz w:val="20"/>
        </w:rPr>
        <w:t>When doctor or trichologist input is required</w:t>
      </w:r>
    </w:p>
    <w:p>
      <w:pPr>
        <w:pStyle w:val="Heading2"/>
        <w:spacing w:before="120" w:after="40" w:line="276" w:lineRule="auto"/>
      </w:pPr>
      <w:r>
        <w:t>Module 9 — Surgical Education for Non-Doctors</w:t>
      </w:r>
    </w:p>
    <w:p>
      <w:pPr>
        <w:pStyle w:val="ListBullet2"/>
        <w:spacing w:before="0" w:after="0" w:line="264" w:lineRule="auto"/>
      </w:pPr>
      <w:r>
        <w:rPr>
          <w:sz w:val="20"/>
        </w:rPr>
        <w:t>FUE and FUT fundamentals</w:t>
      </w:r>
    </w:p>
    <w:p>
      <w:pPr>
        <w:pStyle w:val="ListBullet2"/>
        <w:spacing w:before="0" w:after="0" w:line="264" w:lineRule="auto"/>
      </w:pPr>
      <w:r>
        <w:rPr>
          <w:sz w:val="20"/>
        </w:rPr>
        <w:t>Grafts vs hairs, donor limitations, crown and hairline complexity</w:t>
      </w:r>
    </w:p>
    <w:p>
      <w:pPr>
        <w:pStyle w:val="ListBullet2"/>
        <w:spacing w:before="0" w:after="0" w:line="264" w:lineRule="auto"/>
      </w:pPr>
      <w:r>
        <w:rPr>
          <w:sz w:val="20"/>
        </w:rPr>
        <w:t>Repair cases, Afro-textured hair, female cases, beard and eyebrow work</w:t>
      </w:r>
    </w:p>
    <w:p>
      <w:pPr>
        <w:pStyle w:val="ListBullet2"/>
        <w:spacing w:before="0" w:after="0" w:line="264" w:lineRule="auto"/>
      </w:pPr>
      <w:r>
        <w:rPr>
          <w:sz w:val="20"/>
        </w:rPr>
        <w:t>Why final plans and graft counts remain subject to doctor review</w:t>
      </w:r>
    </w:p>
    <w:p>
      <w:pPr>
        <w:pStyle w:val="Heading2"/>
        <w:spacing w:before="120" w:after="40" w:line="276" w:lineRule="auto"/>
      </w:pPr>
      <w:r>
        <w:t>Module 10 — Clinical Photography, Documentation, and Doctor Handover</w:t>
      </w:r>
    </w:p>
    <w:p>
      <w:pPr>
        <w:pStyle w:val="ListBullet2"/>
        <w:spacing w:before="0" w:after="0" w:line="264" w:lineRule="auto"/>
      </w:pPr>
      <w:r>
        <w:rPr>
          <w:sz w:val="20"/>
        </w:rPr>
        <w:t>Standard consultation photo sets</w:t>
      </w:r>
    </w:p>
    <w:p>
      <w:pPr>
        <w:pStyle w:val="ListBullet2"/>
        <w:spacing w:before="0" w:after="0" w:line="264" w:lineRule="auto"/>
      </w:pPr>
      <w:r>
        <w:rPr>
          <w:sz w:val="20"/>
        </w:rPr>
        <w:t>Lighting, positioning, angles, and consistency</w:t>
      </w:r>
    </w:p>
    <w:p>
      <w:pPr>
        <w:pStyle w:val="ListBullet2"/>
        <w:spacing w:before="0" w:after="0" w:line="264" w:lineRule="auto"/>
      </w:pPr>
      <w:r>
        <w:rPr>
          <w:sz w:val="20"/>
        </w:rPr>
        <w:t>Objective documentation and handover logic</w:t>
      </w:r>
    </w:p>
    <w:p>
      <w:pPr>
        <w:pStyle w:val="ListBullet2"/>
        <w:spacing w:before="0" w:after="0" w:line="264" w:lineRule="auto"/>
      </w:pPr>
      <w:r>
        <w:rPr>
          <w:sz w:val="20"/>
        </w:rPr>
        <w:t>Reducing friction for doctor review</w:t>
      </w:r>
    </w:p>
    <w:p>
      <w:pPr>
        <w:pStyle w:val="Heading2"/>
        <w:spacing w:before="120" w:after="40" w:line="276" w:lineRule="auto"/>
      </w:pPr>
      <w:r>
        <w:t>Module 11 — Pre-Operative Coordination and Patient Preparation</w:t>
      </w:r>
    </w:p>
    <w:p>
      <w:pPr>
        <w:pStyle w:val="ListBullet2"/>
        <w:spacing w:before="0" w:after="0" w:line="264" w:lineRule="auto"/>
      </w:pPr>
      <w:r>
        <w:rPr>
          <w:sz w:val="20"/>
        </w:rPr>
        <w:t>Preparing patients after doctor approval</w:t>
      </w:r>
    </w:p>
    <w:p>
      <w:pPr>
        <w:pStyle w:val="ListBullet2"/>
        <w:spacing w:before="0" w:after="0" w:line="264" w:lineRule="auto"/>
      </w:pPr>
      <w:r>
        <w:rPr>
          <w:sz w:val="20"/>
        </w:rPr>
        <w:t>Medication and clearance awareness</w:t>
      </w:r>
    </w:p>
    <w:p>
      <w:pPr>
        <w:pStyle w:val="ListBullet2"/>
        <w:spacing w:before="0" w:after="0" w:line="264" w:lineRule="auto"/>
      </w:pPr>
      <w:r>
        <w:rPr>
          <w:sz w:val="20"/>
        </w:rPr>
        <w:t>Travel, recovery, shaving, and scheduling guidance</w:t>
      </w:r>
    </w:p>
    <w:p>
      <w:pPr>
        <w:pStyle w:val="ListBullet2"/>
        <w:spacing w:before="0" w:after="0" w:line="264" w:lineRule="auto"/>
      </w:pPr>
      <w:r>
        <w:rPr>
          <w:sz w:val="20"/>
        </w:rPr>
        <w:t>Preventing avoidable cancellations and confusion</w:t>
      </w:r>
    </w:p>
    <w:p>
      <w:pPr>
        <w:pStyle w:val="Heading2"/>
        <w:spacing w:before="120" w:after="40" w:line="276" w:lineRule="auto"/>
      </w:pPr>
      <w:r>
        <w:t>Module 12 — Post-Operative Support, Follow-Up, and Escalation</w:t>
      </w:r>
    </w:p>
    <w:p>
      <w:pPr>
        <w:pStyle w:val="ListBullet2"/>
        <w:spacing w:before="0" w:after="0" w:line="264" w:lineRule="auto"/>
      </w:pPr>
      <w:r>
        <w:rPr>
          <w:sz w:val="20"/>
        </w:rPr>
        <w:t>Normal healing timeline and reassurance points</w:t>
      </w:r>
    </w:p>
    <w:p>
      <w:pPr>
        <w:pStyle w:val="ListBullet2"/>
        <w:spacing w:before="0" w:after="0" w:line="264" w:lineRule="auto"/>
      </w:pPr>
      <w:r>
        <w:rPr>
          <w:sz w:val="20"/>
        </w:rPr>
        <w:t>Shock loss, donor healing, and common concerns</w:t>
      </w:r>
    </w:p>
    <w:p>
      <w:pPr>
        <w:pStyle w:val="ListBullet2"/>
        <w:spacing w:before="0" w:after="0" w:line="264" w:lineRule="auto"/>
      </w:pPr>
      <w:r>
        <w:rPr>
          <w:sz w:val="20"/>
        </w:rPr>
        <w:t>Complaint handling and follow-up structure</w:t>
      </w:r>
    </w:p>
    <w:p>
      <w:pPr>
        <w:pStyle w:val="ListBullet2"/>
        <w:spacing w:before="0" w:after="0" w:line="264" w:lineRule="auto"/>
      </w:pPr>
      <w:r>
        <w:rPr>
          <w:sz w:val="20"/>
        </w:rPr>
        <w:t>When urgent doctor escalation is required</w:t>
      </w:r>
    </w:p>
    <w:p>
      <w:pPr>
        <w:pStyle w:val="Heading2"/>
        <w:spacing w:before="120" w:after="40" w:line="276" w:lineRule="auto"/>
      </w:pPr>
      <w:r>
        <w:t>Module 13 — Difficult Consultations and High-Risk Scenarios</w:t>
      </w:r>
    </w:p>
    <w:p>
      <w:pPr>
        <w:pStyle w:val="ListBullet2"/>
        <w:spacing w:before="0" w:after="0" w:line="264" w:lineRule="auto"/>
      </w:pPr>
      <w:r>
        <w:rPr>
          <w:sz w:val="20"/>
        </w:rPr>
        <w:t>Very young patients, poor donor, advanced loss, unrealistic density expectations</w:t>
      </w:r>
    </w:p>
    <w:p>
      <w:pPr>
        <w:pStyle w:val="ListBullet2"/>
        <w:spacing w:before="0" w:after="0" w:line="264" w:lineRule="auto"/>
      </w:pPr>
      <w:r>
        <w:rPr>
          <w:sz w:val="20"/>
        </w:rPr>
        <w:t>Women with complex loss patterns and prior failed surgeries</w:t>
      </w:r>
    </w:p>
    <w:p>
      <w:pPr>
        <w:pStyle w:val="ListBullet2"/>
        <w:spacing w:before="0" w:after="0" w:line="264" w:lineRule="auto"/>
      </w:pPr>
      <w:r>
        <w:rPr>
          <w:sz w:val="20"/>
        </w:rPr>
        <w:t>Emotionally distressed or highly impulsive patients</w:t>
      </w:r>
    </w:p>
    <w:p>
      <w:pPr>
        <w:pStyle w:val="ListBullet2"/>
        <w:spacing w:before="0" w:after="0" w:line="264" w:lineRule="auto"/>
      </w:pPr>
      <w:r>
        <w:rPr>
          <w:sz w:val="20"/>
        </w:rPr>
        <w:t>When slowing the process down is the correct action</w:t>
      </w:r>
    </w:p>
    <w:p>
      <w:pPr>
        <w:pStyle w:val="Heading2"/>
        <w:spacing w:before="120" w:after="40" w:line="276" w:lineRule="auto"/>
      </w:pPr>
      <w:r>
        <w:t>Module 14 — Quality Assurance, Audit, and Clinic Standards</w:t>
      </w:r>
    </w:p>
    <w:p>
      <w:pPr>
        <w:pStyle w:val="ListBullet2"/>
        <w:spacing w:before="0" w:after="0" w:line="264" w:lineRule="auto"/>
      </w:pPr>
      <w:r>
        <w:rPr>
          <w:sz w:val="20"/>
        </w:rPr>
        <w:t>What a good consultation looks like</w:t>
      </w:r>
    </w:p>
    <w:p>
      <w:pPr>
        <w:pStyle w:val="ListBullet2"/>
        <w:spacing w:before="0" w:after="0" w:line="264" w:lineRule="auto"/>
      </w:pPr>
      <w:r>
        <w:rPr>
          <w:sz w:val="20"/>
        </w:rPr>
        <w:t>Documentation and expectation-setting failures</w:t>
      </w:r>
    </w:p>
    <w:p>
      <w:pPr>
        <w:pStyle w:val="ListBullet2"/>
        <w:spacing w:before="0" w:after="0" w:line="264" w:lineRule="auto"/>
      </w:pPr>
      <w:r>
        <w:rPr>
          <w:sz w:val="20"/>
        </w:rPr>
        <w:t>Consultation audit principles and scoring</w:t>
      </w:r>
    </w:p>
    <w:p>
      <w:pPr>
        <w:pStyle w:val="ListBullet2"/>
        <w:spacing w:before="0" w:after="0" w:line="264" w:lineRule="auto"/>
      </w:pPr>
      <w:r>
        <w:rPr>
          <w:sz w:val="20"/>
        </w:rPr>
        <w:t>Standardising quality across a clinic or group</w:t>
      </w:r>
    </w:p>
    <w:p>
      <w:pPr>
        <w:pStyle w:val="Heading2"/>
        <w:spacing w:before="120" w:after="40" w:line="276" w:lineRule="auto"/>
      </w:pPr>
      <w:r>
        <w:t>Module 15 — Final Competency Assessment</w:t>
      </w:r>
    </w:p>
    <w:p>
      <w:pPr>
        <w:pStyle w:val="ListBullet2"/>
        <w:spacing w:before="0" w:after="0" w:line="264" w:lineRule="auto"/>
      </w:pPr>
      <w:r>
        <w:rPr>
          <w:sz w:val="20"/>
        </w:rPr>
        <w:t>Theory examination</w:t>
      </w:r>
    </w:p>
    <w:p>
      <w:pPr>
        <w:pStyle w:val="ListBullet2"/>
        <w:spacing w:before="0" w:after="0" w:line="264" w:lineRule="auto"/>
      </w:pPr>
      <w:r>
        <w:rPr>
          <w:sz w:val="20"/>
        </w:rPr>
        <w:t>Case triage exercise</w:t>
      </w:r>
    </w:p>
    <w:p>
      <w:pPr>
        <w:pStyle w:val="ListBullet2"/>
        <w:spacing w:before="0" w:after="0" w:line="264" w:lineRule="auto"/>
      </w:pPr>
      <w:r>
        <w:rPr>
          <w:sz w:val="20"/>
        </w:rPr>
        <w:t>Consultation note writing task</w:t>
      </w:r>
    </w:p>
    <w:p>
      <w:pPr>
        <w:pStyle w:val="ListBullet2"/>
        <w:spacing w:before="0" w:after="0" w:line="264" w:lineRule="auto"/>
      </w:pPr>
      <w:r>
        <w:rPr>
          <w:sz w:val="20"/>
        </w:rPr>
        <w:t>Mock consultation or recorded roleplay</w:t>
      </w:r>
    </w:p>
    <w:p>
      <w:pPr>
        <w:pStyle w:val="ListBullet2"/>
        <w:spacing w:before="0" w:after="0" w:line="264" w:lineRule="auto"/>
      </w:pPr>
      <w:r>
        <w:rPr>
          <w:sz w:val="20"/>
        </w:rPr>
        <w:t>Ethical red-flag identification and doctor handover presentation</w:t>
      </w:r>
    </w:p>
    <w:p>
      <w:pPr>
        <w:pStyle w:val="Heading1"/>
        <w:spacing w:before="160" w:after="60" w:line="276" w:lineRule="auto"/>
      </w:pPr>
      <w:r>
        <w:t>6. Assessment Model</w:t>
      </w:r>
    </w:p>
    <w:p>
      <w:pPr>
        <w:spacing w:before="0" w:after="60" w:line="278" w:lineRule="auto"/>
      </w:pPr>
      <w:r>
        <w:rPr>
          <w:sz w:val="21"/>
        </w:rPr>
        <w:t>To maintain a university-grade standard, the assessment framework should include weekly quizzes, case reflections, communication exercises, documentation tasks, practical competency tasks, and a final capstone assessment based on a complete consultation pathway.</w:t>
      </w:r>
    </w:p>
    <w:p>
      <w:pPr>
        <w:spacing w:before="0" w:after="60" w:line="278" w:lineRule="auto"/>
      </w:pPr>
      <w:r>
        <w:rPr>
          <w:sz w:val="21"/>
        </w:rPr>
        <w:t>Recommended pass criteria: minimum 80% overall, with mandatory passes in ethics/scope of practice and escalation/red-flag assessment.</w:t>
      </w:r>
    </w:p>
    <w:p>
      <w:pPr>
        <w:pStyle w:val="Heading1"/>
        <w:spacing w:before="160" w:after="60" w:line="276" w:lineRule="auto"/>
      </w:pPr>
      <w:r>
        <w:t>7. Certification Structure</w:t>
      </w:r>
    </w:p>
    <w:p>
      <w:pPr>
        <w:spacing w:before="0" w:after="60" w:line="278" w:lineRule="auto"/>
      </w:pPr>
      <w:r>
        <w:rPr>
          <w:sz w:val="21"/>
        </w:rPr>
        <w:t>Graduates should receive: (1) a Certificate of Completion, (2) a Competency Record outlining the skills achieved, and (3) a digital badge suitable for LinkedIn, clinic websites, and professional profiles.</w:t>
      </w:r>
    </w:p>
    <w:p>
      <w:pPr>
        <w:spacing w:before="0" w:after="60" w:line="278" w:lineRule="auto"/>
      </w:pPr>
      <w:r>
        <w:rPr>
          <w:sz w:val="21"/>
        </w:rPr>
        <w:t>Suggested competencies listed on the record include structured consultation, hair loss literacy, ethical communication, suitability screening support, documentation and photography, pre-operative coordination, and post-operative escalation awareness.</w:t>
      </w:r>
    </w:p>
    <w:p>
      <w:pPr>
        <w:pStyle w:val="Heading1"/>
        <w:spacing w:before="160" w:after="60" w:line="276" w:lineRule="auto"/>
      </w:pPr>
      <w:r>
        <w:t>8. Compliance and Scope Statement</w:t>
      </w:r>
    </w:p>
    <w:p>
      <w:pPr>
        <w:spacing w:before="0" w:after="60" w:line="278" w:lineRule="auto"/>
      </w:pPr>
      <w:r>
        <w:rPr>
          <w:sz w:val="21"/>
        </w:rPr>
        <w:t>This program is designed to develop professional competency in consultation support, patient education, and care coordination within appropriate scope of practice. It does not replace medical licensure, independent diagnostic authority, or regulated surgical training.</w:t>
      </w:r>
    </w:p>
    <w:p>
      <w:pPr>
        <w:pStyle w:val="Heading1"/>
        <w:spacing w:before="160" w:after="60" w:line="276" w:lineRule="auto"/>
      </w:pPr>
      <w:r>
        <w:t>9. Clinic-Facing Value Proposition</w:t>
      </w:r>
    </w:p>
    <w:p>
      <w:pPr>
        <w:spacing w:before="0" w:after="60" w:line="278" w:lineRule="auto"/>
      </w:pPr>
      <w:r>
        <w:rPr>
          <w:sz w:val="21"/>
        </w:rPr>
        <w:t>The program can be offered to individuals, licensed to clinics, or embedded within a certified clinic pathway. Its value to clinics includes stronger consultation quality, reduced mis-selling, improved documentation, better doctor efficiency, stronger patient trust, and reduced complaint risk.</w:t>
      </w:r>
    </w:p>
    <w:p>
      <w:pPr>
        <w:pStyle w:val="Heading1"/>
        <w:spacing w:before="160" w:after="60" w:line="276" w:lineRule="auto"/>
      </w:pPr>
      <w:r>
        <w:t>10. Website Placement on IIOHR.com</w:t>
      </w:r>
    </w:p>
    <w:p>
      <w:pPr>
        <w:spacing w:before="0" w:after="60" w:line="278" w:lineRule="auto"/>
      </w:pPr>
      <w:r>
        <w:rPr>
          <w:sz w:val="21"/>
        </w:rPr>
        <w:t>The consultant / nurse academy should sit as a parallel education pillar alongside Surgeon &amp; Doctor Education and Clinic Systems &amp; Standards.</w:t>
      </w:r>
    </w:p>
    <w:p>
      <w:pPr>
        <w:spacing w:before="0" w:after="60" w:line="278" w:lineRule="auto"/>
      </w:pPr>
      <w:r>
        <w:rPr>
          <w:sz w:val="21"/>
        </w:rPr>
        <w:t>Recommended page structure: Overview, Who It Is For, Why It Matters, Curriculum, Certification, Delivery Model, Clinic Licensing, FAQ, and Apply / Enrol.</w:t>
      </w:r>
    </w:p>
    <w:p>
      <w:pPr>
        <w:pStyle w:val="Heading1"/>
        <w:spacing w:before="160" w:after="60" w:line="276" w:lineRule="auto"/>
      </w:pPr>
      <w:r>
        <w:t>11. Core Positioning Sentence</w:t>
      </w:r>
    </w:p>
    <w:p>
      <w:pPr>
        <w:spacing w:before="0" w:after="60" w:line="278" w:lineRule="auto"/>
      </w:pPr>
      <w:r>
        <w:rPr>
          <w:sz w:val="21"/>
        </w:rPr>
        <w:t>The IIOHR Consultant &amp; Nurse Academy is designed to professionalise the front line of hair restoration by training patient-facing staff in ethical consultation, clinical literacy, structured screening, communication, and care coordination within appropriate scope of practice.</w:t>
      </w:r>
    </w:p>
    <w:p>
      <w:pPr>
        <w:pStyle w:val="Heading1"/>
        <w:spacing w:before="160" w:after="80" w:line="276" w:lineRule="auto"/>
      </w:pPr>
      <w:r>
        <w:t>12. Recommended Build Order</w:t>
      </w:r>
    </w:p>
    <w:tbl>
      <w:tblPr>
        <w:tblStyle w:val="TableGrid"/>
        <w:tblW w:type="auto" w:w="0"/>
        <w:jc w:val="center"/>
        <w:tblLayout w:type="fixed"/>
        <w:tblLook w:firstColumn="1" w:firstRow="1" w:lastColumn="0" w:lastRow="0" w:noHBand="0" w:noVBand="1" w:val="04A0"/>
      </w:tblPr>
      <w:tblGrid>
        <w:gridCol w:w="4816"/>
        <w:gridCol w:w="4816"/>
      </w:tblGrid>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1</w:t>
            </w:r>
          </w:p>
        </w:tc>
        <w:tc>
          <w:tcPr>
            <w:tcW w:type="dxa" w:w="7087"/>
            <w:tcMar>
              <w:top w:w="95" w:type="dxa"/>
              <w:start w:w="120" w:type="dxa"/>
              <w:bottom w:w="95" w:type="dxa"/>
              <w:end w:w="120" w:type="dxa"/>
            </w:tcMar>
            <w:vAlign w:val="center"/>
          </w:tcPr>
          <w:p>
            <w:pPr>
              <w:spacing w:before="0" w:after="0" w:line="276" w:lineRule="auto"/>
            </w:pPr>
            <w:r>
              <w:rPr>
                <w:sz w:val="20"/>
              </w:rPr>
              <w:t>Formal program blueprint: name, positioning, audience, scope, outcomes, certification language</w:t>
            </w:r>
          </w:p>
        </w:tc>
      </w:tr>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2</w:t>
            </w:r>
          </w:p>
        </w:tc>
        <w:tc>
          <w:tcPr>
            <w:tcW w:type="dxa" w:w="7087"/>
            <w:tcMar>
              <w:top w:w="95" w:type="dxa"/>
              <w:start w:w="120" w:type="dxa"/>
              <w:bottom w:w="95" w:type="dxa"/>
              <w:end w:w="120" w:type="dxa"/>
            </w:tcMar>
            <w:vAlign w:val="center"/>
          </w:tcPr>
          <w:p>
            <w:pPr>
              <w:spacing w:before="0" w:after="0" w:line="276" w:lineRule="auto"/>
            </w:pPr>
            <w:r>
              <w:rPr>
                <w:sz w:val="20"/>
              </w:rPr>
              <w:t>Detailed module-by-module curriculum with lesson titles, weekly structure, and teaching notes</w:t>
            </w:r>
          </w:p>
        </w:tc>
      </w:tr>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3</w:t>
            </w:r>
          </w:p>
        </w:tc>
        <w:tc>
          <w:tcPr>
            <w:tcW w:type="dxa" w:w="7087"/>
            <w:tcMar>
              <w:top w:w="95" w:type="dxa"/>
              <w:start w:w="120" w:type="dxa"/>
              <w:bottom w:w="95" w:type="dxa"/>
              <w:end w:w="120" w:type="dxa"/>
            </w:tcMar>
            <w:vAlign w:val="center"/>
          </w:tcPr>
          <w:p>
            <w:pPr>
              <w:spacing w:before="0" w:after="0" w:line="276" w:lineRule="auto"/>
            </w:pPr>
            <w:r>
              <w:rPr>
                <w:sz w:val="20"/>
              </w:rPr>
              <w:t>Assessment and certification framework including rubrics and competency thresholds</w:t>
            </w:r>
          </w:p>
        </w:tc>
      </w:tr>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4</w:t>
            </w:r>
          </w:p>
        </w:tc>
        <w:tc>
          <w:tcPr>
            <w:tcW w:type="dxa" w:w="7087"/>
            <w:tcMar>
              <w:top w:w="95" w:type="dxa"/>
              <w:start w:w="120" w:type="dxa"/>
              <w:bottom w:w="95" w:type="dxa"/>
              <w:end w:w="120" w:type="dxa"/>
            </w:tcMar>
            <w:vAlign w:val="center"/>
          </w:tcPr>
          <w:p>
            <w:pPr>
              <w:spacing w:before="0" w:after="0" w:line="276" w:lineRule="auto"/>
            </w:pPr>
            <w:r>
              <w:rPr>
                <w:sz w:val="20"/>
              </w:rPr>
              <w:t>Website copy for iiohr.com including enrolment, clinic licensing, and FAQ content</w:t>
            </w:r>
          </w:p>
        </w:tc>
      </w:tr>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5</w:t>
            </w:r>
          </w:p>
        </w:tc>
        <w:tc>
          <w:tcPr>
            <w:tcW w:type="dxa" w:w="7087"/>
            <w:tcMar>
              <w:top w:w="95" w:type="dxa"/>
              <w:start w:w="120" w:type="dxa"/>
              <w:bottom w:w="95" w:type="dxa"/>
              <w:end w:w="120" w:type="dxa"/>
            </w:tcMar>
            <w:vAlign w:val="center"/>
          </w:tcPr>
          <w:p>
            <w:pPr>
              <w:spacing w:before="0" w:after="0" w:line="276" w:lineRule="auto"/>
            </w:pPr>
            <w:r>
              <w:rPr>
                <w:sz w:val="20"/>
              </w:rPr>
              <w:t>Online learning build structure for the LMS with sequencing, downloads, badges, and certificates</w:t>
            </w:r>
          </w:p>
        </w:tc>
      </w:tr>
      <w:tr>
        <w:tc>
          <w:tcPr>
            <w:tcW w:type="dxa" w:w="1701"/>
            <w:tcMar>
              <w:top w:w="95" w:type="dxa"/>
              <w:start w:w="120" w:type="dxa"/>
              <w:bottom w:w="95" w:type="dxa"/>
              <w:end w:w="120" w:type="dxa"/>
            </w:tcMar>
            <w:vAlign w:val="center"/>
            <w:shd w:fill="E9EEF4"/>
          </w:tcPr>
          <w:p>
            <w:pPr>
              <w:spacing w:before="0" w:after="0" w:line="276" w:lineRule="auto"/>
            </w:pPr>
            <w:r>
              <w:rPr>
                <w:b/>
                <w:color w:val="162B4A"/>
                <w:sz w:val="20"/>
              </w:rPr>
              <w:t>Phase 6</w:t>
            </w:r>
          </w:p>
        </w:tc>
        <w:tc>
          <w:tcPr>
            <w:tcW w:type="dxa" w:w="7087"/>
            <w:tcMar>
              <w:top w:w="95" w:type="dxa"/>
              <w:start w:w="120" w:type="dxa"/>
              <w:bottom w:w="95" w:type="dxa"/>
              <w:end w:w="120" w:type="dxa"/>
            </w:tcMar>
            <w:vAlign w:val="center"/>
          </w:tcPr>
          <w:p>
            <w:pPr>
              <w:spacing w:before="0" w:after="0" w:line="276" w:lineRule="auto"/>
            </w:pPr>
            <w:r>
              <w:rPr>
                <w:sz w:val="20"/>
              </w:rPr>
              <w:t>Optional clinic recognition pathway tied to staff certification completion rates</w:t>
            </w:r>
          </w:p>
        </w:tc>
      </w:tr>
    </w:tbl>
    <w:p/>
    <w:tbl>
      <w:tblPr>
        <w:tblW w:type="auto" w:w="0"/>
        <w:jc w:val="center"/>
        <w:tblLayout w:type="fixed"/>
        <w:tblLook w:firstColumn="1" w:firstRow="1" w:lastColumn="0" w:lastRow="0" w:noHBand="0" w:noVBand="1" w:val="04A0"/>
      </w:tblPr>
      <w:tblGrid>
        <w:gridCol w:w="9632"/>
      </w:tblGrid>
      <w:tr>
        <w:tc>
          <w:tcPr>
            <w:tcW w:type="dxa" w:w="8787"/>
            <w:shd w:fill="FCF8EF"/>
            <w:tcMar>
              <w:top w:w="130" w:type="dxa"/>
              <w:start w:w="180" w:type="dxa"/>
              <w:bottom w:w="130" w:type="dxa"/>
              <w:end w:w="180" w:type="dxa"/>
            </w:tcMar>
          </w:tcPr>
          <w:p>
            <w:pPr>
              <w:spacing w:before="0" w:after="0" w:line="276" w:lineRule="auto"/>
            </w:pPr>
            <w:r>
              <w:rPr>
                <w:b/>
                <w:color w:val="846226"/>
              </w:rPr>
              <w:t xml:space="preserve">Strategic note: </w:t>
            </w:r>
            <w:r>
              <w:rPr>
                <w:sz w:val="21"/>
              </w:rPr>
              <w:t>This academy stream is not a side course. It is a commercially scalable and clinically important pillar that can help standardise the patient journey across clinics, strengthen trust, and create a formal professional pathway for the front line of hair restoration.</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IIOHR Academy Framework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2D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2D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D2D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D2D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