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
    <w:p>
      <w:pPr>
        <w:pStyle w:val="Title"/>
        <w:jc w:val="center"/>
      </w:pPr>
      <w:r>
        <w:t>IIOHR Certificate in Hair Loss Consultation</w:t>
        <w:br/>
        <w:t>&amp; Clinical Patient Coordination</w:t>
      </w:r>
    </w:p>
    <w:p>
      <w:pPr>
        <w:pStyle w:val="Subtitle"/>
        <w:jc w:val="center"/>
      </w:pPr>
      <w:r>
        <w:t>Part 3 — Assessment &amp; Certification Framework</w:t>
      </w:r>
    </w:p>
    <w:p>
      <w:pPr>
        <w:jc w:val="center"/>
      </w:pPr>
      <w:r>
        <w:rPr>
          <w:sz w:val="22"/>
        </w:rPr>
        <w:t>International Institute of Integrated Hair Restoration</w:t>
      </w:r>
    </w:p>
    <w:p>
      <w:pPr>
        <w:jc w:val="center"/>
      </w:pPr>
      <w:r>
        <w:rPr>
          <w:sz w:val="21"/>
        </w:rPr>
        <w:t>Professional education pathway for consultants, nurses, coordinators, and patient-facing clinic staff</w:t>
      </w:r>
    </w:p>
    <w:p/>
    <w:tbl>
      <w:tblPr>
        <w:tblW w:type="auto" w:w="0"/>
        <w:jc w:val="center"/>
        <w:tblLayout w:type="fixed"/>
        <w:tblLook w:firstColumn="1" w:firstRow="1" w:lastColumn="0" w:lastRow="0" w:noHBand="0" w:noVBand="1" w:val="04A0"/>
      </w:tblPr>
      <w:tblGrid>
        <w:gridCol w:w="4896"/>
        <w:gridCol w:w="4896"/>
      </w:tblGrid>
      <w:tr>
        <w:tc>
          <w:tcPr>
            <w:tcW w:type="dxa" w:w="2592"/>
            <w:vAlign w:val="center"/>
            <w:shd w:fill="EAF1F8"/>
          </w:tcPr>
          <w:p>
            <w:pPr>
              <w:spacing w:after="0" w:before="0"/>
            </w:pPr>
            <w:r>
              <w:rPr>
                <w:b/>
                <w:color w:val="1F3A5F"/>
                <w:sz w:val="21"/>
              </w:rPr>
              <w:t>Document type</w:t>
            </w:r>
          </w:p>
        </w:tc>
        <w:tc>
          <w:tcPr>
            <w:tcW w:type="dxa" w:w="6624"/>
            <w:vAlign w:val="center"/>
          </w:tcPr>
          <w:p>
            <w:pPr>
              <w:spacing w:after="0" w:before="0"/>
            </w:pPr>
            <w:r>
              <w:rPr>
                <w:sz w:val="21"/>
              </w:rPr>
              <w:t>Program blueprint / curriculum package</w:t>
            </w:r>
          </w:p>
        </w:tc>
      </w:tr>
      <w:tr>
        <w:tc>
          <w:tcPr>
            <w:tcW w:type="dxa" w:w="2592"/>
            <w:vAlign w:val="center"/>
            <w:shd w:fill="EAF1F8"/>
          </w:tcPr>
          <w:p>
            <w:pPr>
              <w:spacing w:after="0" w:before="0"/>
            </w:pPr>
            <w:r>
              <w:rPr>
                <w:b/>
                <w:color w:val="1F3A5F"/>
                <w:sz w:val="21"/>
              </w:rPr>
              <w:t>Prepared for</w:t>
            </w:r>
          </w:p>
        </w:tc>
        <w:tc>
          <w:tcPr>
            <w:tcW w:type="dxa" w:w="6624"/>
            <w:vAlign w:val="center"/>
          </w:tcPr>
          <w:p>
            <w:pPr>
              <w:spacing w:after="0" w:before="0"/>
            </w:pPr>
            <w:r>
              <w:rPr>
                <w:sz w:val="21"/>
              </w:rPr>
              <w:t>IIOHR Academy development</w:t>
            </w:r>
          </w:p>
        </w:tc>
      </w:tr>
    </w:tbl>
    <w:p>
      <w:r>
        <w:br w:type="page"/>
      </w:r>
    </w:p>
    <w:p>
      <w:pPr>
        <w:pStyle w:val="Heading1"/>
      </w:pPr>
      <w:r>
        <w:t>Purpose of the Assessment Framework</w:t>
      </w:r>
    </w:p>
    <w:tbl>
      <w:tblPr>
        <w:tblW w:type="auto" w:w="0"/>
        <w:jc w:val="center"/>
        <w:tblLook w:firstColumn="1" w:firstRow="1" w:lastColumn="0" w:lastRow="0" w:noHBand="0" w:noVBand="1" w:val="04A0"/>
      </w:tblPr>
      <w:tblGrid>
        <w:gridCol w:w="9792"/>
      </w:tblGrid>
      <w:tr>
        <w:tc>
          <w:tcPr>
            <w:tcW w:type="dxa" w:w="9792"/>
            <w:shd w:fill="F4F7FA"/>
          </w:tcPr>
          <w:p>
            <w:pPr>
              <w:spacing w:after="60"/>
            </w:pPr>
            <w:r>
              <w:rPr>
                <w:b/>
                <w:color w:val="1F3A5F"/>
                <w:sz w:val="21"/>
              </w:rPr>
              <w:t>Assessment philosophy</w:t>
              <w:br/>
            </w:r>
            <w:r>
              <w:rPr>
                <w:sz w:val="20"/>
              </w:rPr>
              <w:t>Assessment should confirm actual competency rather than passive completion. Learners should be tested on judgement, communication, documentation, ethical restraint, and escalation capability — not only memory of terminology.</w:t>
            </w:r>
          </w:p>
        </w:tc>
      </w:tr>
    </w:tbl>
    <w:p/>
    <w:p>
      <w:pPr>
        <w:pStyle w:val="Heading2"/>
      </w:pPr>
      <w:r>
        <w:t>Assessment design principles</w:t>
      </w:r>
    </w:p>
    <w:p>
      <w:pPr>
        <w:spacing w:after="40"/>
        <w:ind w:left="0"/>
      </w:pPr>
      <w:r>
        <w:t>• Competency before attendance.</w:t>
      </w:r>
    </w:p>
    <w:p>
      <w:pPr>
        <w:spacing w:after="40"/>
        <w:ind w:left="0"/>
      </w:pPr>
      <w:r>
        <w:t>• Ethics and scope are mandatory pass domains.</w:t>
      </w:r>
    </w:p>
    <w:p>
      <w:pPr>
        <w:spacing w:after="40"/>
        <w:ind w:left="0"/>
      </w:pPr>
      <w:r>
        <w:t>• Case application should carry as much weight as knowledge recall.</w:t>
      </w:r>
    </w:p>
    <w:p>
      <w:pPr>
        <w:spacing w:after="40"/>
        <w:ind w:left="0"/>
      </w:pPr>
      <w:r>
        <w:t>• Documentation and communication should be assessed in practical form.</w:t>
      </w:r>
    </w:p>
    <w:p>
      <w:pPr>
        <w:spacing w:after="40"/>
        <w:ind w:left="0"/>
      </w:pPr>
      <w:r>
        <w:t>• Certification should reflect professional readiness within scope, not medical licensure.</w:t>
      </w:r>
    </w:p>
    <w:p>
      <w:pPr>
        <w:pStyle w:val="Heading1"/>
      </w:pPr>
      <w:r>
        <w:t>Assessment Architecture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592"/>
            <w:vAlign w:val="center"/>
            <w:shd w:fill="DCE6F1"/>
          </w:tcPr>
          <w:p>
            <w:pPr>
              <w:jc w:val="center"/>
            </w:pPr>
            <w:r>
              <w:rPr>
                <w:b/>
                <w:color w:val="1F3A5F"/>
                <w:sz w:val="20"/>
              </w:rPr>
              <w:t>Component</w:t>
            </w:r>
          </w:p>
        </w:tc>
        <w:tc>
          <w:tcPr>
            <w:tcW w:type="dxa" w:w="5472"/>
            <w:vAlign w:val="center"/>
            <w:shd w:fill="DCE6F1"/>
          </w:tcPr>
          <w:p>
            <w:pPr>
              <w:jc w:val="center"/>
            </w:pPr>
            <w:r>
              <w:rPr>
                <w:b/>
                <w:color w:val="1F3A5F"/>
                <w:sz w:val="20"/>
              </w:rPr>
              <w:t>Purpose</w:t>
            </w:r>
          </w:p>
        </w:tc>
        <w:tc>
          <w:tcPr>
            <w:tcW w:type="dxa" w:w="1728"/>
            <w:vAlign w:val="center"/>
            <w:shd w:fill="DCE6F1"/>
          </w:tcPr>
          <w:p>
            <w:pPr>
              <w:jc w:val="center"/>
            </w:pPr>
            <w:r>
              <w:rPr>
                <w:b/>
                <w:color w:val="1F3A5F"/>
                <w:sz w:val="20"/>
              </w:rPr>
              <w:t>Frequency</w:t>
            </w:r>
          </w:p>
        </w:tc>
        <w:tc>
          <w:tcPr>
            <w:tcW w:type="dxa" w:w="1440"/>
            <w:vAlign w:val="center"/>
            <w:shd w:fill="DCE6F1"/>
          </w:tcPr>
          <w:p>
            <w:pPr>
              <w:jc w:val="center"/>
            </w:pPr>
            <w:r>
              <w:rPr>
                <w:b/>
                <w:color w:val="1F3A5F"/>
                <w:sz w:val="20"/>
              </w:rPr>
              <w:t>Weighting</w:t>
            </w:r>
          </w:p>
        </w:tc>
      </w:tr>
      <w:tr>
        <w:tc>
          <w:tcPr>
            <w:tcW w:type="dxa" w:w="2592"/>
            <w:vAlign w:val="center"/>
          </w:tcPr>
          <w:p>
            <w:pPr>
              <w:spacing w:after="0"/>
            </w:pPr>
            <w:r>
              <w:rPr>
                <w:sz w:val="19"/>
              </w:rPr>
              <w:t>Weekly quizzes</w:t>
            </w:r>
          </w:p>
        </w:tc>
        <w:tc>
          <w:tcPr>
            <w:tcW w:type="dxa" w:w="5472"/>
            <w:vAlign w:val="center"/>
          </w:tcPr>
          <w:p>
            <w:pPr>
              <w:spacing w:after="0"/>
            </w:pPr>
            <w:r>
              <w:rPr>
                <w:sz w:val="19"/>
              </w:rPr>
              <w:t>Reinforce key concepts and confirm progressive understanding.</w:t>
            </w:r>
          </w:p>
        </w:tc>
        <w:tc>
          <w:tcPr>
            <w:tcW w:type="dxa" w:w="1728"/>
            <w:vAlign w:val="center"/>
          </w:tcPr>
          <w:p>
            <w:pPr>
              <w:spacing w:after="0"/>
            </w:pPr>
            <w:r>
              <w:rPr>
                <w:sz w:val="19"/>
              </w:rPr>
              <w:t>Weekly</w:t>
            </w:r>
          </w:p>
        </w:tc>
        <w:tc>
          <w:tcPr>
            <w:tcW w:type="dxa" w:w="1440"/>
            <w:vAlign w:val="center"/>
          </w:tcPr>
          <w:p>
            <w:pPr>
              <w:spacing w:after="0"/>
            </w:pPr>
            <w:r>
              <w:rPr>
                <w:sz w:val="19"/>
              </w:rPr>
              <w:t>20%</w:t>
            </w:r>
          </w:p>
        </w:tc>
      </w:tr>
      <w:tr>
        <w:tc>
          <w:tcPr>
            <w:tcW w:type="dxa" w:w="2592"/>
            <w:vAlign w:val="center"/>
          </w:tcPr>
          <w:p>
            <w:pPr>
              <w:spacing w:after="0"/>
            </w:pPr>
            <w:r>
              <w:rPr>
                <w:sz w:val="19"/>
              </w:rPr>
              <w:t>Practical assignments</w:t>
            </w:r>
          </w:p>
        </w:tc>
        <w:tc>
          <w:tcPr>
            <w:tcW w:type="dxa" w:w="5472"/>
            <w:vAlign w:val="center"/>
          </w:tcPr>
          <w:p>
            <w:pPr>
              <w:spacing w:after="0"/>
            </w:pPr>
            <w:r>
              <w:rPr>
                <w:sz w:val="19"/>
              </w:rPr>
              <w:t>Test applied communication, documentation, and workflow skill.</w:t>
            </w:r>
          </w:p>
        </w:tc>
        <w:tc>
          <w:tcPr>
            <w:tcW w:type="dxa" w:w="1728"/>
            <w:vAlign w:val="center"/>
          </w:tcPr>
          <w:p>
            <w:pPr>
              <w:spacing w:after="0"/>
            </w:pPr>
            <w:r>
              <w:rPr>
                <w:sz w:val="19"/>
              </w:rPr>
              <w:t>5 core tasks</w:t>
            </w:r>
          </w:p>
        </w:tc>
        <w:tc>
          <w:tcPr>
            <w:tcW w:type="dxa" w:w="1440"/>
            <w:vAlign w:val="center"/>
          </w:tcPr>
          <w:p>
            <w:pPr>
              <w:spacing w:after="0"/>
            </w:pPr>
            <w:r>
              <w:rPr>
                <w:sz w:val="19"/>
              </w:rPr>
              <w:t>35%</w:t>
            </w:r>
          </w:p>
        </w:tc>
      </w:tr>
      <w:tr>
        <w:tc>
          <w:tcPr>
            <w:tcW w:type="dxa" w:w="2592"/>
            <w:vAlign w:val="center"/>
          </w:tcPr>
          <w:p>
            <w:pPr>
              <w:spacing w:after="0"/>
            </w:pPr>
            <w:r>
              <w:rPr>
                <w:sz w:val="19"/>
              </w:rPr>
              <w:t>Case-based assessments</w:t>
            </w:r>
          </w:p>
        </w:tc>
        <w:tc>
          <w:tcPr>
            <w:tcW w:type="dxa" w:w="5472"/>
            <w:vAlign w:val="center"/>
          </w:tcPr>
          <w:p>
            <w:pPr>
              <w:spacing w:after="0"/>
            </w:pPr>
            <w:r>
              <w:rPr>
                <w:sz w:val="19"/>
              </w:rPr>
              <w:t>Measure judgement, screening support, and escalation reasoning.</w:t>
            </w:r>
          </w:p>
        </w:tc>
        <w:tc>
          <w:tcPr>
            <w:tcW w:type="dxa" w:w="1728"/>
            <w:vAlign w:val="center"/>
          </w:tcPr>
          <w:p>
            <w:pPr>
              <w:spacing w:after="0"/>
            </w:pPr>
            <w:r>
              <w:rPr>
                <w:sz w:val="19"/>
              </w:rPr>
              <w:t>3 staged</w:t>
            </w:r>
          </w:p>
        </w:tc>
        <w:tc>
          <w:tcPr>
            <w:tcW w:type="dxa" w:w="1440"/>
            <w:vAlign w:val="center"/>
          </w:tcPr>
          <w:p>
            <w:pPr>
              <w:spacing w:after="0"/>
            </w:pPr>
            <w:r>
              <w:rPr>
                <w:sz w:val="19"/>
              </w:rPr>
              <w:t>20%</w:t>
            </w:r>
          </w:p>
        </w:tc>
      </w:tr>
      <w:tr>
        <w:tc>
          <w:tcPr>
            <w:tcW w:type="dxa" w:w="2592"/>
            <w:vAlign w:val="center"/>
          </w:tcPr>
          <w:p>
            <w:pPr>
              <w:spacing w:after="0"/>
            </w:pPr>
            <w:r>
              <w:rPr>
                <w:sz w:val="19"/>
              </w:rPr>
              <w:t>Final competency assessment</w:t>
            </w:r>
          </w:p>
        </w:tc>
        <w:tc>
          <w:tcPr>
            <w:tcW w:type="dxa" w:w="5472"/>
            <w:vAlign w:val="center"/>
          </w:tcPr>
          <w:p>
            <w:pPr>
              <w:spacing w:after="0"/>
            </w:pPr>
            <w:r>
              <w:rPr>
                <w:sz w:val="19"/>
              </w:rPr>
              <w:t>Integrate theory, ethics, documentation, communication, and triage.</w:t>
            </w:r>
          </w:p>
        </w:tc>
        <w:tc>
          <w:tcPr>
            <w:tcW w:type="dxa" w:w="1728"/>
            <w:vAlign w:val="center"/>
          </w:tcPr>
          <w:p>
            <w:pPr>
              <w:spacing w:after="0"/>
            </w:pPr>
            <w:r>
              <w:rPr>
                <w:sz w:val="19"/>
              </w:rPr>
              <w:t>End of course</w:t>
            </w:r>
          </w:p>
        </w:tc>
        <w:tc>
          <w:tcPr>
            <w:tcW w:type="dxa" w:w="1440"/>
            <w:vAlign w:val="center"/>
          </w:tcPr>
          <w:p>
            <w:pPr>
              <w:spacing w:after="0"/>
            </w:pPr>
            <w:r>
              <w:rPr>
                <w:sz w:val="19"/>
              </w:rPr>
              <w:t>25%</w:t>
            </w:r>
          </w:p>
        </w:tc>
      </w:tr>
    </w:tbl>
    <w:p/>
    <w:p>
      <w:pPr>
        <w:pStyle w:val="Heading1"/>
      </w:pPr>
      <w:r>
        <w:t>Assessment Components in Detail</w:t>
      </w:r>
    </w:p>
    <w:p>
      <w:pPr>
        <w:pStyle w:val="Heading2"/>
      </w:pPr>
      <w:r>
        <w:t>1. Weekly quizzes</w:t>
      </w:r>
    </w:p>
    <w:p>
      <w:pPr>
        <w:spacing w:after="40"/>
        <w:ind w:left="0"/>
      </w:pPr>
      <w:r>
        <w:t>• 10–15 questions each week.</w:t>
      </w:r>
    </w:p>
    <w:p>
      <w:pPr>
        <w:spacing w:after="40"/>
        <w:ind w:left="0"/>
      </w:pPr>
      <w:r>
        <w:t>• Mix of multiple-choice, short case prompts, and safe/unsafe language identification.</w:t>
      </w:r>
    </w:p>
    <w:p>
      <w:pPr>
        <w:spacing w:after="40"/>
        <w:ind w:left="0"/>
      </w:pPr>
      <w:r>
        <w:t>• Used to reinforce learning rather than function as the sole measure of competency.</w:t>
      </w:r>
    </w:p>
    <w:p>
      <w:pPr>
        <w:spacing w:after="40"/>
        <w:ind w:left="0"/>
      </w:pPr>
      <w:r>
        <w:t>• A running pass threshold of 75% is recommended.</w:t>
      </w:r>
    </w:p>
    <w:p>
      <w:pPr>
        <w:pStyle w:val="Heading2"/>
      </w:pPr>
      <w:r>
        <w:t>2. Practical assignments</w:t>
      </w:r>
    </w:p>
    <w:p>
      <w:pPr>
        <w:spacing w:after="40"/>
        <w:ind w:left="0"/>
      </w:pPr>
      <w:r>
        <w:t>• Week 5: Structured consultation note.</w:t>
      </w:r>
    </w:p>
    <w:p>
      <w:pPr>
        <w:spacing w:after="40"/>
        <w:ind w:left="0"/>
      </w:pPr>
      <w:r>
        <w:t>• Week 7: Communication and language correction exercise.</w:t>
      </w:r>
    </w:p>
    <w:p>
      <w:pPr>
        <w:spacing w:after="40"/>
        <w:ind w:left="0"/>
      </w:pPr>
      <w:r>
        <w:t>• Week 9: Documentation, photography, and doctor handover pack.</w:t>
      </w:r>
    </w:p>
    <w:p>
      <w:pPr>
        <w:spacing w:after="40"/>
        <w:ind w:left="0"/>
      </w:pPr>
      <w:r>
        <w:t>• Week 10: Pre-operative coordination checklist and communication sequence.</w:t>
      </w:r>
    </w:p>
    <w:p>
      <w:pPr>
        <w:spacing w:after="40"/>
        <w:ind w:left="0"/>
      </w:pPr>
      <w:r>
        <w:t>• Week 11: Post-operative message-response and escalation exercise.</w:t>
      </w:r>
    </w:p>
    <w:p>
      <w:pPr>
        <w:pStyle w:val="Heading2"/>
      </w:pPr>
      <w:r>
        <w:t>3. Case-based assessments</w:t>
      </w:r>
    </w:p>
    <w:p>
      <w:pPr>
        <w:spacing w:after="40"/>
        <w:ind w:left="0"/>
      </w:pPr>
      <w:r>
        <w:t>• Screening and suitability scenario set.</w:t>
      </w:r>
    </w:p>
    <w:p>
      <w:pPr>
        <w:spacing w:after="40"/>
        <w:ind w:left="0"/>
      </w:pPr>
      <w:r>
        <w:t>• Red-flag and escalation decision exercise.</w:t>
      </w:r>
    </w:p>
    <w:p>
      <w:pPr>
        <w:spacing w:after="40"/>
        <w:ind w:left="0"/>
      </w:pPr>
      <w:r>
        <w:t>• Treatment pathway explanation scenario with scope-of-practice constraints.</w:t>
      </w:r>
    </w:p>
    <w:p>
      <w:pPr>
        <w:pStyle w:val="Heading2"/>
      </w:pPr>
      <w:r>
        <w:t>4. Final competency assessment</w:t>
      </w:r>
    </w:p>
    <w:p>
      <w:pPr>
        <w:spacing w:after="40"/>
        <w:ind w:left="0"/>
      </w:pPr>
      <w:r>
        <w:t>• Theory examination.</w:t>
      </w:r>
    </w:p>
    <w:p>
      <w:pPr>
        <w:spacing w:after="40"/>
        <w:ind w:left="0"/>
      </w:pPr>
      <w:r>
        <w:t>• Ethics and scope-of-practice test.</w:t>
      </w:r>
    </w:p>
    <w:p>
      <w:pPr>
        <w:spacing w:after="40"/>
        <w:ind w:left="0"/>
      </w:pPr>
      <w:r>
        <w:t>• Clinical scenario and escalation sequence.</w:t>
      </w:r>
    </w:p>
    <w:p>
      <w:pPr>
        <w:spacing w:after="40"/>
        <w:ind w:left="0"/>
      </w:pPr>
      <w:r>
        <w:t>• Documentation and handover review.</w:t>
      </w:r>
    </w:p>
    <w:p>
      <w:pPr>
        <w:spacing w:after="40"/>
        <w:ind w:left="0"/>
      </w:pPr>
      <w:r>
        <w:t>• Mock consult / written communication exercise.</w:t>
      </w:r>
    </w:p>
    <w:p>
      <w:pPr>
        <w:spacing w:after="40"/>
        <w:ind w:left="0"/>
      </w:pPr>
      <w:r>
        <w:t>• Reflective professional statement on safe patient guidance.</w:t>
      </w:r>
    </w:p>
    <w:p>
      <w:pPr>
        <w:pStyle w:val="Heading1"/>
      </w:pPr>
      <w:r>
        <w:t>Assignment Titles and Submission Requirements</w:t>
      </w:r>
    </w:p>
    <w:p>
      <w:pPr>
        <w:pStyle w:val="Heading2"/>
      </w:pPr>
      <w:r>
        <w:t>Assignment 1 — Structured Consultation Note</w:t>
      </w:r>
    </w:p>
    <w:p>
      <w:r>
        <w:rPr>
          <w:b/>
        </w:rPr>
        <w:t xml:space="preserve">Submission: </w:t>
      </w:r>
      <w:r>
        <w:t>Submit a consultation summary using the program template. Must demonstrate history-taking quality, objective wording, and clear next-step recommendations for doctor review.</w:t>
      </w:r>
    </w:p>
    <w:p>
      <w:r>
        <w:rPr>
          <w:b/>
        </w:rPr>
        <w:t xml:space="preserve">Primary marking criteria: </w:t>
      </w:r>
      <w:r>
        <w:t>Accuracy, structure, clinical relevance, professional tone, clarity of escalation triggers.</w:t>
      </w:r>
    </w:p>
    <w:p>
      <w:pPr>
        <w:pStyle w:val="Heading2"/>
      </w:pPr>
      <w:r>
        <w:t>Assignment 2 — Consultation Communication Correction Exercise</w:t>
      </w:r>
    </w:p>
    <w:p>
      <w:r>
        <w:rPr>
          <w:b/>
        </w:rPr>
        <w:t xml:space="preserve">Submission: </w:t>
      </w:r>
      <w:r>
        <w:t>Rewrite poor or high-risk consultation language into safer, more professional wording while preserving empathy and confidence.</w:t>
      </w:r>
    </w:p>
    <w:p>
      <w:r>
        <w:rPr>
          <w:b/>
        </w:rPr>
        <w:t xml:space="preserve">Primary marking criteria: </w:t>
      </w:r>
      <w:r>
        <w:t>Judgement, ethical communication, scope awareness, expectation-setting quality.</w:t>
      </w:r>
    </w:p>
    <w:p>
      <w:pPr>
        <w:pStyle w:val="Heading2"/>
      </w:pPr>
      <w:r>
        <w:t>Assignment 3 — Doctor Handover Case Pack</w:t>
      </w:r>
    </w:p>
    <w:p>
      <w:r>
        <w:rPr>
          <w:b/>
        </w:rPr>
        <w:t xml:space="preserve">Submission: </w:t>
      </w:r>
      <w:r>
        <w:t>Submit a complete mock case pack including image checklist, consultation note, red flags, and a one-page handover summary for doctor review.</w:t>
      </w:r>
    </w:p>
    <w:p>
      <w:r>
        <w:rPr>
          <w:b/>
        </w:rPr>
        <w:t xml:space="preserve">Primary marking criteria: </w:t>
      </w:r>
      <w:r>
        <w:t>Completeness, organisation, photo literacy, documentation quality, usefulness for doctor decision-making.</w:t>
      </w:r>
    </w:p>
    <w:p>
      <w:pPr>
        <w:pStyle w:val="Heading2"/>
      </w:pPr>
      <w:r>
        <w:t>Assignment 4 — Pre-Operative Patient Readiness Sequence</w:t>
      </w:r>
    </w:p>
    <w:p>
      <w:r>
        <w:rPr>
          <w:b/>
        </w:rPr>
        <w:t xml:space="preserve">Submission: </w:t>
      </w:r>
      <w:r>
        <w:t>Design a pre-operative communication plan, checklist, and escalation triggers for the week leading into treatment.</w:t>
      </w:r>
    </w:p>
    <w:p>
      <w:r>
        <w:rPr>
          <w:b/>
        </w:rPr>
        <w:t xml:space="preserve">Primary marking criteria: </w:t>
      </w:r>
      <w:r>
        <w:t>Operational readiness, patient clarity, sequencing, escalation awareness.</w:t>
      </w:r>
    </w:p>
    <w:p>
      <w:pPr>
        <w:pStyle w:val="Heading2"/>
      </w:pPr>
      <w:r>
        <w:t>Assignment 5 — Post-Operative Follow-Up and Escalation Exercise</w:t>
      </w:r>
    </w:p>
    <w:p>
      <w:r>
        <w:rPr>
          <w:b/>
        </w:rPr>
        <w:t xml:space="preserve">Submission: </w:t>
      </w:r>
      <w:r>
        <w:t>Respond to simulated follow-up messages and separate routine reassurance from doctor-escalation scenarios.</w:t>
      </w:r>
    </w:p>
    <w:p>
      <w:r>
        <w:rPr>
          <w:b/>
        </w:rPr>
        <w:t xml:space="preserve">Primary marking criteria: </w:t>
      </w:r>
      <w:r>
        <w:t>Clinical judgement within scope, calm communication, patient safety, escalation logic.</w:t>
      </w:r>
    </w:p>
    <w:p>
      <w:pPr>
        <w:pStyle w:val="Heading1"/>
      </w:pPr>
      <w:r>
        <w:t>Grading and Pass Criteria</w:t>
      </w:r>
    </w:p>
    <w:tbl>
      <w:tblPr>
        <w:tblW w:type="auto" w:w="0"/>
        <w:jc w:val="center"/>
        <w:tblLook w:firstColumn="1" w:firstRow="1" w:lastColumn="0" w:lastRow="0" w:noHBand="0" w:noVBand="1" w:val="04A0"/>
      </w:tblPr>
      <w:tblGrid>
        <w:gridCol w:w="9792"/>
      </w:tblGrid>
      <w:tr>
        <w:tc>
          <w:tcPr>
            <w:tcW w:type="dxa" w:w="9792"/>
            <w:shd w:fill="F4F7FA"/>
          </w:tcPr>
          <w:p>
            <w:pPr>
              <w:spacing w:after="60"/>
            </w:pPr>
            <w:r>
              <w:rPr>
                <w:b/>
                <w:color w:val="1F3A5F"/>
                <w:sz w:val="21"/>
              </w:rPr>
              <w:t>Recommended standard</w:t>
              <w:br/>
            </w:r>
            <w:r>
              <w:rPr>
                <w:sz w:val="20"/>
              </w:rPr>
              <w:t>To preserve the credibility of the certificate, certification should require an overall result of 80% or higher, together with mandatory passes in ethics/scope and red-flag escalation domains.</w:t>
            </w:r>
          </w:p>
        </w:tc>
      </w:tr>
    </w:tbl>
    <w:p/>
    <w:p>
      <w:pPr>
        <w:spacing w:after="40"/>
        <w:ind w:left="0"/>
      </w:pPr>
      <w:r>
        <w:t>• Overall recommended pass mark: 80%.</w:t>
      </w:r>
    </w:p>
    <w:p>
      <w:pPr>
        <w:spacing w:after="40"/>
        <w:ind w:left="0"/>
      </w:pPr>
      <w:r>
        <w:t>• Minimum quiz average: 75%.</w:t>
      </w:r>
    </w:p>
    <w:p>
      <w:pPr>
        <w:spacing w:after="40"/>
        <w:ind w:left="0"/>
      </w:pPr>
      <w:r>
        <w:t>• Mandatory pass in ethics and scope-of-practice assessment.</w:t>
      </w:r>
    </w:p>
    <w:p>
      <w:pPr>
        <w:spacing w:after="40"/>
        <w:ind w:left="0"/>
      </w:pPr>
      <w:r>
        <w:t>• Mandatory pass in red-flag and escalation assessment.</w:t>
      </w:r>
    </w:p>
    <w:p>
      <w:pPr>
        <w:spacing w:after="40"/>
        <w:ind w:left="0"/>
      </w:pPr>
      <w:r>
        <w:t>• Mandatory satisfactory completion of documentation/handover practical.</w:t>
      </w:r>
    </w:p>
    <w:p>
      <w:pPr>
        <w:spacing w:after="40"/>
        <w:ind w:left="0"/>
      </w:pPr>
      <w:r>
        <w:t>• Failure in a mandatory domain should trigger remediation and reassessment before certification.</w:t>
      </w:r>
    </w:p>
    <w:p>
      <w:pPr>
        <w:pStyle w:val="Heading1"/>
      </w:pPr>
      <w:r>
        <w:t>Rubric Categories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2448"/>
            <w:shd w:fill="DCE6F1"/>
          </w:tcPr>
          <w:p>
            <w:pPr>
              <w:jc w:val="center"/>
            </w:pPr>
            <w:r>
              <w:rPr>
                <w:b/>
                <w:sz w:val="18"/>
              </w:rPr>
              <w:t>Criterion</w:t>
            </w:r>
          </w:p>
        </w:tc>
        <w:tc>
          <w:tcPr>
            <w:tcW w:type="dxa" w:w="2736"/>
            <w:shd w:fill="DCE6F1"/>
          </w:tcPr>
          <w:p>
            <w:pPr>
              <w:jc w:val="center"/>
            </w:pPr>
            <w:r>
              <w:rPr>
                <w:b/>
                <w:sz w:val="18"/>
              </w:rPr>
              <w:t>Excellent</w:t>
            </w:r>
          </w:p>
        </w:tc>
        <w:tc>
          <w:tcPr>
            <w:tcW w:type="dxa" w:w="2736"/>
            <w:shd w:fill="DCE6F1"/>
          </w:tcPr>
          <w:p>
            <w:pPr>
              <w:jc w:val="center"/>
            </w:pPr>
            <w:r>
              <w:rPr>
                <w:b/>
                <w:sz w:val="18"/>
              </w:rPr>
              <w:t>Competent</w:t>
            </w:r>
          </w:p>
        </w:tc>
        <w:tc>
          <w:tcPr>
            <w:tcW w:type="dxa" w:w="2736"/>
            <w:shd w:fill="DCE6F1"/>
          </w:tcPr>
          <w:p>
            <w:pPr>
              <w:jc w:val="center"/>
            </w:pPr>
            <w:r>
              <w:rPr>
                <w:b/>
                <w:sz w:val="18"/>
              </w:rPr>
              <w:t>Borderline</w:t>
            </w:r>
          </w:p>
        </w:tc>
        <w:tc>
          <w:tcPr>
            <w:tcW w:type="dxa" w:w="2736"/>
            <w:shd w:fill="DCE6F1"/>
          </w:tcPr>
          <w:p>
            <w:pPr>
              <w:jc w:val="center"/>
            </w:pPr>
            <w:r>
              <w:rPr>
                <w:b/>
                <w:sz w:val="18"/>
              </w:rPr>
              <w:t>Unsatisfactory</w:t>
            </w:r>
          </w:p>
        </w:tc>
      </w:tr>
      <w:tr>
        <w:tc>
          <w:tcPr>
            <w:tcW w:type="dxa" w:w="2448"/>
          </w:tcPr>
          <w:p>
            <w:pPr>
              <w:spacing w:after="0"/>
            </w:pPr>
            <w:r>
              <w:rPr>
                <w:sz w:val="18"/>
              </w:rPr>
              <w:t>Clinical literacy</w:t>
            </w:r>
          </w:p>
        </w:tc>
        <w:tc>
          <w:tcPr>
            <w:tcW w:type="dxa" w:w="2736"/>
          </w:tcPr>
          <w:p>
            <w:pPr>
              <w:spacing w:after="0"/>
            </w:pPr>
            <w:r>
              <w:rPr>
                <w:sz w:val="18"/>
              </w:rPr>
              <w:t>Accurate, clear, applied confidently and responsibly.</w:t>
            </w:r>
          </w:p>
        </w:tc>
        <w:tc>
          <w:tcPr>
            <w:tcW w:type="dxa" w:w="2736"/>
          </w:tcPr>
          <w:p>
            <w:pPr>
              <w:spacing w:after="0"/>
            </w:pPr>
            <w:r>
              <w:rPr>
                <w:sz w:val="18"/>
              </w:rPr>
              <w:t>Generally accurate with minor gaps.</w:t>
            </w:r>
          </w:p>
        </w:tc>
        <w:tc>
          <w:tcPr>
            <w:tcW w:type="dxa" w:w="2736"/>
          </w:tcPr>
          <w:p>
            <w:pPr>
              <w:spacing w:after="0"/>
            </w:pPr>
            <w:r>
              <w:rPr>
                <w:sz w:val="18"/>
              </w:rPr>
              <w:t>Inconsistent or partially unclear.</w:t>
            </w:r>
          </w:p>
        </w:tc>
        <w:tc>
          <w:tcPr>
            <w:tcW w:type="dxa" w:w="2736"/>
          </w:tcPr>
          <w:p>
            <w:pPr>
              <w:spacing w:after="0"/>
            </w:pPr>
            <w:r>
              <w:rPr>
                <w:sz w:val="18"/>
              </w:rPr>
              <w:t>Significant errors or unsafe explanation.</w:t>
            </w:r>
          </w:p>
        </w:tc>
      </w:tr>
      <w:tr>
        <w:tc>
          <w:tcPr>
            <w:tcW w:type="dxa" w:w="2448"/>
          </w:tcPr>
          <w:p>
            <w:pPr>
              <w:spacing w:after="0"/>
            </w:pPr>
            <w:r>
              <w:rPr>
                <w:sz w:val="18"/>
              </w:rPr>
              <w:t>Scope and ethics</w:t>
            </w:r>
          </w:p>
        </w:tc>
        <w:tc>
          <w:tcPr>
            <w:tcW w:type="dxa" w:w="2736"/>
          </w:tcPr>
          <w:p>
            <w:pPr>
              <w:spacing w:after="0"/>
            </w:pPr>
            <w:r>
              <w:rPr>
                <w:sz w:val="18"/>
              </w:rPr>
              <w:t>Consistently safe, disciplined, and ethically mature.</w:t>
            </w:r>
          </w:p>
        </w:tc>
        <w:tc>
          <w:tcPr>
            <w:tcW w:type="dxa" w:w="2736"/>
          </w:tcPr>
          <w:p>
            <w:pPr>
              <w:spacing w:after="0"/>
            </w:pPr>
            <w:r>
              <w:rPr>
                <w:sz w:val="18"/>
              </w:rPr>
              <w:t>Mostly safe with minor lapses.</w:t>
            </w:r>
          </w:p>
        </w:tc>
        <w:tc>
          <w:tcPr>
            <w:tcW w:type="dxa" w:w="2736"/>
          </w:tcPr>
          <w:p>
            <w:pPr>
              <w:spacing w:after="0"/>
            </w:pPr>
            <w:r>
              <w:rPr>
                <w:sz w:val="18"/>
              </w:rPr>
              <w:t>Some risky phrasing or weak boundaries.</w:t>
            </w:r>
          </w:p>
        </w:tc>
        <w:tc>
          <w:tcPr>
            <w:tcW w:type="dxa" w:w="2736"/>
          </w:tcPr>
          <w:p>
            <w:pPr>
              <w:spacing w:after="0"/>
            </w:pPr>
            <w:r>
              <w:rPr>
                <w:sz w:val="18"/>
              </w:rPr>
              <w:t>Unsafe, misleading, or outside scope.</w:t>
            </w:r>
          </w:p>
        </w:tc>
      </w:tr>
      <w:tr>
        <w:tc>
          <w:tcPr>
            <w:tcW w:type="dxa" w:w="2448"/>
          </w:tcPr>
          <w:p>
            <w:pPr>
              <w:spacing w:after="0"/>
            </w:pPr>
            <w:r>
              <w:rPr>
                <w:sz w:val="18"/>
              </w:rPr>
              <w:t>Communication</w:t>
            </w:r>
          </w:p>
        </w:tc>
        <w:tc>
          <w:tcPr>
            <w:tcW w:type="dxa" w:w="2736"/>
          </w:tcPr>
          <w:p>
            <w:pPr>
              <w:spacing w:after="0"/>
            </w:pPr>
            <w:r>
              <w:rPr>
                <w:sz w:val="18"/>
              </w:rPr>
              <w:t>Empathetic, structured, confident, and balanced.</w:t>
            </w:r>
          </w:p>
        </w:tc>
        <w:tc>
          <w:tcPr>
            <w:tcW w:type="dxa" w:w="2736"/>
          </w:tcPr>
          <w:p>
            <w:pPr>
              <w:spacing w:after="0"/>
            </w:pPr>
            <w:r>
              <w:rPr>
                <w:sz w:val="18"/>
              </w:rPr>
              <w:t>Clear and professional overall.</w:t>
            </w:r>
          </w:p>
        </w:tc>
        <w:tc>
          <w:tcPr>
            <w:tcW w:type="dxa" w:w="2736"/>
          </w:tcPr>
          <w:p>
            <w:pPr>
              <w:spacing w:after="0"/>
            </w:pPr>
            <w:r>
              <w:rPr>
                <w:sz w:val="18"/>
              </w:rPr>
              <w:t>Variable clarity or awkward phrasing.</w:t>
            </w:r>
          </w:p>
        </w:tc>
        <w:tc>
          <w:tcPr>
            <w:tcW w:type="dxa" w:w="2736"/>
          </w:tcPr>
          <w:p>
            <w:pPr>
              <w:spacing w:after="0"/>
            </w:pPr>
            <w:r>
              <w:rPr>
                <w:sz w:val="18"/>
              </w:rPr>
              <w:t>Confusing, pressured, or unprofessional.</w:t>
            </w:r>
          </w:p>
        </w:tc>
      </w:tr>
      <w:tr>
        <w:tc>
          <w:tcPr>
            <w:tcW w:type="dxa" w:w="2448"/>
          </w:tcPr>
          <w:p>
            <w:pPr>
              <w:spacing w:after="0"/>
            </w:pPr>
            <w:r>
              <w:rPr>
                <w:sz w:val="18"/>
              </w:rPr>
              <w:t>Documentation</w:t>
            </w:r>
          </w:p>
        </w:tc>
        <w:tc>
          <w:tcPr>
            <w:tcW w:type="dxa" w:w="2736"/>
          </w:tcPr>
          <w:p>
            <w:pPr>
              <w:spacing w:after="0"/>
            </w:pPr>
            <w:r>
              <w:rPr>
                <w:sz w:val="18"/>
              </w:rPr>
              <w:t>Concise, useful, and doctor-ready.</w:t>
            </w:r>
          </w:p>
        </w:tc>
        <w:tc>
          <w:tcPr>
            <w:tcW w:type="dxa" w:w="2736"/>
          </w:tcPr>
          <w:p>
            <w:pPr>
              <w:spacing w:after="0"/>
            </w:pPr>
            <w:r>
              <w:rPr>
                <w:sz w:val="18"/>
              </w:rPr>
              <w:t>Adequate and mostly clear.</w:t>
            </w:r>
          </w:p>
        </w:tc>
        <w:tc>
          <w:tcPr>
            <w:tcW w:type="dxa" w:w="2736"/>
          </w:tcPr>
          <w:p>
            <w:pPr>
              <w:spacing w:after="0"/>
            </w:pPr>
            <w:r>
              <w:rPr>
                <w:sz w:val="18"/>
              </w:rPr>
              <w:t>Incomplete or loosely organised.</w:t>
            </w:r>
          </w:p>
        </w:tc>
        <w:tc>
          <w:tcPr>
            <w:tcW w:type="dxa" w:w="2736"/>
          </w:tcPr>
          <w:p>
            <w:pPr>
              <w:spacing w:after="0"/>
            </w:pPr>
            <w:r>
              <w:rPr>
                <w:sz w:val="18"/>
              </w:rPr>
              <w:t>Poor quality or clinically unhelpful.</w:t>
            </w:r>
          </w:p>
        </w:tc>
      </w:tr>
      <w:tr>
        <w:tc>
          <w:tcPr>
            <w:tcW w:type="dxa" w:w="2448"/>
          </w:tcPr>
          <w:p>
            <w:pPr>
              <w:spacing w:after="0"/>
            </w:pPr>
            <w:r>
              <w:rPr>
                <w:sz w:val="18"/>
              </w:rPr>
              <w:t>Escalation judgement</w:t>
            </w:r>
          </w:p>
        </w:tc>
        <w:tc>
          <w:tcPr>
            <w:tcW w:type="dxa" w:w="2736"/>
          </w:tcPr>
          <w:p>
            <w:pPr>
              <w:spacing w:after="0"/>
            </w:pPr>
            <w:r>
              <w:rPr>
                <w:sz w:val="18"/>
              </w:rPr>
              <w:t>Recognises risk promptly and appropriately.</w:t>
            </w:r>
          </w:p>
        </w:tc>
        <w:tc>
          <w:tcPr>
            <w:tcW w:type="dxa" w:w="2736"/>
          </w:tcPr>
          <w:p>
            <w:pPr>
              <w:spacing w:after="0"/>
            </w:pPr>
            <w:r>
              <w:rPr>
                <w:sz w:val="18"/>
              </w:rPr>
              <w:t>Generally identifies escalation points.</w:t>
            </w:r>
          </w:p>
        </w:tc>
        <w:tc>
          <w:tcPr>
            <w:tcW w:type="dxa" w:w="2736"/>
          </w:tcPr>
          <w:p>
            <w:pPr>
              <w:spacing w:after="0"/>
            </w:pPr>
            <w:r>
              <w:rPr>
                <w:sz w:val="18"/>
              </w:rPr>
              <w:t>Misses some caution points.</w:t>
            </w:r>
          </w:p>
        </w:tc>
        <w:tc>
          <w:tcPr>
            <w:tcW w:type="dxa" w:w="2736"/>
          </w:tcPr>
          <w:p>
            <w:pPr>
              <w:spacing w:after="0"/>
            </w:pPr>
            <w:r>
              <w:rPr>
                <w:sz w:val="18"/>
              </w:rPr>
              <w:t>Unsafe judgement or failure to escalate.</w:t>
            </w:r>
          </w:p>
        </w:tc>
      </w:tr>
    </w:tbl>
    <w:p/>
    <w:p>
      <w:pPr>
        <w:pStyle w:val="Heading1"/>
      </w:pPr>
      <w:r>
        <w:t>Competency Matrix</w:t>
      </w:r>
    </w:p>
    <w:tbl>
      <w:tblPr>
        <w:tblStyle w:val="TableGrid"/>
        <w:tblW w:type="auto" w:w="0"/>
        <w:jc w:val="center"/>
        <w:tblLook w:firstColumn="1" w:firstRow="1" w:lastColumn="0" w:lastRow="0" w:noHBand="0" w:noVBand="1" w:val="04A0"/>
      </w:tblPr>
      <w:tblGrid>
        <w:gridCol w:w="3264"/>
        <w:gridCol w:w="3264"/>
        <w:gridCol w:w="3264"/>
      </w:tblGrid>
      <w:tr>
        <w:tc>
          <w:tcPr>
            <w:tcW w:type="dxa" w:w="3744"/>
            <w:shd w:fill="DCE6F1"/>
          </w:tcPr>
          <w:p>
            <w:pPr>
              <w:jc w:val="center"/>
            </w:pPr>
            <w:r>
              <w:rPr>
                <w:b/>
                <w:sz w:val="19"/>
              </w:rPr>
              <w:t>Competency domain</w:t>
            </w:r>
          </w:p>
        </w:tc>
        <w:tc>
          <w:tcPr>
            <w:tcW w:type="dxa" w:w="4752"/>
            <w:shd w:fill="DCE6F1"/>
          </w:tcPr>
          <w:p>
            <w:pPr>
              <w:jc w:val="center"/>
            </w:pPr>
            <w:r>
              <w:rPr>
                <w:b/>
                <w:sz w:val="19"/>
              </w:rPr>
              <w:t>Evidence source</w:t>
            </w:r>
          </w:p>
        </w:tc>
        <w:tc>
          <w:tcPr>
            <w:tcW w:type="dxa" w:w="3168"/>
            <w:shd w:fill="DCE6F1"/>
          </w:tcPr>
          <w:p>
            <w:pPr>
              <w:jc w:val="center"/>
            </w:pPr>
            <w:r>
              <w:rPr>
                <w:b/>
                <w:sz w:val="19"/>
              </w:rPr>
              <w:t>Certification requirement</w:t>
            </w:r>
          </w:p>
        </w:tc>
      </w:tr>
      <w:tr>
        <w:tc>
          <w:tcPr>
            <w:tcW w:type="dxa" w:w="3744"/>
          </w:tcPr>
          <w:p>
            <w:pPr>
              <w:spacing w:after="0"/>
            </w:pPr>
            <w:r>
              <w:rPr>
                <w:sz w:val="18"/>
              </w:rPr>
              <w:t>Consultation structure</w:t>
            </w:r>
          </w:p>
        </w:tc>
        <w:tc>
          <w:tcPr>
            <w:tcW w:type="dxa" w:w="4752"/>
          </w:tcPr>
          <w:p>
            <w:pPr>
              <w:spacing w:after="0"/>
            </w:pPr>
            <w:r>
              <w:rPr>
                <w:sz w:val="18"/>
              </w:rPr>
              <w:t>Week 5 note + final assessment</w:t>
            </w:r>
          </w:p>
        </w:tc>
        <w:tc>
          <w:tcPr>
            <w:tcW w:type="dxa" w:w="3168"/>
          </w:tcPr>
          <w:p>
            <w:pPr>
              <w:spacing w:after="0"/>
            </w:pPr>
            <w:r>
              <w:rPr>
                <w:sz w:val="18"/>
              </w:rPr>
              <w:t>Pass</w:t>
            </w:r>
          </w:p>
        </w:tc>
      </w:tr>
      <w:tr>
        <w:tc>
          <w:tcPr>
            <w:tcW w:type="dxa" w:w="3744"/>
          </w:tcPr>
          <w:p>
            <w:pPr>
              <w:spacing w:after="0"/>
            </w:pPr>
            <w:r>
              <w:rPr>
                <w:sz w:val="18"/>
              </w:rPr>
              <w:t>Hair loss literacy</w:t>
            </w:r>
          </w:p>
        </w:tc>
        <w:tc>
          <w:tcPr>
            <w:tcW w:type="dxa" w:w="4752"/>
          </w:tcPr>
          <w:p>
            <w:pPr>
              <w:spacing w:after="0"/>
            </w:pPr>
            <w:r>
              <w:rPr>
                <w:sz w:val="18"/>
              </w:rPr>
              <w:t>Weekly quizzes + theory exam</w:t>
            </w:r>
          </w:p>
        </w:tc>
        <w:tc>
          <w:tcPr>
            <w:tcW w:type="dxa" w:w="3168"/>
          </w:tcPr>
          <w:p>
            <w:pPr>
              <w:spacing w:after="0"/>
            </w:pPr>
            <w:r>
              <w:rPr>
                <w:sz w:val="18"/>
              </w:rPr>
              <w:t>Pass</w:t>
            </w:r>
          </w:p>
        </w:tc>
      </w:tr>
      <w:tr>
        <w:tc>
          <w:tcPr>
            <w:tcW w:type="dxa" w:w="3744"/>
          </w:tcPr>
          <w:p>
            <w:pPr>
              <w:spacing w:after="0"/>
            </w:pPr>
            <w:r>
              <w:rPr>
                <w:sz w:val="18"/>
              </w:rPr>
              <w:t>Scope and ethics</w:t>
            </w:r>
          </w:p>
        </w:tc>
        <w:tc>
          <w:tcPr>
            <w:tcW w:type="dxa" w:w="4752"/>
          </w:tcPr>
          <w:p>
            <w:pPr>
              <w:spacing w:after="0"/>
            </w:pPr>
            <w:r>
              <w:rPr>
                <w:sz w:val="18"/>
              </w:rPr>
              <w:t>Week 2 + final ethics test</w:t>
            </w:r>
          </w:p>
        </w:tc>
        <w:tc>
          <w:tcPr>
            <w:tcW w:type="dxa" w:w="3168"/>
          </w:tcPr>
          <w:p>
            <w:pPr>
              <w:spacing w:after="0"/>
            </w:pPr>
            <w:r>
              <w:rPr>
                <w:sz w:val="18"/>
              </w:rPr>
              <w:t>Mandatory pass</w:t>
            </w:r>
          </w:p>
        </w:tc>
      </w:tr>
      <w:tr>
        <w:tc>
          <w:tcPr>
            <w:tcW w:type="dxa" w:w="3744"/>
          </w:tcPr>
          <w:p>
            <w:pPr>
              <w:spacing w:after="0"/>
            </w:pPr>
            <w:r>
              <w:rPr>
                <w:sz w:val="18"/>
              </w:rPr>
              <w:t>Screening support</w:t>
            </w:r>
          </w:p>
        </w:tc>
        <w:tc>
          <w:tcPr>
            <w:tcW w:type="dxa" w:w="4752"/>
          </w:tcPr>
          <w:p>
            <w:pPr>
              <w:spacing w:after="0"/>
            </w:pPr>
            <w:r>
              <w:rPr>
                <w:sz w:val="18"/>
              </w:rPr>
              <w:t>Case-based assessments</w:t>
            </w:r>
          </w:p>
        </w:tc>
        <w:tc>
          <w:tcPr>
            <w:tcW w:type="dxa" w:w="3168"/>
          </w:tcPr>
          <w:p>
            <w:pPr>
              <w:spacing w:after="0"/>
            </w:pPr>
            <w:r>
              <w:rPr>
                <w:sz w:val="18"/>
              </w:rPr>
              <w:t>Pass</w:t>
            </w:r>
          </w:p>
        </w:tc>
      </w:tr>
      <w:tr>
        <w:tc>
          <w:tcPr>
            <w:tcW w:type="dxa" w:w="3744"/>
          </w:tcPr>
          <w:p>
            <w:pPr>
              <w:spacing w:after="0"/>
            </w:pPr>
            <w:r>
              <w:rPr>
                <w:sz w:val="18"/>
              </w:rPr>
              <w:t>Documentation and photography</w:t>
            </w:r>
          </w:p>
        </w:tc>
        <w:tc>
          <w:tcPr>
            <w:tcW w:type="dxa" w:w="4752"/>
          </w:tcPr>
          <w:p>
            <w:pPr>
              <w:spacing w:after="0"/>
            </w:pPr>
            <w:r>
              <w:rPr>
                <w:sz w:val="18"/>
              </w:rPr>
              <w:t>Week 9 handover pack</w:t>
            </w:r>
          </w:p>
        </w:tc>
        <w:tc>
          <w:tcPr>
            <w:tcW w:type="dxa" w:w="3168"/>
          </w:tcPr>
          <w:p>
            <w:pPr>
              <w:spacing w:after="0"/>
            </w:pPr>
            <w:r>
              <w:rPr>
                <w:sz w:val="18"/>
              </w:rPr>
              <w:t>Mandatory pass</w:t>
            </w:r>
          </w:p>
        </w:tc>
      </w:tr>
      <w:tr>
        <w:tc>
          <w:tcPr>
            <w:tcW w:type="dxa" w:w="3744"/>
          </w:tcPr>
          <w:p>
            <w:pPr>
              <w:spacing w:after="0"/>
            </w:pPr>
            <w:r>
              <w:rPr>
                <w:sz w:val="18"/>
              </w:rPr>
              <w:t>Pre-op coordination</w:t>
            </w:r>
          </w:p>
        </w:tc>
        <w:tc>
          <w:tcPr>
            <w:tcW w:type="dxa" w:w="4752"/>
          </w:tcPr>
          <w:p>
            <w:pPr>
              <w:spacing w:after="0"/>
            </w:pPr>
            <w:r>
              <w:rPr>
                <w:sz w:val="18"/>
              </w:rPr>
              <w:t>Week 10 practical</w:t>
            </w:r>
          </w:p>
        </w:tc>
        <w:tc>
          <w:tcPr>
            <w:tcW w:type="dxa" w:w="3168"/>
          </w:tcPr>
          <w:p>
            <w:pPr>
              <w:spacing w:after="0"/>
            </w:pPr>
            <w:r>
              <w:rPr>
                <w:sz w:val="18"/>
              </w:rPr>
              <w:t>Pass</w:t>
            </w:r>
          </w:p>
        </w:tc>
      </w:tr>
      <w:tr>
        <w:tc>
          <w:tcPr>
            <w:tcW w:type="dxa" w:w="3744"/>
          </w:tcPr>
          <w:p>
            <w:pPr>
              <w:spacing w:after="0"/>
            </w:pPr>
            <w:r>
              <w:rPr>
                <w:sz w:val="18"/>
              </w:rPr>
              <w:t>Post-op escalation awareness</w:t>
            </w:r>
          </w:p>
        </w:tc>
        <w:tc>
          <w:tcPr>
            <w:tcW w:type="dxa" w:w="4752"/>
          </w:tcPr>
          <w:p>
            <w:pPr>
              <w:spacing w:after="0"/>
            </w:pPr>
            <w:r>
              <w:rPr>
                <w:sz w:val="18"/>
              </w:rPr>
              <w:t>Week 11 exercise + final scenario</w:t>
            </w:r>
          </w:p>
        </w:tc>
        <w:tc>
          <w:tcPr>
            <w:tcW w:type="dxa" w:w="3168"/>
          </w:tcPr>
          <w:p>
            <w:pPr>
              <w:spacing w:after="0"/>
            </w:pPr>
            <w:r>
              <w:rPr>
                <w:sz w:val="18"/>
              </w:rPr>
              <w:t>Mandatory pass</w:t>
            </w:r>
          </w:p>
        </w:tc>
      </w:tr>
      <w:tr>
        <w:tc>
          <w:tcPr>
            <w:tcW w:type="dxa" w:w="3744"/>
          </w:tcPr>
          <w:p>
            <w:pPr>
              <w:spacing w:after="0"/>
            </w:pPr>
            <w:r>
              <w:rPr>
                <w:sz w:val="18"/>
              </w:rPr>
              <w:t>Professional communication</w:t>
            </w:r>
          </w:p>
        </w:tc>
        <w:tc>
          <w:tcPr>
            <w:tcW w:type="dxa" w:w="4752"/>
          </w:tcPr>
          <w:p>
            <w:pPr>
              <w:spacing w:after="0"/>
            </w:pPr>
            <w:r>
              <w:rPr>
                <w:sz w:val="18"/>
              </w:rPr>
              <w:t>Week 7 practical + final exercise</w:t>
            </w:r>
          </w:p>
        </w:tc>
        <w:tc>
          <w:tcPr>
            <w:tcW w:type="dxa" w:w="3168"/>
          </w:tcPr>
          <w:p>
            <w:pPr>
              <w:spacing w:after="0"/>
            </w:pPr>
            <w:r>
              <w:rPr>
                <w:sz w:val="18"/>
              </w:rPr>
              <w:t>Pass</w:t>
            </w:r>
          </w:p>
        </w:tc>
      </w:tr>
    </w:tbl>
    <w:p/>
    <w:p>
      <w:pPr>
        <w:pStyle w:val="Heading1"/>
      </w:pPr>
      <w:r>
        <w:t>Certification Package</w:t>
      </w:r>
    </w:p>
    <w:p>
      <w:pPr>
        <w:spacing w:after="40"/>
        <w:ind w:left="0"/>
      </w:pPr>
      <w:r>
        <w:t>• Certificate of Completion / Professional Certificate bearing the IIOHR Academy branding.</w:t>
      </w:r>
    </w:p>
    <w:p>
      <w:pPr>
        <w:spacing w:after="40"/>
        <w:ind w:left="0"/>
      </w:pPr>
      <w:r>
        <w:t>• Competency Statement listing the domains successfully completed.</w:t>
      </w:r>
    </w:p>
    <w:p>
      <w:pPr>
        <w:spacing w:after="40"/>
        <w:ind w:left="0"/>
      </w:pPr>
      <w:r>
        <w:t>• Digital badge suitable for LinkedIn, email signatures, and clinic profile pages.</w:t>
      </w:r>
    </w:p>
    <w:p>
      <w:pPr>
        <w:spacing w:after="40"/>
        <w:ind w:left="0"/>
      </w:pPr>
      <w:r>
        <w:t>• Optional clinic dashboard recognition for employers purchasing team licences.</w:t>
      </w:r>
    </w:p>
    <w:p>
      <w:pPr>
        <w:pStyle w:val="Heading2"/>
      </w:pPr>
      <w:r>
        <w:t>Recommended certificate wording</w:t>
      </w:r>
    </w:p>
    <w:p>
      <w:r>
        <w:t>This certifies that [Name] has successfully completed the IIOHR Certificate in Hair Loss Consultation &amp; Clinical Patient Coordination and has demonstrated competency in structured consultation support, ethical patient communication, screening support, documentation, photography standards, pre-operative and post-operative coordination, and escalation awareness within appropriate scope of practice in hair restoration settings.</w:t>
      </w:r>
    </w:p>
    <w:p>
      <w:pPr>
        <w:pStyle w:val="Heading1"/>
      </w:pPr>
      <w:r>
        <w:t>Clinic Licensing and Team Certification Model</w:t>
      </w:r>
    </w:p>
    <w:p>
      <w:pPr>
        <w:spacing w:after="40"/>
        <w:ind w:left="0"/>
      </w:pPr>
      <w:r>
        <w:t>• Individual enrolment for standalone learners.</w:t>
      </w:r>
    </w:p>
    <w:p>
      <w:pPr>
        <w:spacing w:after="40"/>
        <w:ind w:left="0"/>
      </w:pPr>
      <w:r>
        <w:t>• Clinic team licence with multi-seat access and progress tracking.</w:t>
      </w:r>
    </w:p>
    <w:p>
      <w:pPr>
        <w:spacing w:after="40"/>
        <w:ind w:left="0"/>
      </w:pPr>
      <w:r>
        <w:t>• Clinic recognition tiers based on percentage of patient-facing staff certified.</w:t>
      </w:r>
    </w:p>
    <w:p>
      <w:pPr>
        <w:spacing w:after="40"/>
        <w:ind w:left="0"/>
      </w:pPr>
      <w:r>
        <w:t>• Suggested tiers: Bronze 25%, Silver 50%, Gold 75%, Platinum 90%+.</w:t>
      </w:r>
    </w:p>
    <w:p>
      <w:pPr>
        <w:spacing w:after="40"/>
        <w:ind w:left="0"/>
      </w:pPr>
      <w:r>
        <w:t>• Optional requirement for refresher training every 12–24 months to maintain recognition.</w:t>
      </w:r>
    </w:p>
    <w:p>
      <w:pPr>
        <w:pStyle w:val="Heading1"/>
      </w:pPr>
      <w:r>
        <w:t>Academic and Compliance Positioning</w:t>
      </w:r>
    </w:p>
    <w:p>
      <w:r>
        <w:t>This program should be positioned as a professional certificate designed to build competency in consultation support, hair loss literacy, patient education, screening structure, documentation, and care coordination within appropriate scope of practice. It should not be described as a substitute for medical licensure, independent diagnostic authority, or surgical credentialing.</w:t>
      </w:r>
    </w:p>
    <w:sectPr w:rsidR="00FC693F" w:rsidRPr="0006063C" w:rsidSect="00034616">
      <w:headerReference w:type="default" r:id="rId9"/>
      <w:footerReference w:type="default" r:id="rId10"/>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B7E"/>
        <w:sz w:val="18"/>
      </w:rPr>
      <w:t xml:space="preserve">IIOHR Academy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A6B7E"/>
        <w:sz w:val="18"/>
      </w:rPr>
      <w:t>Assessment &amp; Certification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ptos" w:hAnsi="Aptos"/>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Aptos" w:hAnsi="Aptos"/>
      <w:b/>
      <w:bCs/>
      <w:color w:val="355E8D"/>
      <w:sz w:val="25"/>
      <w:szCs w:val="26"/>
    </w:rPr>
  </w:style>
  <w:style w:type="paragraph" w:styleId="Heading3">
    <w:name w:val="heading 3"/>
    <w:basedOn w:val="Normal"/>
    <w:next w:val="Normal"/>
    <w:link w:val="Heading3Char"/>
    <w:uiPriority w:val="9"/>
    <w:unhideWhenUsed/>
    <w:qFormat/>
    <w:rsid w:val="00FC693F"/>
    <w:pPr>
      <w:keepNext/>
      <w:keepLines/>
      <w:spacing w:before="160" w:after="20"/>
      <w:outlineLvl w:val="2"/>
    </w:pPr>
    <w:rPr>
      <w:rFonts w:asciiTheme="majorHAnsi" w:eastAsiaTheme="majorEastAsia" w:hAnsiTheme="majorHAnsi" w:cstheme="majorBidi" w:ascii="Aptos" w:hAnsi="Aptos"/>
      <w:b/>
      <w:bCs/>
      <w:color w:val="355E8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1F3A5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b w:val="0"/>
      <w:i/>
      <w:iCs/>
      <w:color w:val="5A6B7E"/>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