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Pr>
        <w:pStyle w:val="Title"/>
        <w:jc w:val="center"/>
      </w:pPr>
      <w:r>
        <w:t>IIOHR Certificate in Hair Loss Consultation</w:t>
        <w:br/>
        <w:t>&amp; Clinical Patient Coordination</w:t>
      </w:r>
    </w:p>
    <w:p>
      <w:pPr>
        <w:pStyle w:val="Subtitle"/>
        <w:jc w:val="center"/>
      </w:pPr>
      <w:r>
        <w:t>12-Week Detailed Curriculum</w:t>
      </w:r>
    </w:p>
    <w:p>
      <w:pPr>
        <w:jc w:val="center"/>
      </w:pPr>
      <w:r>
        <w:rPr>
          <w:sz w:val="22"/>
        </w:rPr>
        <w:t>International Institute of Integrated Hair Restoration</w:t>
      </w:r>
    </w:p>
    <w:p>
      <w:pPr>
        <w:jc w:val="center"/>
      </w:pPr>
      <w:r>
        <w:rPr>
          <w:sz w:val="21"/>
        </w:rPr>
        <w:t>Professional education pathway for consultants, nurses, coordinators, and patient-facing clinic staff</w:t>
      </w:r>
    </w:p>
    <w:p/>
    <w:tbl>
      <w:tblPr>
        <w:tblW w:type="auto" w:w="0"/>
        <w:jc w:val="center"/>
        <w:tblLayout w:type="fixed"/>
        <w:tblLook w:firstColumn="1" w:firstRow="1" w:lastColumn="0" w:lastRow="0" w:noHBand="0" w:noVBand="1" w:val="04A0"/>
      </w:tblPr>
      <w:tblGrid>
        <w:gridCol w:w="4896"/>
        <w:gridCol w:w="4896"/>
      </w:tblGrid>
      <w:tr>
        <w:tc>
          <w:tcPr>
            <w:tcW w:type="dxa" w:w="2592"/>
            <w:vAlign w:val="center"/>
            <w:shd w:fill="EAF1F8"/>
          </w:tcPr>
          <w:p>
            <w:pPr>
              <w:spacing w:after="0" w:before="0"/>
            </w:pPr>
            <w:r>
              <w:rPr>
                <w:b/>
                <w:color w:val="1F3A5F"/>
                <w:sz w:val="21"/>
              </w:rPr>
              <w:t>Document type</w:t>
            </w:r>
          </w:p>
        </w:tc>
        <w:tc>
          <w:tcPr>
            <w:tcW w:type="dxa" w:w="6624"/>
            <w:vAlign w:val="center"/>
          </w:tcPr>
          <w:p>
            <w:pPr>
              <w:spacing w:after="0" w:before="0"/>
            </w:pPr>
            <w:r>
              <w:rPr>
                <w:sz w:val="21"/>
              </w:rPr>
              <w:t>Program blueprint / curriculum package</w:t>
            </w:r>
          </w:p>
        </w:tc>
      </w:tr>
      <w:tr>
        <w:tc>
          <w:tcPr>
            <w:tcW w:type="dxa" w:w="2592"/>
            <w:vAlign w:val="center"/>
            <w:shd w:fill="EAF1F8"/>
          </w:tcPr>
          <w:p>
            <w:pPr>
              <w:spacing w:after="0" w:before="0"/>
            </w:pPr>
            <w:r>
              <w:rPr>
                <w:b/>
                <w:color w:val="1F3A5F"/>
                <w:sz w:val="21"/>
              </w:rPr>
              <w:t>Prepared for</w:t>
            </w:r>
          </w:p>
        </w:tc>
        <w:tc>
          <w:tcPr>
            <w:tcW w:type="dxa" w:w="6624"/>
            <w:vAlign w:val="center"/>
          </w:tcPr>
          <w:p>
            <w:pPr>
              <w:spacing w:after="0" w:before="0"/>
            </w:pPr>
            <w:r>
              <w:rPr>
                <w:sz w:val="21"/>
              </w:rPr>
              <w:t>IIOHR Academy development</w:t>
            </w:r>
          </w:p>
        </w:tc>
      </w:tr>
    </w:tbl>
    <w:p>
      <w:r>
        <w:br w:type="page"/>
      </w:r>
    </w:p>
    <w:p>
      <w:pPr>
        <w:pStyle w:val="Heading1"/>
      </w:pPr>
      <w:r>
        <w:t>Program Overview</w:t>
      </w:r>
    </w:p>
    <w:tbl>
      <w:tblPr>
        <w:tblW w:type="auto" w:w="0"/>
        <w:jc w:val="center"/>
        <w:tblLook w:firstColumn="1" w:firstRow="1" w:lastColumn="0" w:lastRow="0" w:noHBand="0" w:noVBand="1" w:val="04A0"/>
      </w:tblPr>
      <w:tblGrid>
        <w:gridCol w:w="9792"/>
      </w:tblGrid>
      <w:tr>
        <w:tc>
          <w:tcPr>
            <w:tcW w:type="dxa" w:w="9792"/>
            <w:shd w:fill="F4F7FA"/>
          </w:tcPr>
          <w:p>
            <w:pPr>
              <w:spacing w:after="60"/>
            </w:pPr>
            <w:r>
              <w:rPr>
                <w:b/>
                <w:color w:val="1F3A5F"/>
                <w:sz w:val="21"/>
              </w:rPr>
              <w:t>Program purpose</w:t>
              <w:br/>
            </w:r>
            <w:r>
              <w:rPr>
                <w:sz w:val="20"/>
              </w:rPr>
              <w:t>To professionalise the front line of hair restoration by equipping consultants, nurses, and patient coordinators with stronger clinical literacy, ethical consultation skills, structured screening support, documentation standards, and care coordination capability within scope of practice.</w:t>
            </w:r>
          </w:p>
        </w:tc>
      </w:tr>
    </w:tbl>
    <w:p/>
    <w:p>
      <w:pPr>
        <w:pStyle w:val="Heading2"/>
      </w:pPr>
      <w:r>
        <w:t>Delivery model</w:t>
      </w:r>
    </w:p>
    <w:p>
      <w:pPr>
        <w:spacing w:after="40"/>
        <w:ind w:left="0"/>
      </w:pPr>
      <w:r>
        <w:t>• 12-week online certificate</w:t>
      </w:r>
    </w:p>
    <w:p>
      <w:pPr>
        <w:spacing w:after="40"/>
        <w:ind w:left="0"/>
      </w:pPr>
      <w:r>
        <w:t>• Recorded lectures and guided reading</w:t>
      </w:r>
    </w:p>
    <w:p>
      <w:pPr>
        <w:spacing w:after="40"/>
        <w:ind w:left="0"/>
      </w:pPr>
      <w:r>
        <w:t>• Case-based activities and practical submissions</w:t>
      </w:r>
    </w:p>
    <w:p>
      <w:pPr>
        <w:spacing w:after="40"/>
        <w:ind w:left="0"/>
      </w:pPr>
      <w:r>
        <w:t>• Weekly quizzes and staged assessment</w:t>
      </w:r>
    </w:p>
    <w:p>
      <w:pPr>
        <w:spacing w:after="40"/>
        <w:ind w:left="0"/>
      </w:pPr>
      <w:r>
        <w:t>• Final competency-based evaluation</w:t>
      </w:r>
    </w:p>
    <w:p>
      <w:pPr>
        <w:pStyle w:val="Heading2"/>
      </w:pPr>
      <w:r>
        <w:t>Program-level learning outcomes</w:t>
      </w:r>
    </w:p>
    <w:p>
      <w:pPr>
        <w:spacing w:after="40"/>
        <w:ind w:left="0"/>
      </w:pPr>
      <w:r>
        <w:t>• Explain key principles of hair and scalp biology in patient-friendly language.</w:t>
      </w:r>
    </w:p>
    <w:p>
      <w:pPr>
        <w:spacing w:after="40"/>
        <w:ind w:left="0"/>
      </w:pPr>
      <w:r>
        <w:t>• Recognise common hair loss presentations and identify red flags requiring escalation.</w:t>
      </w:r>
    </w:p>
    <w:p>
      <w:pPr>
        <w:spacing w:after="40"/>
        <w:ind w:left="0"/>
      </w:pPr>
      <w:r>
        <w:t>• Conduct a structured consultation within scope of practice.</w:t>
      </w:r>
    </w:p>
    <w:p>
      <w:pPr>
        <w:spacing w:after="40"/>
        <w:ind w:left="0"/>
      </w:pPr>
      <w:r>
        <w:t>• Gather relevant patient history accurately and professionally.</w:t>
      </w:r>
    </w:p>
    <w:p>
      <w:pPr>
        <w:spacing w:after="40"/>
        <w:ind w:left="0"/>
      </w:pPr>
      <w:r>
        <w:t>• Support candidate screening without overstepping into diagnosis.</w:t>
      </w:r>
    </w:p>
    <w:p>
      <w:pPr>
        <w:spacing w:after="40"/>
        <w:ind w:left="0"/>
      </w:pPr>
      <w:r>
        <w:t>• Explain surgical and non-surgical pathways responsibly.</w:t>
      </w:r>
    </w:p>
    <w:p>
      <w:pPr>
        <w:spacing w:after="40"/>
        <w:ind w:left="0"/>
      </w:pPr>
      <w:r>
        <w:t>• Document and photograph cases to a professional standard.</w:t>
      </w:r>
    </w:p>
    <w:p>
      <w:pPr>
        <w:spacing w:after="40"/>
        <w:ind w:left="0"/>
      </w:pPr>
      <w:r>
        <w:t>• Prepare clear handovers for doctor review.</w:t>
      </w:r>
    </w:p>
    <w:p>
      <w:pPr>
        <w:spacing w:after="40"/>
        <w:ind w:left="0"/>
      </w:pPr>
      <w:r>
        <w:t>• Support pre-operative and post-operative patient coordination.</w:t>
      </w:r>
    </w:p>
    <w:p>
      <w:pPr>
        <w:spacing w:after="40"/>
        <w:ind w:left="0"/>
      </w:pPr>
      <w:r>
        <w:t>• Communicate ethically, accurately, and with appropriate boundaries.</w:t>
      </w:r>
    </w:p>
    <w:p>
      <w:pPr>
        <w:pStyle w:val="Heading1"/>
      </w:pPr>
      <w:r>
        <w:t>Week 1 — The Modern Hair Restoration Clinic and the Role of the Consultant or Nurse</w:t>
      </w:r>
    </w:p>
    <w:p>
      <w:r>
        <w:rPr>
          <w:b/>
        </w:rPr>
        <w:t xml:space="preserve">Weekly theme: </w:t>
      </w:r>
      <w:r>
        <w:t>Understanding the clinical ecosystem, role boundaries, and why the pre-doctor consultation stage matters.</w:t>
      </w:r>
    </w:p>
    <w:p>
      <w:pPr>
        <w:pStyle w:val="Heading2"/>
      </w:pPr>
      <w:r>
        <w:t>Core lecture topics</w:t>
      </w:r>
    </w:p>
    <w:p>
      <w:pPr>
        <w:spacing w:after="40"/>
        <w:ind w:left="0"/>
      </w:pPr>
      <w:r>
        <w:t>• Introduction to the hair restoration industry</w:t>
      </w:r>
    </w:p>
    <w:p>
      <w:pPr>
        <w:spacing w:after="40"/>
        <w:ind w:left="0"/>
      </w:pPr>
      <w:r>
        <w:t>• The hair restoration team: roles, responsibilities, and boundaries</w:t>
      </w:r>
    </w:p>
    <w:p>
      <w:pPr>
        <w:spacing w:after="40"/>
        <w:ind w:left="0"/>
      </w:pPr>
      <w:r>
        <w:t>• The patient journey from first contact to long-term follow-up</w:t>
      </w:r>
    </w:p>
    <w:p>
      <w:pPr>
        <w:spacing w:after="40"/>
        <w:ind w:left="0"/>
      </w:pPr>
      <w:r>
        <w:t>• Why consultation quality matters</w:t>
      </w:r>
    </w:p>
    <w:p>
      <w:pPr>
        <w:pStyle w:val="Heading2"/>
      </w:pPr>
      <w:r>
        <w:t>Learning objectives</w:t>
      </w:r>
    </w:p>
    <w:p>
      <w:pPr>
        <w:spacing w:after="40"/>
        <w:ind w:left="0"/>
      </w:pPr>
      <w:r>
        <w:t>• Describe the main roles in a hair clinic.</w:t>
      </w:r>
    </w:p>
    <w:p>
      <w:pPr>
        <w:spacing w:after="40"/>
        <w:ind w:left="0"/>
      </w:pPr>
      <w:r>
        <w:t>• Explain the patient journey from enquiry to follow-up.</w:t>
      </w:r>
    </w:p>
    <w:p>
      <w:pPr>
        <w:spacing w:after="40"/>
        <w:ind w:left="0"/>
      </w:pPr>
      <w:r>
        <w:t>• Understand the purpose of the consultant/nurse role.</w:t>
      </w:r>
    </w:p>
    <w:p>
      <w:pPr>
        <w:spacing w:after="40"/>
        <w:ind w:left="0"/>
      </w:pPr>
      <w:r>
        <w:t>• Identify why poor consultations create risk.</w:t>
      </w:r>
    </w:p>
    <w:p>
      <w:pPr>
        <w:pStyle w:val="Heading2"/>
      </w:pPr>
      <w:r>
        <w:t>Practical activity</w:t>
      </w:r>
    </w:p>
    <w:p>
      <w:r>
        <w:t>Map a typical patient journey and identify three points where communication failures could create downstream problems.</w:t>
      </w:r>
    </w:p>
    <w:p>
      <w:pPr>
        <w:pStyle w:val="Heading2"/>
      </w:pPr>
      <w:r>
        <w:t>Quiz focus</w:t>
      </w:r>
    </w:p>
    <w:p>
      <w:pPr>
        <w:spacing w:after="40"/>
        <w:ind w:left="0"/>
      </w:pPr>
      <w:r>
        <w:t>• Role identification</w:t>
      </w:r>
    </w:p>
    <w:p>
      <w:pPr>
        <w:spacing w:after="40"/>
        <w:ind w:left="0"/>
      </w:pPr>
      <w:r>
        <w:t>• Patient journey stages</w:t>
      </w:r>
    </w:p>
    <w:p>
      <w:pPr>
        <w:spacing w:after="40"/>
        <w:ind w:left="0"/>
      </w:pPr>
      <w:r>
        <w:t>• Clinic ecosystem terminology</w:t>
      </w:r>
    </w:p>
    <w:p>
      <w:pPr>
        <w:pStyle w:val="Heading1"/>
      </w:pPr>
      <w:r>
        <w:t>Week 2 — Scope of Practice, Ethics, and Professional Responsibility</w:t>
      </w:r>
    </w:p>
    <w:p>
      <w:r>
        <w:rPr>
          <w:b/>
        </w:rPr>
        <w:t xml:space="preserve">Weekly theme: </w:t>
      </w:r>
      <w:r>
        <w:t>Knowing what can be said, what should not be said, and how to work safely and ethically.</w:t>
      </w:r>
    </w:p>
    <w:p>
      <w:pPr>
        <w:pStyle w:val="Heading2"/>
      </w:pPr>
      <w:r>
        <w:t>Core lecture topics</w:t>
      </w:r>
    </w:p>
    <w:p>
      <w:pPr>
        <w:spacing w:after="40"/>
        <w:ind w:left="0"/>
      </w:pPr>
      <w:r>
        <w:t>• Scope of practice in hair restoration</w:t>
      </w:r>
    </w:p>
    <w:p>
      <w:pPr>
        <w:spacing w:after="40"/>
        <w:ind w:left="0"/>
      </w:pPr>
      <w:r>
        <w:t>• Ethics in hair consultation</w:t>
      </w:r>
    </w:p>
    <w:p>
      <w:pPr>
        <w:spacing w:after="40"/>
        <w:ind w:left="0"/>
      </w:pPr>
      <w:r>
        <w:t>• Consent support and limits of non-doctor communication</w:t>
      </w:r>
    </w:p>
    <w:p>
      <w:pPr>
        <w:spacing w:after="40"/>
        <w:ind w:left="0"/>
      </w:pPr>
      <w:r>
        <w:t>• Medico-legal and reputational risk</w:t>
      </w:r>
    </w:p>
    <w:p>
      <w:pPr>
        <w:pStyle w:val="Heading2"/>
      </w:pPr>
      <w:r>
        <w:t>Learning objectives</w:t>
      </w:r>
    </w:p>
    <w:p>
      <w:pPr>
        <w:spacing w:after="40"/>
        <w:ind w:left="0"/>
      </w:pPr>
      <w:r>
        <w:t>• Define scope of practice in the consultation role.</w:t>
      </w:r>
    </w:p>
    <w:p>
      <w:pPr>
        <w:spacing w:after="40"/>
        <w:ind w:left="0"/>
      </w:pPr>
      <w:r>
        <w:t>• Identify ethically inappropriate consultation behaviour.</w:t>
      </w:r>
    </w:p>
    <w:p>
      <w:pPr>
        <w:spacing w:after="40"/>
        <w:ind w:left="0"/>
      </w:pPr>
      <w:r>
        <w:t>• Explain why doctor consultation remains essential.</w:t>
      </w:r>
    </w:p>
    <w:p>
      <w:pPr>
        <w:spacing w:after="40"/>
        <w:ind w:left="0"/>
      </w:pPr>
      <w:r>
        <w:t>• Recognise legal and reputational risk from overstepping.</w:t>
      </w:r>
    </w:p>
    <w:p>
      <w:pPr>
        <w:pStyle w:val="Heading2"/>
      </w:pPr>
      <w:r>
        <w:t>Practical activity</w:t>
      </w:r>
    </w:p>
    <w:p>
      <w:r>
        <w:t>Review sample consultation statements and classify them as safe, borderline, or inappropriate without doctor input.</w:t>
      </w:r>
    </w:p>
    <w:p>
      <w:pPr>
        <w:pStyle w:val="Heading2"/>
      </w:pPr>
      <w:r>
        <w:t>Quiz focus</w:t>
      </w:r>
    </w:p>
    <w:p>
      <w:pPr>
        <w:spacing w:after="40"/>
        <w:ind w:left="0"/>
      </w:pPr>
      <w:r>
        <w:t>• Scope terminology</w:t>
      </w:r>
    </w:p>
    <w:p>
      <w:pPr>
        <w:spacing w:after="40"/>
        <w:ind w:left="0"/>
      </w:pPr>
      <w:r>
        <w:t>• Ethics scenarios</w:t>
      </w:r>
    </w:p>
    <w:p>
      <w:pPr>
        <w:spacing w:after="40"/>
        <w:ind w:left="0"/>
      </w:pPr>
      <w:r>
        <w:t>• Safe vs unsafe language</w:t>
      </w:r>
    </w:p>
    <w:p>
      <w:pPr>
        <w:pStyle w:val="Heading1"/>
      </w:pPr>
      <w:r>
        <w:t>Week 3 — Hair and Scalp Science Foundations</w:t>
      </w:r>
    </w:p>
    <w:p>
      <w:r>
        <w:rPr>
          <w:b/>
        </w:rPr>
        <w:t xml:space="preserve">Weekly theme: </w:t>
      </w:r>
      <w:r>
        <w:t>Building core scientific literacy for accurate patient education.</w:t>
      </w:r>
    </w:p>
    <w:p>
      <w:pPr>
        <w:pStyle w:val="Heading2"/>
      </w:pPr>
      <w:r>
        <w:t>Core lecture topics</w:t>
      </w:r>
    </w:p>
    <w:p>
      <w:pPr>
        <w:spacing w:after="40"/>
        <w:ind w:left="0"/>
      </w:pPr>
      <w:r>
        <w:t>• Scalp anatomy and the hair follicle</w:t>
      </w:r>
    </w:p>
    <w:p>
      <w:pPr>
        <w:spacing w:after="40"/>
        <w:ind w:left="0"/>
      </w:pPr>
      <w:r>
        <w:t>• Hair shaft structure and visible hair quality</w:t>
      </w:r>
    </w:p>
    <w:p>
      <w:pPr>
        <w:spacing w:after="40"/>
        <w:ind w:left="0"/>
      </w:pPr>
      <w:r>
        <w:t>• The hair growth cycle</w:t>
      </w:r>
    </w:p>
    <w:p>
      <w:pPr>
        <w:spacing w:after="40"/>
        <w:ind w:left="0"/>
      </w:pPr>
      <w:r>
        <w:t>• Donor, recipient, density, and miniaturisation</w:t>
      </w:r>
    </w:p>
    <w:p>
      <w:pPr>
        <w:pStyle w:val="Heading2"/>
      </w:pPr>
      <w:r>
        <w:t>Learning objectives</w:t>
      </w:r>
    </w:p>
    <w:p>
      <w:pPr>
        <w:spacing w:after="40"/>
        <w:ind w:left="0"/>
      </w:pPr>
      <w:r>
        <w:t>• Explain basic hair follicle anatomy.</w:t>
      </w:r>
    </w:p>
    <w:p>
      <w:pPr>
        <w:spacing w:after="40"/>
        <w:ind w:left="0"/>
      </w:pPr>
      <w:r>
        <w:t>• Describe the hair cycle clearly.</w:t>
      </w:r>
    </w:p>
    <w:p>
      <w:pPr>
        <w:spacing w:after="40"/>
        <w:ind w:left="0"/>
      </w:pPr>
      <w:r>
        <w:t>• Explain miniaturisation and density in simple terms.</w:t>
      </w:r>
    </w:p>
    <w:p>
      <w:pPr>
        <w:spacing w:after="40"/>
        <w:ind w:left="0"/>
      </w:pPr>
      <w:r>
        <w:t>• Translate scientific concepts into patient-friendly consultation language.</w:t>
      </w:r>
    </w:p>
    <w:p>
      <w:pPr>
        <w:pStyle w:val="Heading2"/>
      </w:pPr>
      <w:r>
        <w:t>Practical activity</w:t>
      </w:r>
    </w:p>
    <w:p>
      <w:r>
        <w:t>Write a concise patient-friendly explanation of the hair cycle and miniaturisation in under 250 words.</w:t>
      </w:r>
    </w:p>
    <w:p>
      <w:pPr>
        <w:pStyle w:val="Heading2"/>
      </w:pPr>
      <w:r>
        <w:t>Quiz focus</w:t>
      </w:r>
    </w:p>
    <w:p>
      <w:pPr>
        <w:spacing w:after="40"/>
        <w:ind w:left="0"/>
      </w:pPr>
      <w:r>
        <w:t>• Anatomy identification</w:t>
      </w:r>
    </w:p>
    <w:p>
      <w:pPr>
        <w:spacing w:after="40"/>
        <w:ind w:left="0"/>
      </w:pPr>
      <w:r>
        <w:t>• Cycle stages</w:t>
      </w:r>
    </w:p>
    <w:p>
      <w:pPr>
        <w:spacing w:after="40"/>
        <w:ind w:left="0"/>
      </w:pPr>
      <w:r>
        <w:t>• Donor and recipient concepts</w:t>
      </w:r>
    </w:p>
    <w:p>
      <w:pPr>
        <w:pStyle w:val="Heading1"/>
      </w:pPr>
      <w:r>
        <w:t>Week 4 — Common Hair Loss Presentations and Red Flags</w:t>
      </w:r>
    </w:p>
    <w:p>
      <w:r>
        <w:rPr>
          <w:b/>
        </w:rPr>
        <w:t xml:space="preserve">Weekly theme: </w:t>
      </w:r>
      <w:r>
        <w:t>Recognising common patterns while understanding where uncertainty begins.</w:t>
      </w:r>
    </w:p>
    <w:p>
      <w:pPr>
        <w:pStyle w:val="Heading2"/>
      </w:pPr>
      <w:r>
        <w:t>Core lecture topics</w:t>
      </w:r>
    </w:p>
    <w:p>
      <w:pPr>
        <w:spacing w:after="40"/>
        <w:ind w:left="0"/>
      </w:pPr>
      <w:r>
        <w:t>• Male pattern hair loss</w:t>
      </w:r>
    </w:p>
    <w:p>
      <w:pPr>
        <w:spacing w:after="40"/>
        <w:ind w:left="0"/>
      </w:pPr>
      <w:r>
        <w:t>• Female pattern hair loss and diffuse thinning</w:t>
      </w:r>
    </w:p>
    <w:p>
      <w:pPr>
        <w:spacing w:after="40"/>
        <w:ind w:left="0"/>
      </w:pPr>
      <w:r>
        <w:t>• Telogen effluvium, postpartum shedding, stress and systemic triggers</w:t>
      </w:r>
    </w:p>
    <w:p>
      <w:pPr>
        <w:spacing w:after="40"/>
        <w:ind w:left="0"/>
      </w:pPr>
      <w:r>
        <w:t>• Red flags requiring medical review</w:t>
      </w:r>
    </w:p>
    <w:p>
      <w:pPr>
        <w:pStyle w:val="Heading2"/>
      </w:pPr>
      <w:r>
        <w:t>Learning objectives</w:t>
      </w:r>
    </w:p>
    <w:p>
      <w:pPr>
        <w:spacing w:after="40"/>
        <w:ind w:left="0"/>
      </w:pPr>
      <w:r>
        <w:t>• Describe common male and female pattern presentations.</w:t>
      </w:r>
    </w:p>
    <w:p>
      <w:pPr>
        <w:spacing w:after="40"/>
        <w:ind w:left="0"/>
      </w:pPr>
      <w:r>
        <w:t>• Identify likely trigger-related shedding scenarios.</w:t>
      </w:r>
    </w:p>
    <w:p>
      <w:pPr>
        <w:spacing w:after="40"/>
        <w:ind w:left="0"/>
      </w:pPr>
      <w:r>
        <w:t>• Recognise red flags requiring escalation.</w:t>
      </w:r>
    </w:p>
    <w:p>
      <w:pPr>
        <w:spacing w:after="40"/>
        <w:ind w:left="0"/>
      </w:pPr>
      <w:r>
        <w:t>• Distinguish straightforward from uncertain presentations.</w:t>
      </w:r>
    </w:p>
    <w:p>
      <w:pPr>
        <w:pStyle w:val="Heading2"/>
      </w:pPr>
      <w:r>
        <w:t>Practical activity</w:t>
      </w:r>
    </w:p>
    <w:p>
      <w:r>
        <w:t>Complete a case-recognition worksheet with six patient scenarios and indicate likely pattern, uncertainty areas, and escalation urgency.</w:t>
      </w:r>
    </w:p>
    <w:p>
      <w:pPr>
        <w:pStyle w:val="Heading2"/>
      </w:pPr>
      <w:r>
        <w:t>Quiz focus</w:t>
      </w:r>
    </w:p>
    <w:p>
      <w:pPr>
        <w:spacing w:after="40"/>
        <w:ind w:left="0"/>
      </w:pPr>
      <w:r>
        <w:t>• Pattern recognition</w:t>
      </w:r>
    </w:p>
    <w:p>
      <w:pPr>
        <w:spacing w:after="40"/>
        <w:ind w:left="0"/>
      </w:pPr>
      <w:r>
        <w:t>• Red flags</w:t>
      </w:r>
    </w:p>
    <w:p>
      <w:pPr>
        <w:spacing w:after="40"/>
        <w:ind w:left="0"/>
      </w:pPr>
      <w:r>
        <w:t>• Safe escalation logic</w:t>
      </w:r>
    </w:p>
    <w:p>
      <w:pPr>
        <w:pStyle w:val="Heading1"/>
      </w:pPr>
      <w:r>
        <w:t>Week 5 — Consultation Structure and History Taking</w:t>
      </w:r>
    </w:p>
    <w:p>
      <w:r>
        <w:rPr>
          <w:b/>
        </w:rPr>
        <w:t xml:space="preserve">Weekly theme: </w:t>
      </w:r>
      <w:r>
        <w:t>Learning how to run a structured and credible consultation.</w:t>
      </w:r>
    </w:p>
    <w:p>
      <w:pPr>
        <w:pStyle w:val="Heading2"/>
      </w:pPr>
      <w:r>
        <w:t>Core lecture topics</w:t>
      </w:r>
    </w:p>
    <w:p>
      <w:pPr>
        <w:spacing w:after="40"/>
        <w:ind w:left="0"/>
      </w:pPr>
      <w:r>
        <w:t>• The anatomy of a high-quality consultation</w:t>
      </w:r>
    </w:p>
    <w:p>
      <w:pPr>
        <w:spacing w:after="40"/>
        <w:ind w:left="0"/>
      </w:pPr>
      <w:r>
        <w:t>• History taking essentials</w:t>
      </w:r>
    </w:p>
    <w:p>
      <w:pPr>
        <w:spacing w:after="40"/>
        <w:ind w:left="0"/>
      </w:pPr>
      <w:r>
        <w:t>• The art of asking better questions</w:t>
      </w:r>
    </w:p>
    <w:p>
      <w:pPr>
        <w:spacing w:after="40"/>
        <w:ind w:left="0"/>
      </w:pPr>
      <w:r>
        <w:t>• Consultation note quality</w:t>
      </w:r>
    </w:p>
    <w:p>
      <w:pPr>
        <w:pStyle w:val="Heading2"/>
      </w:pPr>
      <w:r>
        <w:t>Learning objectives</w:t>
      </w:r>
    </w:p>
    <w:p>
      <w:pPr>
        <w:spacing w:after="40"/>
        <w:ind w:left="0"/>
      </w:pPr>
      <w:r>
        <w:t>• Structure a consultation professionally.</w:t>
      </w:r>
    </w:p>
    <w:p>
      <w:pPr>
        <w:spacing w:after="40"/>
        <w:ind w:left="0"/>
      </w:pPr>
      <w:r>
        <w:t>• Gather relevant history in a logical sequence.</w:t>
      </w:r>
    </w:p>
    <w:p>
      <w:pPr>
        <w:spacing w:after="40"/>
        <w:ind w:left="0"/>
      </w:pPr>
      <w:r>
        <w:t>• Ask clearer and more clinically useful questions.</w:t>
      </w:r>
    </w:p>
    <w:p>
      <w:pPr>
        <w:spacing w:after="40"/>
        <w:ind w:left="0"/>
      </w:pPr>
      <w:r>
        <w:t>• Document a consultation accurately.</w:t>
      </w:r>
    </w:p>
    <w:p>
      <w:pPr>
        <w:pStyle w:val="Heading2"/>
      </w:pPr>
      <w:r>
        <w:t>Practical activity</w:t>
      </w:r>
    </w:p>
    <w:p>
      <w:r>
        <w:t>Conduct or simulate a consultation and submit a structured note using a standard template.</w:t>
      </w:r>
    </w:p>
    <w:p>
      <w:pPr>
        <w:pStyle w:val="Heading2"/>
      </w:pPr>
      <w:r>
        <w:t>Quiz focus</w:t>
      </w:r>
    </w:p>
    <w:p>
      <w:pPr>
        <w:spacing w:after="40"/>
        <w:ind w:left="0"/>
      </w:pPr>
      <w:r>
        <w:t>• Consultation sequencing</w:t>
      </w:r>
    </w:p>
    <w:p>
      <w:pPr>
        <w:spacing w:after="40"/>
        <w:ind w:left="0"/>
      </w:pPr>
      <w:r>
        <w:t>• History-taking priorities</w:t>
      </w:r>
    </w:p>
    <w:p>
      <w:pPr>
        <w:spacing w:after="40"/>
        <w:ind w:left="0"/>
      </w:pPr>
      <w:r>
        <w:t>• Documentation principles</w:t>
      </w:r>
    </w:p>
    <w:p>
      <w:pPr>
        <w:pStyle w:val="Heading1"/>
      </w:pPr>
      <w:r>
        <w:t>Week 6 — Screening, Suitability, and When to Slow Down</w:t>
      </w:r>
    </w:p>
    <w:p>
      <w:r>
        <w:rPr>
          <w:b/>
        </w:rPr>
        <w:t xml:space="preserve">Weekly theme: </w:t>
      </w:r>
      <w:r>
        <w:t>Supporting safe candidate screening without making definitive medical decisions.</w:t>
      </w:r>
    </w:p>
    <w:p>
      <w:pPr>
        <w:pStyle w:val="Heading2"/>
      </w:pPr>
      <w:r>
        <w:t>Core lecture topics</w:t>
      </w:r>
    </w:p>
    <w:p>
      <w:pPr>
        <w:spacing w:after="40"/>
        <w:ind w:left="0"/>
      </w:pPr>
      <w:r>
        <w:t>• Suitability support in hair restoration</w:t>
      </w:r>
    </w:p>
    <w:p>
      <w:pPr>
        <w:spacing w:after="40"/>
        <w:ind w:left="0"/>
      </w:pPr>
      <w:r>
        <w:t>• Common suitability concerns</w:t>
      </w:r>
    </w:p>
    <w:p>
      <w:pPr>
        <w:spacing w:after="40"/>
        <w:ind w:left="0"/>
      </w:pPr>
      <w:r>
        <w:t>• Psychological and emotional factors</w:t>
      </w:r>
    </w:p>
    <w:p>
      <w:pPr>
        <w:spacing w:after="40"/>
        <w:ind w:left="0"/>
      </w:pPr>
      <w:r>
        <w:t>• Escalation and deferral</w:t>
      </w:r>
    </w:p>
    <w:p>
      <w:pPr>
        <w:pStyle w:val="Heading2"/>
      </w:pPr>
      <w:r>
        <w:t>Learning objectives</w:t>
      </w:r>
    </w:p>
    <w:p>
      <w:pPr>
        <w:spacing w:after="40"/>
        <w:ind w:left="0"/>
      </w:pPr>
      <w:r>
        <w:t>• Identify key suitability concerns.</w:t>
      </w:r>
    </w:p>
    <w:p>
      <w:pPr>
        <w:spacing w:after="40"/>
        <w:ind w:left="0"/>
      </w:pPr>
      <w:r>
        <w:t>• Recognise when a patient should not be fast-tracked.</w:t>
      </w:r>
    </w:p>
    <w:p>
      <w:pPr>
        <w:spacing w:after="40"/>
        <w:ind w:left="0"/>
      </w:pPr>
      <w:r>
        <w:t>• Document caution appropriately.</w:t>
      </w:r>
    </w:p>
    <w:p>
      <w:pPr>
        <w:spacing w:after="40"/>
        <w:ind w:left="0"/>
      </w:pPr>
      <w:r>
        <w:t>• Support safer clinic decisions.</w:t>
      </w:r>
    </w:p>
    <w:p>
      <w:pPr>
        <w:pStyle w:val="Heading2"/>
      </w:pPr>
      <w:r>
        <w:t>Practical activity</w:t>
      </w:r>
    </w:p>
    <w:p>
      <w:r>
        <w:t>Analyse four screening cases and write a short triage rationale for each.</w:t>
      </w:r>
    </w:p>
    <w:p>
      <w:pPr>
        <w:pStyle w:val="Heading2"/>
      </w:pPr>
      <w:r>
        <w:t>Quiz focus</w:t>
      </w:r>
    </w:p>
    <w:p>
      <w:pPr>
        <w:spacing w:after="40"/>
        <w:ind w:left="0"/>
      </w:pPr>
      <w:r>
        <w:t>• Suitability logic</w:t>
      </w:r>
    </w:p>
    <w:p>
      <w:pPr>
        <w:spacing w:after="40"/>
        <w:ind w:left="0"/>
      </w:pPr>
      <w:r>
        <w:t>• Caution flags</w:t>
      </w:r>
    </w:p>
    <w:p>
      <w:pPr>
        <w:spacing w:after="40"/>
        <w:ind w:left="0"/>
      </w:pPr>
      <w:r>
        <w:t>• Escalation decisions</w:t>
      </w:r>
    </w:p>
    <w:p>
      <w:pPr>
        <w:pStyle w:val="Heading1"/>
      </w:pPr>
      <w:r>
        <w:t>Week 7 — Communication Mastery and Expectation Management</w:t>
      </w:r>
    </w:p>
    <w:p>
      <w:r>
        <w:rPr>
          <w:b/>
        </w:rPr>
        <w:t xml:space="preserve">Weekly theme: </w:t>
      </w:r>
      <w:r>
        <w:t>Developing mature, ethical, trust-based communication.</w:t>
      </w:r>
    </w:p>
    <w:p>
      <w:pPr>
        <w:pStyle w:val="Heading2"/>
      </w:pPr>
      <w:r>
        <w:t>Core lecture topics</w:t>
      </w:r>
    </w:p>
    <w:p>
      <w:pPr>
        <w:spacing w:after="40"/>
        <w:ind w:left="0"/>
      </w:pPr>
      <w:r>
        <w:t>• Building trust in the first consultation</w:t>
      </w:r>
    </w:p>
    <w:p>
      <w:pPr>
        <w:spacing w:after="40"/>
        <w:ind w:left="0"/>
      </w:pPr>
      <w:r>
        <w:t>• Understanding what patients are really asking</w:t>
      </w:r>
    </w:p>
    <w:p>
      <w:pPr>
        <w:spacing w:after="40"/>
        <w:ind w:left="0"/>
      </w:pPr>
      <w:r>
        <w:t>• Expectation management</w:t>
      </w:r>
    </w:p>
    <w:p>
      <w:pPr>
        <w:spacing w:after="40"/>
        <w:ind w:left="0"/>
      </w:pPr>
      <w:r>
        <w:t>• Language that helps and language that harms</w:t>
      </w:r>
    </w:p>
    <w:p>
      <w:pPr>
        <w:pStyle w:val="Heading2"/>
      </w:pPr>
      <w:r>
        <w:t>Learning objectives</w:t>
      </w:r>
    </w:p>
    <w:p>
      <w:pPr>
        <w:spacing w:after="40"/>
        <w:ind w:left="0"/>
      </w:pPr>
      <w:r>
        <w:t>• Communicate with more empathy and confidence.</w:t>
      </w:r>
    </w:p>
    <w:p>
      <w:pPr>
        <w:spacing w:after="40"/>
        <w:ind w:left="0"/>
      </w:pPr>
      <w:r>
        <w:t>• Identify emotional drivers behind patient questions.</w:t>
      </w:r>
    </w:p>
    <w:p>
      <w:pPr>
        <w:spacing w:after="40"/>
        <w:ind w:left="0"/>
      </w:pPr>
      <w:r>
        <w:t>• Set expectations more responsibly.</w:t>
      </w:r>
    </w:p>
    <w:p>
      <w:pPr>
        <w:spacing w:after="40"/>
        <w:ind w:left="0"/>
      </w:pPr>
      <w:r>
        <w:t>• Reduce risky language and overpromising.</w:t>
      </w:r>
    </w:p>
    <w:p>
      <w:pPr>
        <w:pStyle w:val="Heading2"/>
      </w:pPr>
      <w:r>
        <w:t>Practical activity</w:t>
      </w:r>
    </w:p>
    <w:p>
      <w:r>
        <w:t>Rewrite ten problematic consultation phrases into safer, stronger alternatives.</w:t>
      </w:r>
    </w:p>
    <w:p>
      <w:pPr>
        <w:pStyle w:val="Heading2"/>
      </w:pPr>
      <w:r>
        <w:t>Quiz focus</w:t>
      </w:r>
    </w:p>
    <w:p>
      <w:pPr>
        <w:spacing w:after="40"/>
        <w:ind w:left="0"/>
      </w:pPr>
      <w:r>
        <w:t>• Communication principles</w:t>
      </w:r>
    </w:p>
    <w:p>
      <w:pPr>
        <w:spacing w:after="40"/>
        <w:ind w:left="0"/>
      </w:pPr>
      <w:r>
        <w:t>• Expectation-setting scenarios</w:t>
      </w:r>
    </w:p>
    <w:p>
      <w:pPr>
        <w:spacing w:after="40"/>
        <w:ind w:left="0"/>
      </w:pPr>
      <w:r>
        <w:t>• Ethical response phrasing</w:t>
      </w:r>
    </w:p>
    <w:p>
      <w:pPr>
        <w:pStyle w:val="Heading1"/>
      </w:pPr>
      <w:r>
        <w:t>Week 8 — Non-Surgical and Surgical Treatment Education for Non-Doctors</w:t>
      </w:r>
    </w:p>
    <w:p>
      <w:r>
        <w:rPr>
          <w:b/>
        </w:rPr>
        <w:t xml:space="preserve">Weekly theme: </w:t>
      </w:r>
      <w:r>
        <w:t>Explaining options responsibly, clearly, and within role boundaries.</w:t>
      </w:r>
    </w:p>
    <w:p>
      <w:pPr>
        <w:pStyle w:val="Heading2"/>
      </w:pPr>
      <w:r>
        <w:t>Core lecture topics</w:t>
      </w:r>
    </w:p>
    <w:p>
      <w:pPr>
        <w:spacing w:after="40"/>
        <w:ind w:left="0"/>
      </w:pPr>
      <w:r>
        <w:t>• Non-surgical pathways</w:t>
      </w:r>
    </w:p>
    <w:p>
      <w:pPr>
        <w:spacing w:after="40"/>
        <w:ind w:left="0"/>
      </w:pPr>
      <w:r>
        <w:t>• Medication awareness</w:t>
      </w:r>
    </w:p>
    <w:p>
      <w:pPr>
        <w:spacing w:after="40"/>
        <w:ind w:left="0"/>
      </w:pPr>
      <w:r>
        <w:t>• Surgical basics</w:t>
      </w:r>
    </w:p>
    <w:p>
      <w:pPr>
        <w:spacing w:after="40"/>
        <w:ind w:left="0"/>
      </w:pPr>
      <w:r>
        <w:t>• Educating without overselling</w:t>
      </w:r>
    </w:p>
    <w:p>
      <w:pPr>
        <w:pStyle w:val="Heading2"/>
      </w:pPr>
      <w:r>
        <w:t>Learning objectives</w:t>
      </w:r>
    </w:p>
    <w:p>
      <w:pPr>
        <w:spacing w:after="40"/>
        <w:ind w:left="0"/>
      </w:pPr>
      <w:r>
        <w:t>• Explain major treatment pathways in clear language.</w:t>
      </w:r>
    </w:p>
    <w:p>
      <w:pPr>
        <w:spacing w:after="40"/>
        <w:ind w:left="0"/>
      </w:pPr>
      <w:r>
        <w:t>• Distinguish education from prescribing or diagnosis.</w:t>
      </w:r>
    </w:p>
    <w:p>
      <w:pPr>
        <w:spacing w:after="40"/>
        <w:ind w:left="0"/>
      </w:pPr>
      <w:r>
        <w:t>• Discuss surgery responsibly.</w:t>
      </w:r>
    </w:p>
    <w:p>
      <w:pPr>
        <w:spacing w:after="40"/>
        <w:ind w:left="0"/>
      </w:pPr>
      <w:r>
        <w:t>• Avoid overselling or oversimplifying treatments.</w:t>
      </w:r>
    </w:p>
    <w:p>
      <w:pPr>
        <w:pStyle w:val="Heading2"/>
      </w:pPr>
      <w:r>
        <w:t>Practical activity</w:t>
      </w:r>
    </w:p>
    <w:p>
      <w:r>
        <w:t>Prepare a patient education sheet or script comparing three pathway types: non-surgical support, surgery plus maintenance, and surgery not appropriate yet / doctor review first.</w:t>
      </w:r>
    </w:p>
    <w:p>
      <w:pPr>
        <w:pStyle w:val="Heading2"/>
      </w:pPr>
      <w:r>
        <w:t>Quiz focus</w:t>
      </w:r>
    </w:p>
    <w:p>
      <w:pPr>
        <w:spacing w:after="40"/>
        <w:ind w:left="0"/>
      </w:pPr>
      <w:r>
        <w:t>• Treatment concepts</w:t>
      </w:r>
    </w:p>
    <w:p>
      <w:pPr>
        <w:spacing w:after="40"/>
        <w:ind w:left="0"/>
      </w:pPr>
      <w:r>
        <w:t>• Medication awareness</w:t>
      </w:r>
    </w:p>
    <w:p>
      <w:pPr>
        <w:spacing w:after="40"/>
        <w:ind w:left="0"/>
      </w:pPr>
      <w:r>
        <w:t>• Surgical basics</w:t>
      </w:r>
    </w:p>
    <w:p>
      <w:pPr>
        <w:pStyle w:val="Heading1"/>
      </w:pPr>
      <w:r>
        <w:t>Week 9 — Photography, Documentation, and Doctor Handover</w:t>
      </w:r>
    </w:p>
    <w:p>
      <w:r>
        <w:rPr>
          <w:b/>
        </w:rPr>
        <w:t xml:space="preserve">Weekly theme: </w:t>
      </w:r>
      <w:r>
        <w:t>Improving the quality of case preparation and internal communication.</w:t>
      </w:r>
    </w:p>
    <w:p>
      <w:pPr>
        <w:pStyle w:val="Heading2"/>
      </w:pPr>
      <w:r>
        <w:t>Core lecture topics</w:t>
      </w:r>
    </w:p>
    <w:p>
      <w:pPr>
        <w:spacing w:after="40"/>
        <w:ind w:left="0"/>
      </w:pPr>
      <w:r>
        <w:t>• Clinical photography standards</w:t>
      </w:r>
    </w:p>
    <w:p>
      <w:pPr>
        <w:spacing w:after="40"/>
        <w:ind w:left="0"/>
      </w:pPr>
      <w:r>
        <w:t>• What good documentation looks like</w:t>
      </w:r>
    </w:p>
    <w:p>
      <w:pPr>
        <w:spacing w:after="40"/>
        <w:ind w:left="0"/>
      </w:pPr>
      <w:r>
        <w:t>• Building a doctor-ready case summary</w:t>
      </w:r>
    </w:p>
    <w:p>
      <w:pPr>
        <w:spacing w:after="40"/>
        <w:ind w:left="0"/>
      </w:pPr>
      <w:r>
        <w:t>• Internal communication and handover quality</w:t>
      </w:r>
    </w:p>
    <w:p>
      <w:pPr>
        <w:pStyle w:val="Heading2"/>
      </w:pPr>
      <w:r>
        <w:t>Learning objectives</w:t>
      </w:r>
    </w:p>
    <w:p>
      <w:pPr>
        <w:spacing w:after="40"/>
        <w:ind w:left="0"/>
      </w:pPr>
      <w:r>
        <w:t>• Capture standard consultation photos.</w:t>
      </w:r>
    </w:p>
    <w:p>
      <w:pPr>
        <w:spacing w:after="40"/>
        <w:ind w:left="0"/>
      </w:pPr>
      <w:r>
        <w:t>• Prepare clearer documentation.</w:t>
      </w:r>
    </w:p>
    <w:p>
      <w:pPr>
        <w:spacing w:after="40"/>
        <w:ind w:left="0"/>
      </w:pPr>
      <w:r>
        <w:t>• Summarise a case for doctor review.</w:t>
      </w:r>
    </w:p>
    <w:p>
      <w:pPr>
        <w:spacing w:after="40"/>
        <w:ind w:left="0"/>
      </w:pPr>
      <w:r>
        <w:t>• Improve handover quality and efficiency.</w:t>
      </w:r>
    </w:p>
    <w:p>
      <w:pPr>
        <w:pStyle w:val="Heading2"/>
      </w:pPr>
      <w:r>
        <w:t>Practical activity</w:t>
      </w:r>
    </w:p>
    <w:p>
      <w:r>
        <w:t>Submit a mock case file including a photo checklist, consultation note, and one-page doctor handover summary.</w:t>
      </w:r>
    </w:p>
    <w:p>
      <w:pPr>
        <w:pStyle w:val="Heading2"/>
      </w:pPr>
      <w:r>
        <w:t>Quiz focus</w:t>
      </w:r>
    </w:p>
    <w:p>
      <w:pPr>
        <w:spacing w:after="40"/>
        <w:ind w:left="0"/>
      </w:pPr>
      <w:r>
        <w:t>• Photo standards</w:t>
      </w:r>
    </w:p>
    <w:p>
      <w:pPr>
        <w:spacing w:after="40"/>
        <w:ind w:left="0"/>
      </w:pPr>
      <w:r>
        <w:t>• Documentation errors</w:t>
      </w:r>
    </w:p>
    <w:p>
      <w:pPr>
        <w:spacing w:after="40"/>
        <w:ind w:left="0"/>
      </w:pPr>
      <w:r>
        <w:t>• Handover priorities</w:t>
      </w:r>
    </w:p>
    <w:p>
      <w:pPr>
        <w:pStyle w:val="Heading1"/>
      </w:pPr>
      <w:r>
        <w:t>Week 10 — Pre-Operative Coordination and Patient Preparation</w:t>
      </w:r>
    </w:p>
    <w:p>
      <w:r>
        <w:rPr>
          <w:b/>
        </w:rPr>
        <w:t xml:space="preserve">Weekly theme: </w:t>
      </w:r>
      <w:r>
        <w:t>Supporting readiness, compliance, and patient confidence before treatment.</w:t>
      </w:r>
    </w:p>
    <w:p>
      <w:pPr>
        <w:pStyle w:val="Heading2"/>
      </w:pPr>
      <w:r>
        <w:t>Core lecture topics</w:t>
      </w:r>
    </w:p>
    <w:p>
      <w:pPr>
        <w:spacing w:after="40"/>
        <w:ind w:left="0"/>
      </w:pPr>
      <w:r>
        <w:t>• The purpose of pre-operative coordination</w:t>
      </w:r>
    </w:p>
    <w:p>
      <w:pPr>
        <w:spacing w:after="40"/>
        <w:ind w:left="0"/>
      </w:pPr>
      <w:r>
        <w:t>• Medical and practical preparation awareness</w:t>
      </w:r>
    </w:p>
    <w:p>
      <w:pPr>
        <w:spacing w:after="40"/>
        <w:ind w:left="0"/>
      </w:pPr>
      <w:r>
        <w:t>• Managing questions, anxiety, and last-minute doubt</w:t>
      </w:r>
    </w:p>
    <w:p>
      <w:pPr>
        <w:spacing w:after="40"/>
        <w:ind w:left="0"/>
      </w:pPr>
      <w:r>
        <w:t>• Preventing avoidable cancellations and confusion</w:t>
      </w:r>
    </w:p>
    <w:p>
      <w:pPr>
        <w:pStyle w:val="Heading2"/>
      </w:pPr>
      <w:r>
        <w:t>Learning objectives</w:t>
      </w:r>
    </w:p>
    <w:p>
      <w:pPr>
        <w:spacing w:after="40"/>
        <w:ind w:left="0"/>
      </w:pPr>
      <w:r>
        <w:t>• Support patients through pre-op preparation effectively.</w:t>
      </w:r>
    </w:p>
    <w:p>
      <w:pPr>
        <w:spacing w:after="40"/>
        <w:ind w:left="0"/>
      </w:pPr>
      <w:r>
        <w:t>• Reduce misunderstandings before treatment.</w:t>
      </w:r>
    </w:p>
    <w:p>
      <w:pPr>
        <w:spacing w:after="40"/>
        <w:ind w:left="0"/>
      </w:pPr>
      <w:r>
        <w:t>• Identify pre-op issues requiring escalation.</w:t>
      </w:r>
    </w:p>
    <w:p>
      <w:pPr>
        <w:spacing w:after="40"/>
        <w:ind w:left="0"/>
      </w:pPr>
      <w:r>
        <w:t>• Strengthen surgery-day readiness.</w:t>
      </w:r>
    </w:p>
    <w:p>
      <w:pPr>
        <w:pStyle w:val="Heading2"/>
      </w:pPr>
      <w:r>
        <w:t>Practical activity</w:t>
      </w:r>
    </w:p>
    <w:p>
      <w:r>
        <w:t>Create a pre-op patient checklist and communication sequence for the week before treatment.</w:t>
      </w:r>
    </w:p>
    <w:p>
      <w:pPr>
        <w:pStyle w:val="Heading2"/>
      </w:pPr>
      <w:r>
        <w:t>Quiz focus</w:t>
      </w:r>
    </w:p>
    <w:p>
      <w:pPr>
        <w:spacing w:after="40"/>
        <w:ind w:left="0"/>
      </w:pPr>
      <w:r>
        <w:t>• Readiness principles</w:t>
      </w:r>
    </w:p>
    <w:p>
      <w:pPr>
        <w:spacing w:after="40"/>
        <w:ind w:left="0"/>
      </w:pPr>
      <w:r>
        <w:t>• Pre-op risk points</w:t>
      </w:r>
    </w:p>
    <w:p>
      <w:pPr>
        <w:spacing w:after="40"/>
        <w:ind w:left="0"/>
      </w:pPr>
      <w:r>
        <w:t>• Preparation logic</w:t>
      </w:r>
    </w:p>
    <w:p>
      <w:pPr>
        <w:pStyle w:val="Heading1"/>
      </w:pPr>
      <w:r>
        <w:t>Week 11 — Post-Operative Support, Follow-Up, and Difficult Cases</w:t>
      </w:r>
    </w:p>
    <w:p>
      <w:r>
        <w:rPr>
          <w:b/>
        </w:rPr>
        <w:t xml:space="preserve">Weekly theme: </w:t>
      </w:r>
      <w:r>
        <w:t>Knowing what is normal, what is not, and how to manage concern professionally.</w:t>
      </w:r>
    </w:p>
    <w:p>
      <w:pPr>
        <w:pStyle w:val="Heading2"/>
      </w:pPr>
      <w:r>
        <w:t>Core lecture topics</w:t>
      </w:r>
    </w:p>
    <w:p>
      <w:pPr>
        <w:spacing w:after="40"/>
        <w:ind w:left="0"/>
      </w:pPr>
      <w:r>
        <w:t>• The normal healing course</w:t>
      </w:r>
    </w:p>
    <w:p>
      <w:pPr>
        <w:spacing w:after="40"/>
        <w:ind w:left="0"/>
      </w:pPr>
      <w:r>
        <w:t>• Routine follow-up support</w:t>
      </w:r>
    </w:p>
    <w:p>
      <w:pPr>
        <w:spacing w:after="40"/>
        <w:ind w:left="0"/>
      </w:pPr>
      <w:r>
        <w:t>• Complaints, dissatisfaction, and difficult conversations</w:t>
      </w:r>
    </w:p>
    <w:p>
      <w:pPr>
        <w:spacing w:after="40"/>
        <w:ind w:left="0"/>
      </w:pPr>
      <w:r>
        <w:t>• Escalation triggers and high-risk recovery concerns</w:t>
      </w:r>
    </w:p>
    <w:p>
      <w:pPr>
        <w:pStyle w:val="Heading2"/>
      </w:pPr>
      <w:r>
        <w:t>Learning objectives</w:t>
      </w:r>
    </w:p>
    <w:p>
      <w:pPr>
        <w:spacing w:after="40"/>
        <w:ind w:left="0"/>
      </w:pPr>
      <w:r>
        <w:t>• Explain the broad normal post-op course.</w:t>
      </w:r>
    </w:p>
    <w:p>
      <w:pPr>
        <w:spacing w:after="40"/>
        <w:ind w:left="0"/>
      </w:pPr>
      <w:r>
        <w:t>• Manage routine follow-up questions more effectively.</w:t>
      </w:r>
    </w:p>
    <w:p>
      <w:pPr>
        <w:spacing w:after="40"/>
        <w:ind w:left="0"/>
      </w:pPr>
      <w:r>
        <w:t>• Respond professionally to dissatisfied patients.</w:t>
      </w:r>
    </w:p>
    <w:p>
      <w:pPr>
        <w:spacing w:after="40"/>
        <w:ind w:left="0"/>
      </w:pPr>
      <w:r>
        <w:t>• Recognise when doctor review should be escalated urgently.</w:t>
      </w:r>
    </w:p>
    <w:p>
      <w:pPr>
        <w:pStyle w:val="Heading2"/>
      </w:pPr>
      <w:r>
        <w:t>Practical activity</w:t>
      </w:r>
    </w:p>
    <w:p>
      <w:r>
        <w:t>Respond to five simulated patient messages: two routine, two anxious, and one requiring urgent escalation.</w:t>
      </w:r>
    </w:p>
    <w:p>
      <w:pPr>
        <w:pStyle w:val="Heading2"/>
      </w:pPr>
      <w:r>
        <w:t>Quiz focus</w:t>
      </w:r>
    </w:p>
    <w:p>
      <w:pPr>
        <w:spacing w:after="40"/>
        <w:ind w:left="0"/>
      </w:pPr>
      <w:r>
        <w:t>• Recovery expectations</w:t>
      </w:r>
    </w:p>
    <w:p>
      <w:pPr>
        <w:spacing w:after="40"/>
        <w:ind w:left="0"/>
      </w:pPr>
      <w:r>
        <w:t>• Complaint handling</w:t>
      </w:r>
    </w:p>
    <w:p>
      <w:pPr>
        <w:spacing w:after="40"/>
        <w:ind w:left="0"/>
      </w:pPr>
      <w:r>
        <w:t>• Escalation triggers</w:t>
      </w:r>
    </w:p>
    <w:p>
      <w:pPr>
        <w:pStyle w:val="Heading1"/>
      </w:pPr>
      <w:r>
        <w:t>Week 12 — Quality Assurance, Leadership, and Final Competency Assessment</w:t>
      </w:r>
    </w:p>
    <w:p>
      <w:r>
        <w:rPr>
          <w:b/>
        </w:rPr>
        <w:t xml:space="preserve">Weekly theme: </w:t>
      </w:r>
      <w:r>
        <w:t>Bringing all skills together and understanding how better consultations improve clinic performance.</w:t>
      </w:r>
    </w:p>
    <w:p>
      <w:pPr>
        <w:pStyle w:val="Heading2"/>
      </w:pPr>
      <w:r>
        <w:t>Core lecture topics</w:t>
      </w:r>
    </w:p>
    <w:p>
      <w:pPr>
        <w:spacing w:after="40"/>
        <w:ind w:left="0"/>
      </w:pPr>
      <w:r>
        <w:t>• What high-quality consultation systems look like</w:t>
      </w:r>
    </w:p>
    <w:p>
      <w:pPr>
        <w:spacing w:after="40"/>
        <w:ind w:left="0"/>
      </w:pPr>
      <w:r>
        <w:t>• Consultation audit and quality improvement</w:t>
      </w:r>
    </w:p>
    <w:p>
      <w:pPr>
        <w:spacing w:after="40"/>
        <w:ind w:left="0"/>
      </w:pPr>
      <w:r>
        <w:t>• Leadership in patient-facing hair clinic roles</w:t>
      </w:r>
    </w:p>
    <w:p>
      <w:pPr>
        <w:spacing w:after="40"/>
        <w:ind w:left="0"/>
      </w:pPr>
      <w:r>
        <w:t>• Final integration session</w:t>
      </w:r>
    </w:p>
    <w:p>
      <w:pPr>
        <w:pStyle w:val="Heading2"/>
      </w:pPr>
      <w:r>
        <w:t>Learning objectives</w:t>
      </w:r>
    </w:p>
    <w:p>
      <w:pPr>
        <w:spacing w:after="40"/>
        <w:ind w:left="0"/>
      </w:pPr>
      <w:r>
        <w:t>• Understand what makes a consultation system strong.</w:t>
      </w:r>
    </w:p>
    <w:p>
      <w:pPr>
        <w:spacing w:after="40"/>
        <w:ind w:left="0"/>
      </w:pPr>
      <w:r>
        <w:t>• Contribute to quality improvement in clinic practice.</w:t>
      </w:r>
    </w:p>
    <w:p>
      <w:pPr>
        <w:spacing w:after="40"/>
        <w:ind w:left="0"/>
      </w:pPr>
      <w:r>
        <w:t>• Connect ethical front-end systems to better outcomes.</w:t>
      </w:r>
    </w:p>
    <w:p>
      <w:pPr>
        <w:spacing w:after="40"/>
        <w:ind w:left="0"/>
      </w:pPr>
      <w:r>
        <w:t>• Demonstrate integrated competency across the course.</w:t>
      </w:r>
    </w:p>
    <w:p>
      <w:pPr>
        <w:pStyle w:val="Heading2"/>
      </w:pPr>
      <w:r>
        <w:t>Practical activity</w:t>
      </w:r>
    </w:p>
    <w:p>
      <w:r>
        <w:t>Complete the final competency sequence: theory exam, scenario assessment, documentation review, communication exercise, and reflective statement.</w:t>
      </w:r>
    </w:p>
    <w:p>
      <w:pPr>
        <w:pStyle w:val="Heading2"/>
      </w:pPr>
      <w:r>
        <w:t>Quiz focus</w:t>
      </w:r>
    </w:p>
    <w:p>
      <w:pPr>
        <w:spacing w:after="40"/>
        <w:ind w:left="0"/>
      </w:pPr>
      <w:r>
        <w:t>• Final revision across all modules</w:t>
      </w:r>
    </w:p>
    <w:p>
      <w:pPr>
        <w:spacing w:after="40"/>
        <w:ind w:left="0"/>
      </w:pPr>
      <w:r>
        <w:t>• Integrated competency</w:t>
      </w:r>
    </w:p>
    <w:p>
      <w:pPr>
        <w:pStyle w:val="Heading1"/>
      </w:pPr>
      <w:r>
        <w:t>Assessment Framework Across the 12 Weeks</w:t>
      </w:r>
    </w:p>
    <w:p>
      <w:pPr>
        <w:spacing w:after="40"/>
        <w:ind w:left="0"/>
      </w:pPr>
      <w:r>
        <w:t>• Weekly quizzes to reinforce concepts and track progression.</w:t>
      </w:r>
    </w:p>
    <w:p>
      <w:pPr>
        <w:spacing w:after="40"/>
        <w:ind w:left="0"/>
      </w:pPr>
      <w:r>
        <w:t>• Short reflective tasks to develop judgement and professional maturity.</w:t>
      </w:r>
    </w:p>
    <w:p>
      <w:pPr>
        <w:spacing w:after="40"/>
        <w:ind w:left="0"/>
      </w:pPr>
      <w:r>
        <w:t>• Case-based worksheets to apply learning to realistic scenarios.</w:t>
      </w:r>
    </w:p>
    <w:p>
      <w:pPr>
        <w:spacing w:after="40"/>
        <w:ind w:left="0"/>
      </w:pPr>
      <w:r>
        <w:t>• Practical submissions in Weeks 5, 7, 9, 10, and 11.</w:t>
      </w:r>
    </w:p>
    <w:p>
      <w:pPr>
        <w:spacing w:after="40"/>
        <w:ind w:left="0"/>
      </w:pPr>
      <w:r>
        <w:t>• Final competency assessment combining theory, ethics, communication, documentation, and escalation.</w:t>
      </w:r>
    </w:p>
    <w:p>
      <w:pPr>
        <w:pStyle w:val="Heading1"/>
      </w:pPr>
      <w:r>
        <w:t>Certification Outcome</w:t>
      </w:r>
    </w:p>
    <w:p>
      <w:r>
        <w:t>Successful learners should receive the IIOHR Certificate in Hair Loss Consultation &amp; Clinical Patient Coordination together with a competency statement outlining training in structured consultation, ethical communication, screening support, documentation, photography, pre-op and post-op coordination, and escalation awareness.</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E"/>
        <w:sz w:val="18"/>
      </w:rPr>
      <w:t xml:space="preserve">IIOHR Academy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B7E"/>
        <w:sz w:val="18"/>
      </w:rPr>
      <w:t>Detailed Curriculum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w:hAnsi="Aptos"/>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Aptos" w:hAnsi="Aptos"/>
      <w:b/>
      <w:bCs/>
      <w:color w:val="355E8D"/>
      <w:sz w:val="25"/>
      <w:szCs w:val="26"/>
    </w:rPr>
  </w:style>
  <w:style w:type="paragraph" w:styleId="Heading3">
    <w:name w:val="heading 3"/>
    <w:basedOn w:val="Normal"/>
    <w:next w:val="Normal"/>
    <w:link w:val="Heading3Char"/>
    <w:uiPriority w:val="9"/>
    <w:unhideWhenUsed/>
    <w:qFormat/>
    <w:rsid w:val="00FC693F"/>
    <w:pPr>
      <w:keepNext/>
      <w:keepLines/>
      <w:spacing w:before="160" w:after="20"/>
      <w:outlineLvl w:val="2"/>
    </w:pPr>
    <w:rPr>
      <w:rFonts w:asciiTheme="majorHAnsi" w:eastAsiaTheme="majorEastAsia" w:hAnsiTheme="majorHAnsi" w:cstheme="majorBidi" w:ascii="Aptos" w:hAnsi="Aptos"/>
      <w:b/>
      <w:bCs/>
      <w:color w:val="355E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1F3A5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6B7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