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IIOHR Consultant &amp; Nurse Academy</w:t>
        <w:br/>
      </w:r>
      <w:r>
        <w:rPr>
          <w:b/>
        </w:rPr>
        <w:t>Teaching Manual – Volume 1</w:t>
      </w:r>
    </w:p>
    <w:p>
      <w:pPr>
        <w:pStyle w:val="Subtitle"/>
        <w:jc w:val="center"/>
      </w:pPr>
      <w:r>
        <w:t>Weeks 1–4: Role, Ethics, Scope, Hair Science, and Hair Loss Foundations</w:t>
      </w:r>
    </w:p>
    <w:p>
      <w:pPr>
        <w:jc w:val="center"/>
      </w:pPr>
      <w:r>
        <w:rPr>
          <w:i/>
          <w:color w:val="5B6B7A"/>
        </w:rPr>
        <w:br/>
        <w:t>Detailed draft for curriculum development, faculty review, and LMS expansion</w:t>
      </w:r>
    </w:p>
    <w:tbl>
      <w:tblPr>
        <w:tblStyle w:val="TableGrid"/>
        <w:tblW w:type="auto" w:w="0"/>
        <w:jc w:val="center"/>
        <w:tblLook w:firstColumn="1" w:firstRow="1" w:lastColumn="0" w:lastRow="0" w:noHBand="0" w:noVBand="1" w:val="04A0"/>
      </w:tblPr>
      <w:tblGrid>
        <w:gridCol w:w="4873"/>
        <w:gridCol w:w="4873"/>
      </w:tblGrid>
      <w:tr>
        <w:tc>
          <w:tcPr>
            <w:tcW w:type="dxa" w:w="2381"/>
            <w:vAlign w:val="center"/>
            <w:tcMar>
              <w:top w:w="80" w:type="dxa"/>
              <w:start w:w="110" w:type="dxa"/>
              <w:bottom w:w="80" w:type="dxa"/>
              <w:end w:w="110" w:type="dxa"/>
            </w:tcMar>
            <w:shd w:fill="EEF3F8"/>
          </w:tcPr>
          <w:p>
            <w:r>
              <w:t>Program</w:t>
            </w:r>
          </w:p>
        </w:tc>
        <w:tc>
          <w:tcPr>
            <w:tcW w:type="dxa" w:w="6009"/>
            <w:vAlign w:val="center"/>
            <w:tcMar>
              <w:top w:w="80" w:type="dxa"/>
              <w:start w:w="110" w:type="dxa"/>
              <w:bottom w:w="80" w:type="dxa"/>
              <w:end w:w="110" w:type="dxa"/>
            </w:tcMar>
            <w:shd w:fill="EEF3F8"/>
          </w:tcPr>
          <w:p>
            <w:r>
              <w:t>Certificate in Hair Loss Consultation &amp; Clinical Patient Coordination</w:t>
            </w:r>
          </w:p>
        </w:tc>
      </w:tr>
      <w:tr>
        <w:tc>
          <w:tcPr>
            <w:tcW w:type="dxa" w:w="2381"/>
            <w:vAlign w:val="center"/>
            <w:tcMar>
              <w:top w:w="80" w:type="dxa"/>
              <w:start w:w="110" w:type="dxa"/>
              <w:bottom w:w="80" w:type="dxa"/>
              <w:end w:w="110" w:type="dxa"/>
            </w:tcMar>
          </w:tcPr>
          <w:p>
            <w:r>
              <w:t>Volume focus</w:t>
            </w:r>
          </w:p>
        </w:tc>
        <w:tc>
          <w:tcPr>
            <w:tcW w:type="dxa" w:w="6009"/>
            <w:vAlign w:val="center"/>
            <w:tcMar>
              <w:top w:w="80" w:type="dxa"/>
              <w:start w:w="110" w:type="dxa"/>
              <w:bottom w:w="80" w:type="dxa"/>
              <w:end w:w="110" w:type="dxa"/>
            </w:tcMar>
          </w:tcPr>
          <w:p>
            <w:r>
              <w:t>Builds the foundation for safe patient-facing practice before a doctor consultation, with emphasis on role clarity, ethics, scope of practice, consultation responsibility, and core hair-science literacy.</w:t>
            </w:r>
          </w:p>
        </w:tc>
      </w:tr>
      <w:tr>
        <w:tc>
          <w:tcPr>
            <w:tcW w:type="dxa" w:w="2381"/>
            <w:vAlign w:val="center"/>
            <w:tcMar>
              <w:top w:w="80" w:type="dxa"/>
              <w:start w:w="110" w:type="dxa"/>
              <w:bottom w:w="80" w:type="dxa"/>
              <w:end w:w="110" w:type="dxa"/>
            </w:tcMar>
          </w:tcPr>
          <w:p>
            <w:r>
              <w:t>Audience</w:t>
            </w:r>
          </w:p>
        </w:tc>
        <w:tc>
          <w:tcPr>
            <w:tcW w:type="dxa" w:w="6009"/>
            <w:vAlign w:val="center"/>
            <w:tcMar>
              <w:top w:w="80" w:type="dxa"/>
              <w:start w:w="110" w:type="dxa"/>
              <w:bottom w:w="80" w:type="dxa"/>
              <w:end w:w="110" w:type="dxa"/>
            </w:tcMar>
          </w:tcPr>
          <w:p>
            <w:r>
              <w:t>Consultants, nurses, patient coordinators, and clinic-based professionals involved in hair restoration consultations and patient guidance.</w:t>
            </w:r>
          </w:p>
        </w:tc>
      </w:tr>
      <w:tr>
        <w:tc>
          <w:tcPr>
            <w:tcW w:type="dxa" w:w="2381"/>
            <w:vAlign w:val="center"/>
            <w:tcMar>
              <w:top w:w="80" w:type="dxa"/>
              <w:start w:w="110" w:type="dxa"/>
              <w:bottom w:w="80" w:type="dxa"/>
              <w:end w:w="110" w:type="dxa"/>
            </w:tcMar>
          </w:tcPr>
          <w:p>
            <w:r>
              <w:t>Teaching intent</w:t>
            </w:r>
          </w:p>
        </w:tc>
        <w:tc>
          <w:tcPr>
            <w:tcW w:type="dxa" w:w="6009"/>
            <w:vAlign w:val="center"/>
            <w:tcMar>
              <w:top w:w="80" w:type="dxa"/>
              <w:start w:w="110" w:type="dxa"/>
              <w:bottom w:w="80" w:type="dxa"/>
              <w:end w:w="110" w:type="dxa"/>
            </w:tcMar>
          </w:tcPr>
          <w:p>
            <w:r>
              <w:t>This volume is written as real teaching content, not just a course outline. It is designed to be expanded further into LMS lessons, faculty notes, quizzes, and practical assessment tools.</w:t>
            </w:r>
          </w:p>
        </w:tc>
      </w:tr>
    </w:tbl>
    <w:p>
      <w:r>
        <w:br w:type="page"/>
      </w:r>
    </w:p>
    <w:p>
      <w:pPr>
        <w:pStyle w:val="Heading1"/>
      </w:pPr>
      <w:r>
        <w:t>Preface</w:t>
      </w:r>
    </w:p>
    <w:p>
      <w:pPr>
        <w:pStyle w:val="BodyTight"/>
      </w:pPr>
      <w:r>
        <w:t>This manual is the first written teaching volume for the IIOHR Consultant &amp; Nurse Academy. It is designed to professionalise the front line of hair restoration care by training patient-facing staff to communicate accurately, screen responsibly, document effectively, and support patients within clear professional boundaries.</w:t>
      </w:r>
    </w:p>
    <w:p>
      <w:pPr>
        <w:pStyle w:val="BodyTight"/>
      </w:pPr>
      <w:r>
        <w:t>In many clinics, the earliest stages of the patient journey are handled by consultants, coordinators, or nurses who may carry considerable influence but receive inconsistent training. The purpose of this manual is to provide a more rigorous educational foundation. It does not turn non-doctor staff into diagnosticians. Instead, it equips them to become safer, clearer, more ethical, and more clinically literate professionals.</w:t>
      </w:r>
    </w:p>
    <w:p>
      <w:pPr>
        <w:pStyle w:val="BodyTight"/>
      </w:pPr>
      <w:r>
        <w:t>Volume 1 covers Weeks 1–4 of the program. It focuses on four foundational domains: the structure of the modern hair restoration clinic, scope of practice and ethics, essential hair and scalp science, and recognition of common hair loss presentations with appropriate escalation.</w:t>
      </w:r>
    </w:p>
    <w:p>
      <w:pPr>
        <w:pStyle w:val="Heading2"/>
      </w:pPr>
      <w:r>
        <w:t>How to use this manual</w:t>
      </w:r>
    </w:p>
    <w:p>
      <w:pPr>
        <w:pStyle w:val="ListBullet"/>
      </w:pPr>
      <w:r>
        <w:t>Read each week as if it were a taught module, not merely a reference chapter.</w:t>
      </w:r>
    </w:p>
    <w:p>
      <w:pPr>
        <w:pStyle w:val="ListBullet"/>
      </w:pPr>
      <w:r>
        <w:t>Use the reflective questions and practice prompts to test judgement rather than memory alone.</w:t>
      </w:r>
    </w:p>
    <w:p>
      <w:pPr>
        <w:pStyle w:val="ListBullet"/>
      </w:pPr>
      <w:r>
        <w:t>Reinforce every clinical concept with the central rule of the course: inform, screen, document, support, and escalate within scope.</w:t>
      </w:r>
    </w:p>
    <w:p>
      <w:pPr>
        <w:pStyle w:val="ListBullet"/>
      </w:pPr>
      <w:r>
        <w:t>Treat this manual as a working academic draft. Faculty examples, case images, worksheets, and assessment rubrics can be layered onto this text as the academy evolves.</w:t>
      </w:r>
    </w:p>
    <w:p>
      <w:pPr>
        <w:pStyle w:val="Heading2"/>
      </w:pPr>
      <w:r>
        <w:t>Volume 1 structure at a glance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94"/>
            <w:vAlign w:val="center"/>
            <w:tcMar>
              <w:top w:w="80" w:type="dxa"/>
              <w:start w:w="110" w:type="dxa"/>
              <w:bottom w:w="80" w:type="dxa"/>
              <w:end w:w="110" w:type="dxa"/>
            </w:tcMar>
            <w:shd w:fill="DCE6F1"/>
          </w:tcPr>
          <w:p>
            <w:pPr>
              <w:spacing w:before="20" w:after="20" w:line="264" w:lineRule="auto"/>
            </w:pPr>
            <w:r>
              <w:rPr>
                <w:rFonts w:ascii="Aptos" w:hAnsi="Aptos" w:eastAsia="Aptos"/>
                <w:b/>
                <w:color w:val="143B5D"/>
                <w:sz w:val="19"/>
              </w:rPr>
              <w:t>Week</w:t>
            </w:r>
          </w:p>
        </w:tc>
        <w:tc>
          <w:tcPr>
            <w:tcW w:type="dxa" w:w="2268"/>
            <w:vAlign w:val="center"/>
            <w:tcMar>
              <w:top w:w="80" w:type="dxa"/>
              <w:start w:w="110" w:type="dxa"/>
              <w:bottom w:w="80" w:type="dxa"/>
              <w:end w:w="110" w:type="dxa"/>
            </w:tcMar>
            <w:shd w:fill="DCE6F1"/>
          </w:tcPr>
          <w:p>
            <w:pPr>
              <w:spacing w:before="20" w:after="20" w:line="264" w:lineRule="auto"/>
            </w:pPr>
            <w:r>
              <w:rPr>
                <w:rFonts w:ascii="Aptos" w:hAnsi="Aptos" w:eastAsia="Aptos"/>
                <w:b/>
                <w:color w:val="143B5D"/>
                <w:sz w:val="19"/>
              </w:rPr>
              <w:t>Theme</w:t>
            </w:r>
          </w:p>
        </w:tc>
        <w:tc>
          <w:tcPr>
            <w:tcW w:type="dxa" w:w="3515"/>
            <w:vAlign w:val="center"/>
            <w:tcMar>
              <w:top w:w="80" w:type="dxa"/>
              <w:start w:w="110" w:type="dxa"/>
              <w:bottom w:w="80" w:type="dxa"/>
              <w:end w:w="110" w:type="dxa"/>
            </w:tcMar>
            <w:shd w:fill="DCE6F1"/>
          </w:tcPr>
          <w:p>
            <w:pPr>
              <w:spacing w:before="20" w:after="20" w:line="264" w:lineRule="auto"/>
            </w:pPr>
            <w:r>
              <w:rPr>
                <w:rFonts w:ascii="Aptos" w:hAnsi="Aptos" w:eastAsia="Aptos"/>
                <w:b/>
                <w:color w:val="143B5D"/>
                <w:sz w:val="19"/>
              </w:rPr>
              <w:t>Core learning focus</w:t>
            </w:r>
          </w:p>
        </w:tc>
        <w:tc>
          <w:tcPr>
            <w:tcW w:type="dxa" w:w="2324"/>
            <w:vAlign w:val="center"/>
            <w:tcMar>
              <w:top w:w="80" w:type="dxa"/>
              <w:start w:w="110" w:type="dxa"/>
              <w:bottom w:w="80" w:type="dxa"/>
              <w:end w:w="110" w:type="dxa"/>
            </w:tcMar>
            <w:shd w:fill="DCE6F1"/>
          </w:tcPr>
          <w:p>
            <w:pPr>
              <w:spacing w:before="20" w:after="20" w:line="264" w:lineRule="auto"/>
            </w:pPr>
            <w:r>
              <w:rPr>
                <w:rFonts w:ascii="Aptos" w:hAnsi="Aptos" w:eastAsia="Aptos"/>
                <w:b/>
                <w:color w:val="143B5D"/>
                <w:sz w:val="19"/>
              </w:rPr>
              <w:t>Primary outcome</w:t>
            </w:r>
          </w:p>
        </w:tc>
      </w:tr>
      <w:tr>
        <w:tc>
          <w:tcPr>
            <w:tcW w:type="dxa" w:w="794"/>
            <w:vAlign w:val="center"/>
            <w:tcMar>
              <w:top w:w="80" w:type="dxa"/>
              <w:start w:w="110" w:type="dxa"/>
              <w:bottom w:w="80" w:type="dxa"/>
              <w:end w:w="110" w:type="dxa"/>
            </w:tcMar>
          </w:tcPr>
          <w:p>
            <w:pPr>
              <w:spacing w:before="20" w:after="20" w:line="264" w:lineRule="auto"/>
            </w:pPr>
            <w:r>
              <w:rPr>
                <w:rFonts w:ascii="Aptos" w:hAnsi="Aptos" w:eastAsia="Aptos"/>
                <w:sz w:val="19"/>
              </w:rPr>
              <w:t>1</w:t>
            </w:r>
          </w:p>
        </w:tc>
        <w:tc>
          <w:tcPr>
            <w:tcW w:type="dxa" w:w="2268"/>
            <w:vAlign w:val="center"/>
            <w:tcMar>
              <w:top w:w="80" w:type="dxa"/>
              <w:start w:w="110" w:type="dxa"/>
              <w:bottom w:w="80" w:type="dxa"/>
              <w:end w:w="110" w:type="dxa"/>
            </w:tcMar>
          </w:tcPr>
          <w:p>
            <w:pPr>
              <w:spacing w:before="20" w:after="20" w:line="264" w:lineRule="auto"/>
            </w:pPr>
            <w:r>
              <w:rPr>
                <w:rFonts w:ascii="Aptos" w:hAnsi="Aptos" w:eastAsia="Aptos"/>
                <w:sz w:val="19"/>
              </w:rPr>
              <w:t>The modern clinic and the role of the consultant/nurse</w:t>
            </w:r>
          </w:p>
        </w:tc>
        <w:tc>
          <w:tcPr>
            <w:tcW w:type="dxa" w:w="3515"/>
            <w:vAlign w:val="center"/>
            <w:tcMar>
              <w:top w:w="80" w:type="dxa"/>
              <w:start w:w="110" w:type="dxa"/>
              <w:bottom w:w="80" w:type="dxa"/>
              <w:end w:w="110" w:type="dxa"/>
            </w:tcMar>
          </w:tcPr>
          <w:p>
            <w:pPr>
              <w:spacing w:before="20" w:after="20" w:line="264" w:lineRule="auto"/>
            </w:pPr>
            <w:r>
              <w:rPr>
                <w:rFonts w:ascii="Aptos" w:hAnsi="Aptos" w:eastAsia="Aptos"/>
                <w:sz w:val="19"/>
              </w:rPr>
              <w:t>Clinic ecosystem, patient journey, role clarity, consultation risk</w:t>
            </w:r>
          </w:p>
        </w:tc>
        <w:tc>
          <w:tcPr>
            <w:tcW w:type="dxa" w:w="2324"/>
            <w:vAlign w:val="center"/>
            <w:tcMar>
              <w:top w:w="80" w:type="dxa"/>
              <w:start w:w="110" w:type="dxa"/>
              <w:bottom w:w="80" w:type="dxa"/>
              <w:end w:w="110" w:type="dxa"/>
            </w:tcMar>
          </w:tcPr>
          <w:p>
            <w:pPr>
              <w:spacing w:before="20" w:after="20" w:line="264" w:lineRule="auto"/>
            </w:pPr>
            <w:r>
              <w:rPr>
                <w:rFonts w:ascii="Aptos" w:hAnsi="Aptos" w:eastAsia="Aptos"/>
                <w:sz w:val="19"/>
              </w:rPr>
              <w:t>Understands where the non-doctor role begins, ends, and influences outcomes</w:t>
            </w:r>
          </w:p>
        </w:tc>
      </w:tr>
      <w:tr>
        <w:tc>
          <w:tcPr>
            <w:tcW w:type="dxa" w:w="794"/>
            <w:vAlign w:val="center"/>
            <w:tcMar>
              <w:top w:w="80" w:type="dxa"/>
              <w:start w:w="110" w:type="dxa"/>
              <w:bottom w:w="80" w:type="dxa"/>
              <w:end w:w="110" w:type="dxa"/>
            </w:tcMar>
          </w:tcPr>
          <w:p>
            <w:pPr>
              <w:spacing w:before="20" w:after="20" w:line="264" w:lineRule="auto"/>
            </w:pPr>
            <w:r>
              <w:rPr>
                <w:rFonts w:ascii="Aptos" w:hAnsi="Aptos" w:eastAsia="Aptos"/>
                <w:sz w:val="19"/>
              </w:rPr>
              <w:t>2</w:t>
            </w:r>
          </w:p>
        </w:tc>
        <w:tc>
          <w:tcPr>
            <w:tcW w:type="dxa" w:w="2268"/>
            <w:vAlign w:val="center"/>
            <w:tcMar>
              <w:top w:w="80" w:type="dxa"/>
              <w:start w:w="110" w:type="dxa"/>
              <w:bottom w:w="80" w:type="dxa"/>
              <w:end w:w="110" w:type="dxa"/>
            </w:tcMar>
          </w:tcPr>
          <w:p>
            <w:pPr>
              <w:spacing w:before="20" w:after="20" w:line="264" w:lineRule="auto"/>
            </w:pPr>
            <w:r>
              <w:rPr>
                <w:rFonts w:ascii="Aptos" w:hAnsi="Aptos" w:eastAsia="Aptos"/>
                <w:sz w:val="19"/>
              </w:rPr>
              <w:t>Scope, ethics, and professional responsibility</w:t>
            </w:r>
          </w:p>
        </w:tc>
        <w:tc>
          <w:tcPr>
            <w:tcW w:type="dxa" w:w="3515"/>
            <w:vAlign w:val="center"/>
            <w:tcMar>
              <w:top w:w="80" w:type="dxa"/>
              <w:start w:w="110" w:type="dxa"/>
              <w:bottom w:w="80" w:type="dxa"/>
              <w:end w:w="110" w:type="dxa"/>
            </w:tcMar>
          </w:tcPr>
          <w:p>
            <w:pPr>
              <w:spacing w:before="20" w:after="20" w:line="264" w:lineRule="auto"/>
            </w:pPr>
            <w:r>
              <w:rPr>
                <w:rFonts w:ascii="Aptos" w:hAnsi="Aptos" w:eastAsia="Aptos"/>
                <w:sz w:val="19"/>
              </w:rPr>
              <w:t>Boundaries, lawful practice, consent support, honest communication</w:t>
            </w:r>
          </w:p>
        </w:tc>
        <w:tc>
          <w:tcPr>
            <w:tcW w:type="dxa" w:w="2324"/>
            <w:vAlign w:val="center"/>
            <w:tcMar>
              <w:top w:w="80" w:type="dxa"/>
              <w:start w:w="110" w:type="dxa"/>
              <w:bottom w:w="80" w:type="dxa"/>
              <w:end w:w="110" w:type="dxa"/>
            </w:tcMar>
          </w:tcPr>
          <w:p>
            <w:pPr>
              <w:spacing w:before="20" w:after="20" w:line="264" w:lineRule="auto"/>
            </w:pPr>
            <w:r>
              <w:rPr>
                <w:rFonts w:ascii="Aptos" w:hAnsi="Aptos" w:eastAsia="Aptos"/>
                <w:sz w:val="19"/>
              </w:rPr>
              <w:t>Can recognise safe versus unsafe consultation behaviour</w:t>
            </w:r>
          </w:p>
        </w:tc>
      </w:tr>
      <w:tr>
        <w:tc>
          <w:tcPr>
            <w:tcW w:type="dxa" w:w="794"/>
            <w:vAlign w:val="center"/>
            <w:tcMar>
              <w:top w:w="80" w:type="dxa"/>
              <w:start w:w="110" w:type="dxa"/>
              <w:bottom w:w="80" w:type="dxa"/>
              <w:end w:w="110" w:type="dxa"/>
            </w:tcMar>
          </w:tcPr>
          <w:p>
            <w:pPr>
              <w:spacing w:before="20" w:after="20" w:line="264" w:lineRule="auto"/>
            </w:pPr>
            <w:r>
              <w:rPr>
                <w:rFonts w:ascii="Aptos" w:hAnsi="Aptos" w:eastAsia="Aptos"/>
                <w:sz w:val="19"/>
              </w:rPr>
              <w:t>3</w:t>
            </w:r>
          </w:p>
        </w:tc>
        <w:tc>
          <w:tcPr>
            <w:tcW w:type="dxa" w:w="2268"/>
            <w:vAlign w:val="center"/>
            <w:tcMar>
              <w:top w:w="80" w:type="dxa"/>
              <w:start w:w="110" w:type="dxa"/>
              <w:bottom w:w="80" w:type="dxa"/>
              <w:end w:w="110" w:type="dxa"/>
            </w:tcMar>
          </w:tcPr>
          <w:p>
            <w:pPr>
              <w:spacing w:before="20" w:after="20" w:line="264" w:lineRule="auto"/>
            </w:pPr>
            <w:r>
              <w:rPr>
                <w:rFonts w:ascii="Aptos" w:hAnsi="Aptos" w:eastAsia="Aptos"/>
                <w:sz w:val="19"/>
              </w:rPr>
              <w:t>Hair and scalp science foundations</w:t>
            </w:r>
          </w:p>
        </w:tc>
        <w:tc>
          <w:tcPr>
            <w:tcW w:type="dxa" w:w="3515"/>
            <w:vAlign w:val="center"/>
            <w:tcMar>
              <w:top w:w="80" w:type="dxa"/>
              <w:start w:w="110" w:type="dxa"/>
              <w:bottom w:w="80" w:type="dxa"/>
              <w:end w:w="110" w:type="dxa"/>
            </w:tcMar>
          </w:tcPr>
          <w:p>
            <w:pPr>
              <w:spacing w:before="20" w:after="20" w:line="264" w:lineRule="auto"/>
            </w:pPr>
            <w:r>
              <w:rPr>
                <w:rFonts w:ascii="Aptos" w:hAnsi="Aptos" w:eastAsia="Aptos"/>
                <w:sz w:val="19"/>
              </w:rPr>
              <w:t>Follicle structure, growth cycle, density, calibre, donor concepts</w:t>
            </w:r>
          </w:p>
        </w:tc>
        <w:tc>
          <w:tcPr>
            <w:tcW w:type="dxa" w:w="2324"/>
            <w:vAlign w:val="center"/>
            <w:tcMar>
              <w:top w:w="80" w:type="dxa"/>
              <w:start w:w="110" w:type="dxa"/>
              <w:bottom w:w="80" w:type="dxa"/>
              <w:end w:w="110" w:type="dxa"/>
            </w:tcMar>
          </w:tcPr>
          <w:p>
            <w:pPr>
              <w:spacing w:before="20" w:after="20" w:line="264" w:lineRule="auto"/>
            </w:pPr>
            <w:r>
              <w:rPr>
                <w:rFonts w:ascii="Aptos" w:hAnsi="Aptos" w:eastAsia="Aptos"/>
                <w:sz w:val="19"/>
              </w:rPr>
              <w:t>Can explain core science in clear patient-friendly language</w:t>
            </w:r>
          </w:p>
        </w:tc>
      </w:tr>
      <w:tr>
        <w:tc>
          <w:tcPr>
            <w:tcW w:type="dxa" w:w="794"/>
            <w:vAlign w:val="center"/>
            <w:tcMar>
              <w:top w:w="80" w:type="dxa"/>
              <w:start w:w="110" w:type="dxa"/>
              <w:bottom w:w="80" w:type="dxa"/>
              <w:end w:w="110" w:type="dxa"/>
            </w:tcMar>
          </w:tcPr>
          <w:p>
            <w:pPr>
              <w:spacing w:before="20" w:after="20" w:line="264" w:lineRule="auto"/>
            </w:pPr>
            <w:r>
              <w:rPr>
                <w:rFonts w:ascii="Aptos" w:hAnsi="Aptos" w:eastAsia="Aptos"/>
                <w:sz w:val="19"/>
              </w:rPr>
              <w:t>4</w:t>
            </w:r>
          </w:p>
        </w:tc>
        <w:tc>
          <w:tcPr>
            <w:tcW w:type="dxa" w:w="2268"/>
            <w:vAlign w:val="center"/>
            <w:tcMar>
              <w:top w:w="80" w:type="dxa"/>
              <w:start w:w="110" w:type="dxa"/>
              <w:bottom w:w="80" w:type="dxa"/>
              <w:end w:w="110" w:type="dxa"/>
            </w:tcMar>
          </w:tcPr>
          <w:p>
            <w:pPr>
              <w:spacing w:before="20" w:after="20" w:line="264" w:lineRule="auto"/>
            </w:pPr>
            <w:r>
              <w:rPr>
                <w:rFonts w:ascii="Aptos" w:hAnsi="Aptos" w:eastAsia="Aptos"/>
                <w:sz w:val="19"/>
              </w:rPr>
              <w:t>Common presentations and red flags</w:t>
            </w:r>
          </w:p>
        </w:tc>
        <w:tc>
          <w:tcPr>
            <w:tcW w:type="dxa" w:w="3515"/>
            <w:vAlign w:val="center"/>
            <w:tcMar>
              <w:top w:w="80" w:type="dxa"/>
              <w:start w:w="110" w:type="dxa"/>
              <w:bottom w:w="80" w:type="dxa"/>
              <w:end w:w="110" w:type="dxa"/>
            </w:tcMar>
          </w:tcPr>
          <w:p>
            <w:pPr>
              <w:spacing w:before="20" w:after="20" w:line="264" w:lineRule="auto"/>
            </w:pPr>
            <w:r>
              <w:rPr>
                <w:rFonts w:ascii="Aptos" w:hAnsi="Aptos" w:eastAsia="Aptos"/>
                <w:sz w:val="19"/>
              </w:rPr>
              <w:t>AGA, female pattern loss, telogen effluvium, escalation triggers</w:t>
            </w:r>
          </w:p>
        </w:tc>
        <w:tc>
          <w:tcPr>
            <w:tcW w:type="dxa" w:w="2324"/>
            <w:vAlign w:val="center"/>
            <w:tcMar>
              <w:top w:w="80" w:type="dxa"/>
              <w:start w:w="110" w:type="dxa"/>
              <w:bottom w:w="80" w:type="dxa"/>
              <w:end w:w="110" w:type="dxa"/>
            </w:tcMar>
          </w:tcPr>
          <w:p>
            <w:pPr>
              <w:spacing w:before="20" w:after="20" w:line="264" w:lineRule="auto"/>
            </w:pPr>
            <w:r>
              <w:rPr>
                <w:rFonts w:ascii="Aptos" w:hAnsi="Aptos" w:eastAsia="Aptos"/>
                <w:sz w:val="19"/>
              </w:rPr>
              <w:t>Can recognise patterns and identify when medical review is required</w:t>
            </w:r>
          </w:p>
        </w:tc>
      </w:tr>
    </w:tbl>
    <w:p>
      <w:r>
        <w:br w:type="page"/>
      </w:r>
    </w:p>
    <w:p>
      <w:pPr>
        <w:pStyle w:val="Heading1"/>
      </w:pPr>
      <w:r>
        <w:t>Week 1</w:t>
      </w:r>
    </w:p>
    <w:p>
      <w:pPr>
        <w:pStyle w:val="Heading2"/>
      </w:pPr>
      <w:r>
        <w:t>The Modern Hair Restoration Clinic and the Role of the Consultant or Nurse</w:t>
      </w:r>
    </w:p>
    <w:tbl>
      <w:tblPr>
        <w:tblW w:type="auto" w:w="0"/>
        <w:jc w:val="center"/>
        <w:tblLook w:firstColumn="1" w:firstRow="1" w:lastColumn="0" w:lastRow="0" w:noHBand="0" w:noVBand="1" w:val="04A0"/>
      </w:tblPr>
      <w:tblGrid>
        <w:gridCol w:w="9746"/>
      </w:tblGrid>
      <w:tr>
        <w:tc>
          <w:tcPr>
            <w:tcW w:type="dxa" w:w="9746"/>
            <w:shd w:fill="EEF5FB"/>
            <w:tcMar>
              <w:top w:w="120" w:type="dxa"/>
              <w:start w:w="140" w:type="dxa"/>
              <w:bottom w:w="120" w:type="dxa"/>
              <w:end w:w="140" w:type="dxa"/>
            </w:tcMar>
          </w:tcPr>
          <w:p>
            <w:pPr>
              <w:spacing w:after="0"/>
            </w:pPr>
            <w:r>
              <w:rPr>
                <w:rFonts w:ascii="Aptos" w:hAnsi="Aptos" w:eastAsia="Aptos"/>
                <w:b/>
                <w:color w:val="143B5D"/>
                <w:sz w:val="20"/>
              </w:rPr>
              <w:t xml:space="preserve">Weekly purpose: </w:t>
            </w:r>
            <w:r>
              <w:rPr>
                <w:rFonts w:ascii="Aptos" w:hAnsi="Aptos" w:eastAsia="Aptos"/>
                <w:sz w:val="20"/>
              </w:rPr>
              <w:t>To establish the structure of the modern hair restoration clinic, define the responsibilities of patient-facing non-doctor roles, and explain why the quality of the pre-doctor consultation stage has such a powerful influence on patient outcomes.</w:t>
            </w:r>
          </w:p>
        </w:tc>
      </w:tr>
    </w:tbl>
    <w:p>
      <w:pPr>
        <w:pStyle w:val="Heading2"/>
      </w:pPr>
      <w:r>
        <w:t>Detailed teaching content</w:t>
      </w:r>
    </w:p>
    <w:p>
      <w:pPr>
        <w:pStyle w:val="Heading3"/>
      </w:pPr>
      <w:r>
        <w:t>1.1 Why the front end of the clinic matters</w:t>
      </w:r>
    </w:p>
    <w:p>
      <w:pPr>
        <w:pStyle w:val="BodyTight"/>
      </w:pPr>
      <w:r>
        <w:t>When people think about quality in hair restoration, they often picture the operating room: the surgeon, the extraction technique, the implantation pattern, and the final cosmetic result. Yet many of the success or failure points in a patient journey are already in motion before a doctor ever meets the patient. The first enquiry, the first conversation, the first set of photographs, and the first explanation of what is or is not possible all shape expectation, trust, and decision-making.</w:t>
      </w:r>
    </w:p>
    <w:p>
      <w:pPr>
        <w:pStyle w:val="BodyTight"/>
      </w:pPr>
      <w:r>
        <w:t>A weak consultation process creates risk in several directions. It can make unsuitable patients feel prematurely encouraged. It can create unrealistic expectations about density, timelines, donor availability, or guaranteed outcomes. It can also undermine the doctor later, because the patient may arrive at medical review with fixed assumptions formed by earlier conversations. Once an inaccurate expectation has been planted, correcting it becomes harder and emotionally more costly.</w:t>
      </w:r>
    </w:p>
    <w:p>
      <w:pPr>
        <w:pStyle w:val="BodyTight"/>
      </w:pPr>
      <w:r>
        <w:t>For this reason, patient-facing staff need more than enthusiasm or persuasive skills. They need structured judgement, discipline in language, clinical awareness, and a mature understanding of where their role sits within the wider treatment pathway.</w:t>
      </w:r>
    </w:p>
    <w:p>
      <w:pPr>
        <w:pStyle w:val="Heading3"/>
      </w:pPr>
      <w:r>
        <w:t>1.2 The clinic as a coordinated care system</w:t>
      </w:r>
    </w:p>
    <w:p>
      <w:pPr>
        <w:pStyle w:val="BodyTight"/>
      </w:pPr>
      <w:r>
        <w:t>A high-functioning hair restoration clinic should be viewed as a coordinated care system rather than a chain of isolated tasks. Every interaction is linked to what comes next. The receptionist or first-response team shapes tone and trust. The consultant or coordinator structures early understanding. The nurse may gather history, prepare images, reinforce education, and support follow-up. The doctor or surgeon brings diagnostic authority, medical decision-making, and treatment planning. Operations staff support scheduling, logistics, and patient communication. Each part matters, but the patient experiences them as one organisation.</w:t>
      </w:r>
    </w:p>
    <w:p>
      <w:pPr>
        <w:pStyle w:val="BodyTight"/>
      </w:pPr>
      <w:r>
        <w:t>Where clinics often fail is in allowing the patient journey to become fragmented. One person promises something, another softens it, a third person contradicts it, and the patient is left unsure whom to trust. Good systems reduce this fragmentation. They rely on shared language, shared documentation standards, shared ethical principles, and clear escalation pathways. In this model, consultants and nurses do not compete with the doctor’s role. They strengthen it by preparing the patient properly and forwarding accurate, clinically useful information.</w:t>
      </w:r>
    </w:p>
    <w:p>
      <w:pPr>
        <w:pStyle w:val="BodyTight"/>
      </w:pPr>
      <w:r>
        <w:t>This means the consultant or nurse is not an informal salesperson sitting outside the clinical framework. In a strong clinic, they are part of an integrated patient guidance system.</w:t>
      </w:r>
    </w:p>
    <w:p>
      <w:pPr>
        <w:pStyle w:val="Heading3"/>
      </w:pPr>
      <w:r>
        <w:t>1.3 Distinguishing the main roles in a hair clinic</w:t>
      </w:r>
    </w:p>
    <w:p>
      <w:pPr>
        <w:pStyle w:val="BodyTight"/>
      </w:pPr>
      <w:r>
        <w:t>The consultant role is usually centred on patient communication, early education, expectation setting, gathering history, supporting treatment pathway understanding, and coordinating next steps. In some clinics, consultants also assist with photography, financing conversations, and conversion follow-up. A good consultant is not merely someone who can persuade. A good consultant can listen, structure information, identify uncertainty, and avoid speaking with false clinical authority.</w:t>
      </w:r>
    </w:p>
    <w:p>
      <w:pPr>
        <w:pStyle w:val="BodyTight"/>
      </w:pPr>
      <w:r>
        <w:t>The nurse role may overlap with consultation support but carries additional responsibilities, particularly in clinical preparation, peri-operative support, patient education, follow-up, documentation, and escalation of concerns. In some settings, nurses also perform PRP, microneedling, or other protocol-based treatments. However, being a nurse does not remove the need for explicit scope boundaries in a specialist setting such as hair restoration.</w:t>
      </w:r>
    </w:p>
    <w:p>
      <w:pPr>
        <w:pStyle w:val="BodyTight"/>
      </w:pPr>
      <w:r>
        <w:t>The trichologist role, where present, may sit between general patient guidance and deeper non-surgical assessment, depending on jurisdiction and training. The doctor or surgeon holds the central medical responsibility for diagnosis, prescribing, procedural decisions, and definitive treatment planning. Coordinators and administrative staff support logistics, continuity, and communication. These distinctions need to be understood clearly so that patients receive guidance without confusion about authority.</w:t>
      </w:r>
    </w:p>
    <w:p>
      <w:pPr>
        <w:pStyle w:val="Heading3"/>
      </w:pPr>
      <w:r>
        <w:t>1.4 The patient journey in practical terms</w:t>
      </w:r>
    </w:p>
    <w:p>
      <w:pPr>
        <w:pStyle w:val="BodyTight"/>
      </w:pPr>
      <w:r>
        <w:t>A typical patient journey may begin with a website enquiry, phone call, or message requesting information about hair loss or surgery. The first response already matters. Is the tone calm and professional? Is the patient encouraged to share background? Are limitations acknowledged, or is the conversation immediately pushed toward booking? The early tone frames the entire relationship.</w:t>
      </w:r>
    </w:p>
    <w:p>
      <w:pPr>
        <w:pStyle w:val="BodyTight"/>
      </w:pPr>
      <w:r>
        <w:t>The next stage commonly involves an initial consultation or information-gathering interaction. This is where patient-facing staff can make a major positive contribution. A well-run consultation clarifies the patient’s concerns, history, prior treatments, goals, emotional drivers, and expectations. It also identifies missing information, red flags, and the need for doctor review. A poor consultation, by contrast, skips over uncertainty and moves too quickly toward pricing, graft counts, or promises.</w:t>
      </w:r>
    </w:p>
    <w:p>
      <w:pPr>
        <w:pStyle w:val="BodyTight"/>
      </w:pPr>
      <w:r>
        <w:t>After this stage, the doctor consultation should become stronger, not weaker, because the patient arrives better informed and the doctor receives a more organised case summary. Following medical review, the patient may proceed into treatment, monitoring, additional testing, or watchful follow-up. Pre-operative support, surgery day preparation, and post-operative communication then depend on the quality of the foundation laid at the beginning.</w:t>
      </w:r>
    </w:p>
    <w:p>
      <w:pPr>
        <w:pStyle w:val="Heading3"/>
      </w:pPr>
      <w:r>
        <w:t>1.5 What excellence looks like in this role</w:t>
      </w:r>
    </w:p>
    <w:p>
      <w:pPr>
        <w:pStyle w:val="BodyTight"/>
      </w:pPr>
      <w:r>
        <w:t>Excellence in a consultant or nurse support role is not defined by how quickly a person moves a patient toward treatment. It is defined by the quality of the patient’s understanding, the precision of communication, the honesty of expectation setting, and the reliability of documentation and escalation.</w:t>
      </w:r>
    </w:p>
    <w:p>
      <w:pPr>
        <w:pStyle w:val="BodyTight"/>
      </w:pPr>
      <w:r>
        <w:t>A strong patient-facing professional is calm rather than pushy, structured rather than improvisational, accurate rather than overconfident, and respectful of the doctor’s role rather than attempting to replace it. They can explain concepts simply without becoming simplistic. They can identify when a patient is uncertain, distressed, unrealistic, or medically complex. They can say, with maturity, that a doctor needs to review the case before a proper recommendation can be made.</w:t>
      </w:r>
    </w:p>
    <w:p>
      <w:pPr>
        <w:pStyle w:val="BodyTight"/>
      </w:pPr>
      <w:r>
        <w:t>In short, excellence means becoming a trusted extension of the clinic’s clinical integrity rather than merely its commercial front desk.</w:t>
      </w:r>
    </w:p>
    <w:p>
      <w:pPr>
        <w:pStyle w:val="Heading2"/>
      </w:pPr>
      <w:r>
        <w:t>Learning objectives</w:t>
      </w:r>
    </w:p>
    <w:p>
      <w:pPr>
        <w:pStyle w:val="ListBullet"/>
      </w:pPr>
      <w:r>
        <w:t>Describe the modern hair restoration clinic as an integrated patient-care system.</w:t>
      </w:r>
    </w:p>
    <w:p>
      <w:pPr>
        <w:pStyle w:val="ListBullet"/>
      </w:pPr>
      <w:r>
        <w:t>Differentiate the responsibilities of consultants, nurses, coordinators, trichologists, and doctors.</w:t>
      </w:r>
    </w:p>
    <w:p>
      <w:pPr>
        <w:pStyle w:val="ListBullet"/>
      </w:pPr>
      <w:r>
        <w:t>Explain why the quality of the pre-doctor consultation stage affects later patient trust, satisfaction, and outcomes.</w:t>
      </w:r>
    </w:p>
    <w:p>
      <w:pPr>
        <w:pStyle w:val="ListBullet"/>
      </w:pPr>
      <w:r>
        <w:t>Identify the characteristics of a strong patient-facing professional in hair restoration.</w:t>
      </w:r>
    </w:p>
    <w:p>
      <w:pPr>
        <w:pStyle w:val="Heading2"/>
      </w:pPr>
      <w:r>
        <w:t>Practice activity</w:t>
      </w:r>
    </w:p>
    <w:p>
      <w:pPr>
        <w:pStyle w:val="BodyTight"/>
      </w:pPr>
      <w:r>
        <w:t>Draw a patient-journey map from first enquiry to long-term follow-up. Mark at least five points where poor communication could create later complaints, and then write one corrective action for each point.</w:t>
      </w:r>
    </w:p>
    <w:p>
      <w:pPr>
        <w:pStyle w:val="Heading2"/>
      </w:pPr>
      <w:r>
        <w:t>Faculty teaching notes</w:t>
      </w:r>
    </w:p>
    <w:tbl>
      <w:tblPr>
        <w:tblW w:type="auto" w:w="0"/>
        <w:jc w:val="center"/>
        <w:tblLook w:firstColumn="1" w:firstRow="1" w:lastColumn="0" w:lastRow="0" w:noHBand="0" w:noVBand="1" w:val="04A0"/>
      </w:tblPr>
      <w:tblGrid>
        <w:gridCol w:w="9746"/>
      </w:tblGrid>
      <w:tr>
        <w:tc>
          <w:tcPr>
            <w:tcW w:type="dxa" w:w="9746"/>
            <w:shd w:fill="F8F6EE"/>
            <w:tcMar>
              <w:top w:w="120" w:type="dxa"/>
              <w:start w:w="140" w:type="dxa"/>
              <w:bottom w:w="120" w:type="dxa"/>
              <w:end w:w="140" w:type="dxa"/>
            </w:tcMar>
          </w:tcPr>
          <w:p>
            <w:pPr>
              <w:spacing w:after="0"/>
            </w:pPr>
            <w:r>
              <w:rPr>
                <w:rFonts w:ascii="Aptos" w:hAnsi="Aptos" w:eastAsia="Aptos"/>
                <w:b/>
                <w:color w:val="143B5D"/>
                <w:sz w:val="20"/>
              </w:rPr>
              <w:t xml:space="preserve">Faculty note: </w:t>
            </w:r>
            <w:r>
              <w:rPr>
                <w:rFonts w:ascii="Aptos" w:hAnsi="Aptos" w:eastAsia="Aptos"/>
                <w:sz w:val="20"/>
              </w:rPr>
              <w:t>Encourage discussion about how commercial pressure can distort early patient communication. Invite learners to compare patient journeys in high-trust versus high-pressure clinics.</w:t>
            </w:r>
          </w:p>
        </w:tc>
      </w:tr>
    </w:tbl>
    <w:p>
      <w:pPr>
        <w:pStyle w:val="Heading2"/>
      </w:pPr>
      <w:r>
        <w:t>Key takeaway</w:t>
      </w:r>
    </w:p>
    <w:tbl>
      <w:tblPr>
        <w:tblW w:type="auto" w:w="0"/>
        <w:jc w:val="center"/>
        <w:tblLook w:firstColumn="1" w:firstRow="1" w:lastColumn="0" w:lastRow="0" w:noHBand="0" w:noVBand="1" w:val="04A0"/>
      </w:tblPr>
      <w:tblGrid>
        <w:gridCol w:w="9746"/>
      </w:tblGrid>
      <w:tr>
        <w:tc>
          <w:tcPr>
            <w:tcW w:type="dxa" w:w="9746"/>
            <w:shd w:fill="F3F8F1"/>
            <w:tcMar>
              <w:top w:w="120" w:type="dxa"/>
              <w:start w:w="140" w:type="dxa"/>
              <w:bottom w:w="120" w:type="dxa"/>
              <w:end w:w="140" w:type="dxa"/>
            </w:tcMar>
          </w:tcPr>
          <w:p>
            <w:pPr>
              <w:spacing w:after="0"/>
            </w:pPr>
            <w:r>
              <w:rPr>
                <w:rFonts w:ascii="Aptos" w:hAnsi="Aptos" w:eastAsia="Aptos"/>
                <w:b/>
                <w:color w:val="143B5D"/>
                <w:sz w:val="20"/>
              </w:rPr>
              <w:t xml:space="preserve">Essence of the week: </w:t>
            </w:r>
            <w:r>
              <w:rPr>
                <w:rFonts w:ascii="Aptos" w:hAnsi="Aptos" w:eastAsia="Aptos"/>
                <w:sz w:val="20"/>
              </w:rPr>
              <w:t>The consultant or nurse support role is not a substitute for the doctor. Its purpose is to organise, educate, document, and prepare the patient pathway so medical review is safer, clearer, and more efficient.</w:t>
            </w:r>
          </w:p>
        </w:tc>
      </w:tr>
    </w:tbl>
    <w:p>
      <w:r>
        <w:br w:type="page"/>
      </w:r>
    </w:p>
    <w:p>
      <w:pPr>
        <w:pStyle w:val="Heading1"/>
      </w:pPr>
      <w:r>
        <w:t>Week 2</w:t>
      </w:r>
    </w:p>
    <w:p>
      <w:pPr>
        <w:pStyle w:val="Heading2"/>
      </w:pPr>
      <w:r>
        <w:t>Scope of Practice, Ethics, and Professional Responsibility</w:t>
      </w:r>
    </w:p>
    <w:tbl>
      <w:tblPr>
        <w:tblW w:type="auto" w:w="0"/>
        <w:jc w:val="center"/>
        <w:tblLook w:firstColumn="1" w:firstRow="1" w:lastColumn="0" w:lastRow="0" w:noHBand="0" w:noVBand="1" w:val="04A0"/>
      </w:tblPr>
      <w:tblGrid>
        <w:gridCol w:w="9746"/>
      </w:tblGrid>
      <w:tr>
        <w:tc>
          <w:tcPr>
            <w:tcW w:type="dxa" w:w="9746"/>
            <w:shd w:fill="EEF5FB"/>
            <w:tcMar>
              <w:top w:w="120" w:type="dxa"/>
              <w:start w:w="140" w:type="dxa"/>
              <w:bottom w:w="120" w:type="dxa"/>
              <w:end w:w="140" w:type="dxa"/>
            </w:tcMar>
          </w:tcPr>
          <w:p>
            <w:pPr>
              <w:spacing w:after="0"/>
            </w:pPr>
            <w:r>
              <w:rPr>
                <w:rFonts w:ascii="Aptos" w:hAnsi="Aptos" w:eastAsia="Aptos"/>
                <w:b/>
                <w:color w:val="143B5D"/>
                <w:sz w:val="20"/>
              </w:rPr>
              <w:t xml:space="preserve">Weekly purpose: </w:t>
            </w:r>
            <w:r>
              <w:rPr>
                <w:rFonts w:ascii="Aptos" w:hAnsi="Aptos" w:eastAsia="Aptos"/>
                <w:sz w:val="20"/>
              </w:rPr>
              <w:t>To teach learners how to work within lawful and professional boundaries, communicate ethically, support informed decision-making, and avoid the risks created when non-doctor staff speak beyond their authority.</w:t>
            </w:r>
          </w:p>
        </w:tc>
      </w:tr>
    </w:tbl>
    <w:p>
      <w:pPr>
        <w:pStyle w:val="Heading2"/>
      </w:pPr>
      <w:r>
        <w:t>Detailed teaching content</w:t>
      </w:r>
    </w:p>
    <w:p>
      <w:pPr>
        <w:pStyle w:val="Heading3"/>
      </w:pPr>
      <w:r>
        <w:t>2.1 Why scope of practice is central to safe care</w:t>
      </w:r>
    </w:p>
    <w:p>
      <w:pPr>
        <w:pStyle w:val="BodyTight"/>
      </w:pPr>
      <w:r>
        <w:t>In specialist clinical settings, one of the most dangerous habits is speaking with greater authority than one actually holds. In hair restoration this can happen subtly. A consultant may begin by explaining a pattern of loss and then slide into sounding diagnostic. A nurse may become familiar with common medications and begin giving advice that should be doctor-led. A coordinator may repeat what has been said in past cases and present it as a near-certainty in a new case. None of these actions necessarily come from bad intent. Often they arise from enthusiasm, familiarity, or pressure to be helpful. But they still create risk.</w:t>
      </w:r>
    </w:p>
    <w:p>
      <w:pPr>
        <w:pStyle w:val="BodyTight"/>
      </w:pPr>
      <w:r>
        <w:t>Scope of practice means understanding the boundaries of what your training, role, regulation, and workplace governance lawfully and responsibly permit you to do. It includes not only hands-on tasks, but also the language you use, the certainty you imply, and the recommendations you appear to make. A person can overstep scope verbally long before they overstep it procedurally.</w:t>
      </w:r>
    </w:p>
    <w:p>
      <w:pPr>
        <w:pStyle w:val="BodyTight"/>
      </w:pPr>
      <w:r>
        <w:t>For the consultant and nurse academy, scope of practice is not a side topic. It is the backbone of credibility. The more clearly a person understands their boundaries, the more safely and professionally they can operate within them.</w:t>
      </w:r>
    </w:p>
    <w:p>
      <w:pPr>
        <w:pStyle w:val="Heading3"/>
      </w:pPr>
      <w:r>
        <w:t>2.2 Education, screening, triage, and diagnosis are not the same</w:t>
      </w:r>
    </w:p>
    <w:p>
      <w:pPr>
        <w:pStyle w:val="BodyTight"/>
      </w:pPr>
      <w:r>
        <w:t>Patient-facing staff are often expected to educate. Education means explaining concepts: how the hair cycle works, what donor limitations mean, why maintenance may be important, what common treatment categories exist, and why doctor review may be necessary. Education is valuable and appropriate when it is clear, accurate, and framed without false certainty.</w:t>
      </w:r>
    </w:p>
    <w:p>
      <w:pPr>
        <w:pStyle w:val="BodyTight"/>
      </w:pPr>
      <w:r>
        <w:t>Screening and triage are also appropriate functions within many non-doctor roles. These involve gathering relevant background information, identifying obvious suitability concerns, spotting red flags, and ensuring the case reaches the right clinician with the right level of urgency. Screening is not the same as deciding the diagnosis. Triage is not the same as prescribing the plan.</w:t>
      </w:r>
    </w:p>
    <w:p>
      <w:pPr>
        <w:pStyle w:val="BodyTight"/>
      </w:pPr>
      <w:r>
        <w:t>Diagnosis is a formal clinical act that requires medical judgement, integration of history, examination, sometimes tests, and responsibility for the conclusion. When patient-facing staff confuse education or triage with diagnosis, they create not only legal risk but also emotional harm. The patient may come to believe that their case has already been definitively interpreted before the doctor has even reviewed it.</w:t>
      </w:r>
    </w:p>
    <w:p>
      <w:pPr>
        <w:pStyle w:val="Heading3"/>
      </w:pPr>
      <w:r>
        <w:t>2.3 Ethics in hair restoration conversations</w:t>
      </w:r>
    </w:p>
    <w:p>
      <w:pPr>
        <w:pStyle w:val="BodyTight"/>
      </w:pPr>
      <w:r>
        <w:t>Ethics in hair restoration begins with honesty. Patients entering this field are often vulnerable. Their distress may be tied to age, confidence, relationships, work image, or previous negative experiences. This vulnerability can make them highly responsive to reassurance. The ethical danger is that reassurance can become over-reassurance. Statements meant to comfort may drift into promises that the evidence does not justify.</w:t>
      </w:r>
    </w:p>
    <w:p>
      <w:pPr>
        <w:pStyle w:val="BodyTight"/>
      </w:pPr>
      <w:r>
        <w:t>Ethical communication therefore requires disciplined honesty. A consultant or nurse should be willing to say that a result cannot be guaranteed, that a doctor needs to confirm suitability, that donor supply is finite, or that surgery may not be the best first step. This is not weak communication. It is professional communication.</w:t>
      </w:r>
    </w:p>
    <w:p>
      <w:pPr>
        <w:pStyle w:val="BodyTight"/>
      </w:pPr>
      <w:r>
        <w:t>Another ethical issue is pressure. Some clinics operate under commercial pressure to convert consultations into bookings. Yet the moment a patient feels manipulated rather than guided, trust erodes. Even if the patient proceeds, the relationship becomes fragile. A standards-based clinic aims for informed conversion rather than pressured conversion.</w:t>
      </w:r>
    </w:p>
    <w:p>
      <w:pPr>
        <w:pStyle w:val="Heading3"/>
      </w:pPr>
      <w:r>
        <w:t>2.4 Consent support versus consent substitution</w:t>
      </w:r>
    </w:p>
    <w:p>
      <w:pPr>
        <w:pStyle w:val="BodyTight"/>
      </w:pPr>
      <w:r>
        <w:t>Non-doctor staff often help prepare patients for informed consent, but they do not replace the professional responsible for obtaining it. Consent support may include explaining the sequence of care, encouraging patients to ask questions, checking that written materials have been read, clarifying practical expectations, and documenting areas of uncertainty for the doctor to address.</w:t>
      </w:r>
    </w:p>
    <w:p>
      <w:pPr>
        <w:pStyle w:val="BodyTight"/>
      </w:pPr>
      <w:r>
        <w:t>Consent substitution happens when a non-doctor effectively gives the patient the impression that the important decision has already been settled. This can happen through language such as 'you are definitely a great candidate', 'you will get this density', or 'this is exactly the right treatment for you'. Even if a doctor later reviews the case, the patient may feel that the real decision was already made in the earlier conversation.</w:t>
      </w:r>
    </w:p>
    <w:p>
      <w:pPr>
        <w:pStyle w:val="BodyTight"/>
      </w:pPr>
      <w:r>
        <w:t>Strong support staff should therefore aim to prepare the patient for a better doctor conversation rather than pre-empting it. This preserves the integrity of informed consent and protects the clinic from a fragmented decision-making process.</w:t>
      </w:r>
    </w:p>
    <w:p>
      <w:pPr>
        <w:pStyle w:val="Heading3"/>
      </w:pPr>
      <w:r>
        <w:t>2.5 Professional responsibility in difficult moments</w:t>
      </w:r>
    </w:p>
    <w:p>
      <w:pPr>
        <w:pStyle w:val="BodyTight"/>
      </w:pPr>
      <w:r>
        <w:t>Professionalism becomes most visible in difficult moments: when a patient is upset, highly anxious, angry, desperate for rapid treatment, or resistant to being told that further review is needed. In such moments, immature practitioners may either become overly soft and say what the patient wants to hear, or overly rigid and lose rapport. Mature professionalism keeps both empathy and boundaries intact.</w:t>
      </w:r>
    </w:p>
    <w:p>
      <w:pPr>
        <w:pStyle w:val="BodyTight"/>
      </w:pPr>
      <w:r>
        <w:t>A responsible patient-facing professional can acknowledge emotion without surrendering accuracy. For example, they may say: 'I can see this has been very stressful for you, and that is exactly why I want to make sure your case is reviewed properly rather than rushing to give you certainty too early.' This kind of statement combines empathy with clinical restraint.</w:t>
      </w:r>
    </w:p>
    <w:p>
      <w:pPr>
        <w:pStyle w:val="BodyTight"/>
      </w:pPr>
      <w:r>
        <w:t>Professional responsibility also includes documentation. If a patient expresses unrealistic expectations, significant distress, previous surgical complications, or pressure to proceed rapidly, those factors should be captured clearly and handed forward. Ethical behaviour is not only about what is said in the room; it is also about what is recorded for safe continuity.</w:t>
      </w:r>
    </w:p>
    <w:p>
      <w:pPr>
        <w:pStyle w:val="Heading2"/>
      </w:pPr>
      <w:r>
        <w:t>Learning objectives</w:t>
      </w:r>
    </w:p>
    <w:p>
      <w:pPr>
        <w:pStyle w:val="ListBullet"/>
      </w:pPr>
      <w:r>
        <w:t>Define scope of practice and explain why verbal overreach can be as risky as procedural overreach.</w:t>
      </w:r>
    </w:p>
    <w:p>
      <w:pPr>
        <w:pStyle w:val="ListBullet"/>
      </w:pPr>
      <w:r>
        <w:t>Differentiate education, screening, triage, consent support, and diagnosis.</w:t>
      </w:r>
    </w:p>
    <w:p>
      <w:pPr>
        <w:pStyle w:val="ListBullet"/>
      </w:pPr>
      <w:r>
        <w:t>Recognise common ethical failures in hair restoration consultations, including pressure-based communication and over-promising.</w:t>
      </w:r>
    </w:p>
    <w:p>
      <w:pPr>
        <w:pStyle w:val="ListBullet"/>
      </w:pPr>
      <w:r>
        <w:t>Use professional language that combines empathy with appropriate boundary-setting.</w:t>
      </w:r>
    </w:p>
    <w:p>
      <w:pPr>
        <w:pStyle w:val="Heading2"/>
      </w:pPr>
      <w:r>
        <w:t>Practice activity</w:t>
      </w:r>
    </w:p>
    <w:p>
      <w:pPr>
        <w:pStyle w:val="BodyTight"/>
      </w:pPr>
      <w:r>
        <w:t>Review ten example consultation phrases and classify each as: within scope, borderline, or outside scope. Rewrite at least five unsafe phrases into professional alternatives that preserve warmth without implying medical certainty.</w:t>
      </w:r>
    </w:p>
    <w:p>
      <w:pPr>
        <w:pStyle w:val="Heading2"/>
      </w:pPr>
      <w:r>
        <w:t>Faculty teaching notes</w:t>
      </w:r>
    </w:p>
    <w:tbl>
      <w:tblPr>
        <w:tblW w:type="auto" w:w="0"/>
        <w:jc w:val="center"/>
        <w:tblLook w:firstColumn="1" w:firstRow="1" w:lastColumn="0" w:lastRow="0" w:noHBand="0" w:noVBand="1" w:val="04A0"/>
      </w:tblPr>
      <w:tblGrid>
        <w:gridCol w:w="9746"/>
      </w:tblGrid>
      <w:tr>
        <w:tc>
          <w:tcPr>
            <w:tcW w:type="dxa" w:w="9746"/>
            <w:shd w:fill="F8F6EE"/>
            <w:tcMar>
              <w:top w:w="120" w:type="dxa"/>
              <w:start w:w="140" w:type="dxa"/>
              <w:bottom w:w="120" w:type="dxa"/>
              <w:end w:w="140" w:type="dxa"/>
            </w:tcMar>
          </w:tcPr>
          <w:p>
            <w:pPr>
              <w:spacing w:after="0"/>
            </w:pPr>
            <w:r>
              <w:rPr>
                <w:rFonts w:ascii="Aptos" w:hAnsi="Aptos" w:eastAsia="Aptos"/>
                <w:b/>
                <w:color w:val="143B5D"/>
                <w:sz w:val="20"/>
              </w:rPr>
              <w:t xml:space="preserve">Faculty note: </w:t>
            </w:r>
            <w:r>
              <w:rPr>
                <w:rFonts w:ascii="Aptos" w:hAnsi="Aptos" w:eastAsia="Aptos"/>
                <w:sz w:val="20"/>
              </w:rPr>
              <w:t>Use role-play here. This week becomes stronger when learners hear unsafe phrases aloud and practise rewriting them in calmer, more bounded language.</w:t>
            </w:r>
          </w:p>
        </w:tc>
      </w:tr>
    </w:tbl>
    <w:p>
      <w:pPr>
        <w:pStyle w:val="Heading2"/>
      </w:pPr>
      <w:r>
        <w:t>Key takeaway</w:t>
      </w:r>
    </w:p>
    <w:tbl>
      <w:tblPr>
        <w:tblW w:type="auto" w:w="0"/>
        <w:jc w:val="center"/>
        <w:tblLook w:firstColumn="1" w:firstRow="1" w:lastColumn="0" w:lastRow="0" w:noHBand="0" w:noVBand="1" w:val="04A0"/>
      </w:tblPr>
      <w:tblGrid>
        <w:gridCol w:w="9746"/>
      </w:tblGrid>
      <w:tr>
        <w:tc>
          <w:tcPr>
            <w:tcW w:type="dxa" w:w="9746"/>
            <w:shd w:fill="F3F8F1"/>
            <w:tcMar>
              <w:top w:w="120" w:type="dxa"/>
              <w:start w:w="140" w:type="dxa"/>
              <w:bottom w:w="120" w:type="dxa"/>
              <w:end w:w="140" w:type="dxa"/>
            </w:tcMar>
          </w:tcPr>
          <w:p>
            <w:pPr>
              <w:spacing w:after="0"/>
            </w:pPr>
            <w:r>
              <w:rPr>
                <w:rFonts w:ascii="Aptos" w:hAnsi="Aptos" w:eastAsia="Aptos"/>
                <w:b/>
                <w:color w:val="143B5D"/>
                <w:sz w:val="20"/>
              </w:rPr>
              <w:t xml:space="preserve">Essence of the week: </w:t>
            </w:r>
            <w:r>
              <w:rPr>
                <w:rFonts w:ascii="Aptos" w:hAnsi="Aptos" w:eastAsia="Aptos"/>
                <w:sz w:val="20"/>
              </w:rPr>
              <w:t>The goal is not to sound less confident. The goal is to speak with the right kind of confidence: calm, evidence-aware, honest, and clearly bounded by lawful role and clinical responsibility.</w:t>
            </w:r>
          </w:p>
        </w:tc>
      </w:tr>
    </w:tbl>
    <w:p>
      <w:r>
        <w:br w:type="page"/>
      </w:r>
    </w:p>
    <w:p>
      <w:pPr>
        <w:pStyle w:val="Heading1"/>
      </w:pPr>
      <w:r>
        <w:t>Week 3</w:t>
      </w:r>
    </w:p>
    <w:p>
      <w:pPr>
        <w:pStyle w:val="Heading2"/>
      </w:pPr>
      <w:r>
        <w:t>Hair and Scalp Science Foundations</w:t>
      </w:r>
    </w:p>
    <w:tbl>
      <w:tblPr>
        <w:tblW w:type="auto" w:w="0"/>
        <w:jc w:val="center"/>
        <w:tblLook w:firstColumn="1" w:firstRow="1" w:lastColumn="0" w:lastRow="0" w:noHBand="0" w:noVBand="1" w:val="04A0"/>
      </w:tblPr>
      <w:tblGrid>
        <w:gridCol w:w="9746"/>
      </w:tblGrid>
      <w:tr>
        <w:tc>
          <w:tcPr>
            <w:tcW w:type="dxa" w:w="9746"/>
            <w:shd w:fill="EEF5FB"/>
            <w:tcMar>
              <w:top w:w="120" w:type="dxa"/>
              <w:start w:w="140" w:type="dxa"/>
              <w:bottom w:w="120" w:type="dxa"/>
              <w:end w:w="140" w:type="dxa"/>
            </w:tcMar>
          </w:tcPr>
          <w:p>
            <w:pPr>
              <w:spacing w:after="0"/>
            </w:pPr>
            <w:r>
              <w:rPr>
                <w:rFonts w:ascii="Aptos" w:hAnsi="Aptos" w:eastAsia="Aptos"/>
                <w:b/>
                <w:color w:val="143B5D"/>
                <w:sz w:val="20"/>
              </w:rPr>
              <w:t xml:space="preserve">Weekly purpose: </w:t>
            </w:r>
            <w:r>
              <w:rPr>
                <w:rFonts w:ascii="Aptos" w:hAnsi="Aptos" w:eastAsia="Aptos"/>
                <w:sz w:val="20"/>
              </w:rPr>
              <w:t>To provide the core biological knowledge required for credible patient education, better case understanding, and more intelligent communication around density, growth, shedding, and treatment expectations.</w:t>
            </w:r>
          </w:p>
        </w:tc>
      </w:tr>
    </w:tbl>
    <w:p>
      <w:pPr>
        <w:pStyle w:val="Heading2"/>
      </w:pPr>
      <w:r>
        <w:t>Detailed teaching content</w:t>
      </w:r>
    </w:p>
    <w:p>
      <w:pPr>
        <w:pStyle w:val="Heading3"/>
      </w:pPr>
      <w:r>
        <w:t>3.1 Why science literacy matters for patient-facing staff</w:t>
      </w:r>
    </w:p>
    <w:p>
      <w:pPr>
        <w:pStyle w:val="BodyTight"/>
      </w:pPr>
      <w:r>
        <w:t>Patients often ask simple questions that are difficult to answer well without sound biological understanding. Why is my hair shedding if I am still growing some? Why does fine hair make me look thinner even when I still have coverage? Why can one person look fuller with less hair than another? Why can donor supply not simply be moved endlessly from one place to another? These are not specialist-research questions. They are everyday consultation questions, and vague answers quickly undermine confidence.</w:t>
      </w:r>
    </w:p>
    <w:p>
      <w:pPr>
        <w:pStyle w:val="BodyTight"/>
      </w:pPr>
      <w:r>
        <w:t>Science literacy does not mean memorising textbook language for its own sake. It means understanding enough anatomy, physiology, and hair-growth behaviour to explain patterns and limitations clearly. When patient-facing staff can translate biology into practical language, they become more trustworthy and less likely to rely on clichés or over-simplified sales phrasing.</w:t>
      </w:r>
    </w:p>
    <w:p>
      <w:pPr>
        <w:pStyle w:val="BodyTight"/>
      </w:pPr>
      <w:r>
        <w:t>In this course, science is always linked back to communication. The aim is not abstract scholarship; it is accurate explanation.</w:t>
      </w:r>
    </w:p>
    <w:p>
      <w:pPr>
        <w:pStyle w:val="Heading3"/>
      </w:pPr>
      <w:r>
        <w:t>3.2 The scalp and follicular unit</w:t>
      </w:r>
    </w:p>
    <w:p>
      <w:pPr>
        <w:pStyle w:val="BodyTight"/>
      </w:pPr>
      <w:r>
        <w:t>The scalp is a layered structure composed of skin, connective tissue, vascular supply, and deeper supporting tissues. For consultation purposes, the critical concept is that hair does not sit on the scalp surface like isolated threads; it is produced by living follicular structures that depend on a supportive microenvironment. When we speak about hair loss, we are really speaking about changes within follicular units and their biology over time.</w:t>
      </w:r>
    </w:p>
    <w:p>
      <w:pPr>
        <w:pStyle w:val="BodyTight"/>
      </w:pPr>
      <w:r>
        <w:t>A follicular unit commonly contains one to four terminal hairs along with associated structures such as sebaceous glands, connective tissue, nerves, and small muscles. This is important because hair transplantation, density, and visible fullness are not merely about counting individual strands in isolation. Grouping, calibre, curl, contrast, and distribution all affect cosmetic impact.</w:t>
      </w:r>
    </w:p>
    <w:p>
      <w:pPr>
        <w:pStyle w:val="BodyTight"/>
      </w:pPr>
      <w:r>
        <w:t>The lower part of the follicle includes the bulb and matrix, where active hair production occurs, and the dermal papilla, which helps regulate growth through signalling and vascular support. Without needing to become a microscopic anatomist, the learner should understand that hair production depends on a dynamic biological structure, not a passive filament.</w:t>
      </w:r>
    </w:p>
    <w:p>
      <w:pPr>
        <w:pStyle w:val="Heading3"/>
      </w:pPr>
      <w:r>
        <w:t>3.3 Hair shaft structure and visible quality</w:t>
      </w:r>
    </w:p>
    <w:p>
      <w:pPr>
        <w:pStyle w:val="BodyTight"/>
      </w:pPr>
      <w:r>
        <w:t>The visible hair shaft is composed primarily of keratin and consists of three main layers: cuticle, cortex, and, in some hairs, medulla. The cuticle is the outer protective layer. The cortex provides most of the shaft’s strength, mass, and pigment-related characteristics. The medulla, when present, is a more central core. For the consultant or nurse, the practical importance of this knowledge is that not all hair behaves or appears the same even when the follicle count is similar.</w:t>
      </w:r>
    </w:p>
    <w:p>
      <w:pPr>
        <w:pStyle w:val="BodyTight"/>
      </w:pPr>
      <w:r>
        <w:t>Hair calibre refers to the thickness of the individual shaft. Thick coarse hairs cast more visual coverage than very fine hairs. This means two patients with similar numerical density may appear dramatically different in fullness. Curl also changes coverage; a tightly curled or wavy shaft can create more visual bulk than a very straight, fine shaft. Colour contrast matters too. Dark hair on a light scalp may show thinning much earlier than lighter hair or lower contrast combinations.</w:t>
      </w:r>
    </w:p>
    <w:p>
      <w:pPr>
        <w:pStyle w:val="BodyTight"/>
      </w:pPr>
      <w:r>
        <w:t>These ideas help explain why hair restoration must always be individualised. Counting grafts without understanding shaft quality and cosmetic effect produces poor patient education.</w:t>
      </w:r>
    </w:p>
    <w:p>
      <w:pPr>
        <w:pStyle w:val="Heading3"/>
      </w:pPr>
      <w:r>
        <w:t>3.4 The hair cycle: anagen, catagen, telogen, exogen</w:t>
      </w:r>
    </w:p>
    <w:p>
      <w:pPr>
        <w:pStyle w:val="BodyTight"/>
      </w:pPr>
      <w:r>
        <w:t>Hair growth occurs in a cycle rather than as a simple on-off state. The anagen phase is the active growth phase. Catagen is a short transitional phase. Telogen is a resting phase. Exogen refers to the shedding of the fibre. Different follicles are normally at different phases at the same time, which is why healthy scalps do not lose all hair at once.</w:t>
      </w:r>
    </w:p>
    <w:p>
      <w:pPr>
        <w:pStyle w:val="BodyTight"/>
      </w:pPr>
      <w:r>
        <w:t>This matters clinically because shedding does not always mean permanent loss, and visible thinning may result from changes in cycling, shaft quality, or miniaturisation rather than sudden destruction of follicles. Patients commonly misinterpret any shedding as catastrophe. A biologically grounded explanation can reduce anxiety while still acknowledging that patterns and triggers need evaluation.</w:t>
      </w:r>
    </w:p>
    <w:p>
      <w:pPr>
        <w:pStyle w:val="BodyTight"/>
      </w:pPr>
      <w:r>
        <w:t>A good patient-facing explanation might be: 'Hair grows in cycles. Some hairs are actively growing, some are resting, and some are being shed. The important question is whether the follicles are cycling back strongly and whether the new hairs are maintaining their quality over time.' This is far more useful than simply saying 'some shedding is normal' without context.</w:t>
      </w:r>
    </w:p>
    <w:p>
      <w:pPr>
        <w:pStyle w:val="Heading3"/>
      </w:pPr>
      <w:r>
        <w:t>3.5 Density, miniaturisation, donor and recipient concepts</w:t>
      </w:r>
    </w:p>
    <w:p>
      <w:pPr>
        <w:pStyle w:val="BodyTight"/>
      </w:pPr>
      <w:r>
        <w:t>Density refers to the number of hairs or follicular units in a given area, but visible density is shaped by more than counting. Miniaturisation occurs when genetically susceptible follicles gradually produce finer, shorter, less pigmented hairs. A patient may therefore still have many hairs present while appearing thinner because the hairs have lost cosmetic strength.</w:t>
      </w:r>
    </w:p>
    <w:p>
      <w:pPr>
        <w:pStyle w:val="BodyTight"/>
      </w:pPr>
      <w:r>
        <w:t>The donor area is the region considered relatively more stable and suitable for harvesting in transplantation. The recipient area is the region where density is lacking or restoration is desired. However, donor does not mean unlimited. Every patient has a finite donor resource. The cosmetic planning challenge is to distribute that finite resource strategically.</w:t>
      </w:r>
    </w:p>
    <w:p>
      <w:pPr>
        <w:pStyle w:val="BodyTight"/>
      </w:pPr>
      <w:r>
        <w:t>Understanding miniaturisation also helps patient-facing staff avoid making misleading statements such as 'you still have a lot of hair'. A better statement would be: 'You do still have hair present, but some of it appears to be finer and less robust than ideal, which can reduce the look of density.' This kind of language is biologically more accurate and emotionally more respectful.</w:t>
      </w:r>
    </w:p>
    <w:p>
      <w:pPr>
        <w:pStyle w:val="Heading2"/>
      </w:pPr>
      <w:r>
        <w:t>Learning objectives</w:t>
      </w:r>
    </w:p>
    <w:p>
      <w:pPr>
        <w:pStyle w:val="ListBullet"/>
      </w:pPr>
      <w:r>
        <w:t>Explain the key parts of the follicular unit and why they matter in patient communication.</w:t>
      </w:r>
    </w:p>
    <w:p>
      <w:pPr>
        <w:pStyle w:val="ListBullet"/>
      </w:pPr>
      <w:r>
        <w:t>Describe how calibre, curl, contrast, and density affect visible coverage.</w:t>
      </w:r>
    </w:p>
    <w:p>
      <w:pPr>
        <w:pStyle w:val="ListBullet"/>
      </w:pPr>
      <w:r>
        <w:t>Explain the hair cycle in a way patients can understand.</w:t>
      </w:r>
    </w:p>
    <w:p>
      <w:pPr>
        <w:pStyle w:val="ListBullet"/>
      </w:pPr>
      <w:r>
        <w:t>Define miniaturisation and connect it to visible thinning and treatment conversations.</w:t>
      </w:r>
    </w:p>
    <w:p>
      <w:pPr>
        <w:pStyle w:val="Heading2"/>
      </w:pPr>
      <w:r>
        <w:t>Practice activity</w:t>
      </w:r>
    </w:p>
    <w:p>
      <w:pPr>
        <w:pStyle w:val="BodyTight"/>
      </w:pPr>
      <w:r>
        <w:t>Write a 300-word patient explanation answering the question: 'Why do I look thinner even though I still have a lot of hairs?' Include density, miniaturisation, and hair calibre in your answer.</w:t>
      </w:r>
    </w:p>
    <w:p>
      <w:pPr>
        <w:pStyle w:val="Heading2"/>
      </w:pPr>
      <w:r>
        <w:t>Faculty teaching notes</w:t>
      </w:r>
    </w:p>
    <w:tbl>
      <w:tblPr>
        <w:tblW w:type="auto" w:w="0"/>
        <w:jc w:val="center"/>
        <w:tblLook w:firstColumn="1" w:firstRow="1" w:lastColumn="0" w:lastRow="0" w:noHBand="0" w:noVBand="1" w:val="04A0"/>
      </w:tblPr>
      <w:tblGrid>
        <w:gridCol w:w="9746"/>
      </w:tblGrid>
      <w:tr>
        <w:tc>
          <w:tcPr>
            <w:tcW w:type="dxa" w:w="9746"/>
            <w:shd w:fill="F8F6EE"/>
            <w:tcMar>
              <w:top w:w="120" w:type="dxa"/>
              <w:start w:w="140" w:type="dxa"/>
              <w:bottom w:w="120" w:type="dxa"/>
              <w:end w:w="140" w:type="dxa"/>
            </w:tcMar>
          </w:tcPr>
          <w:p>
            <w:pPr>
              <w:spacing w:after="0"/>
            </w:pPr>
            <w:r>
              <w:rPr>
                <w:rFonts w:ascii="Aptos" w:hAnsi="Aptos" w:eastAsia="Aptos"/>
                <w:b/>
                <w:color w:val="143B5D"/>
                <w:sz w:val="20"/>
              </w:rPr>
              <w:t xml:space="preserve">Faculty note: </w:t>
            </w:r>
            <w:r>
              <w:rPr>
                <w:rFonts w:ascii="Aptos" w:hAnsi="Aptos" w:eastAsia="Aptos"/>
                <w:sz w:val="20"/>
              </w:rPr>
              <w:t>Pair the science with real patient photographs or diagrams in later teaching versions. Emphasise translation of science into plain language rather than memorisation of jargon.</w:t>
            </w:r>
          </w:p>
        </w:tc>
      </w:tr>
    </w:tbl>
    <w:p>
      <w:pPr>
        <w:pStyle w:val="Heading2"/>
      </w:pPr>
      <w:r>
        <w:t>Key takeaway</w:t>
      </w:r>
    </w:p>
    <w:tbl>
      <w:tblPr>
        <w:tblW w:type="auto" w:w="0"/>
        <w:jc w:val="center"/>
        <w:tblLook w:firstColumn="1" w:firstRow="1" w:lastColumn="0" w:lastRow="0" w:noHBand="0" w:noVBand="1" w:val="04A0"/>
      </w:tblPr>
      <w:tblGrid>
        <w:gridCol w:w="9746"/>
      </w:tblGrid>
      <w:tr>
        <w:tc>
          <w:tcPr>
            <w:tcW w:type="dxa" w:w="9746"/>
            <w:shd w:fill="F3F8F1"/>
            <w:tcMar>
              <w:top w:w="120" w:type="dxa"/>
              <w:start w:w="140" w:type="dxa"/>
              <w:bottom w:w="120" w:type="dxa"/>
              <w:end w:w="140" w:type="dxa"/>
            </w:tcMar>
          </w:tcPr>
          <w:p>
            <w:pPr>
              <w:spacing w:after="0"/>
            </w:pPr>
            <w:r>
              <w:rPr>
                <w:rFonts w:ascii="Aptos" w:hAnsi="Aptos" w:eastAsia="Aptos"/>
                <w:b/>
                <w:color w:val="143B5D"/>
                <w:sz w:val="20"/>
              </w:rPr>
              <w:t xml:space="preserve">Essence of the week: </w:t>
            </w:r>
            <w:r>
              <w:rPr>
                <w:rFonts w:ascii="Aptos" w:hAnsi="Aptos" w:eastAsia="Aptos"/>
                <w:sz w:val="20"/>
              </w:rPr>
              <w:t>Science literacy protects against simplistic communication. The more accurately a practitioner understands how hair behaves, the more responsibly they can explain loss, treatment expectations, and visual outcomes.</w:t>
            </w:r>
          </w:p>
        </w:tc>
      </w:tr>
    </w:tbl>
    <w:p>
      <w:r>
        <w:br w:type="page"/>
      </w:r>
    </w:p>
    <w:p>
      <w:pPr>
        <w:pStyle w:val="Heading1"/>
      </w:pPr>
      <w:r>
        <w:t>Week 4</w:t>
      </w:r>
    </w:p>
    <w:p>
      <w:pPr>
        <w:pStyle w:val="Heading2"/>
      </w:pPr>
      <w:r>
        <w:t>Common Hair Loss Presentations and Red Flags</w:t>
      </w:r>
    </w:p>
    <w:tbl>
      <w:tblPr>
        <w:tblW w:type="auto" w:w="0"/>
        <w:jc w:val="center"/>
        <w:tblLook w:firstColumn="1" w:firstRow="1" w:lastColumn="0" w:lastRow="0" w:noHBand="0" w:noVBand="1" w:val="04A0"/>
      </w:tblPr>
      <w:tblGrid>
        <w:gridCol w:w="9746"/>
      </w:tblGrid>
      <w:tr>
        <w:tc>
          <w:tcPr>
            <w:tcW w:type="dxa" w:w="9746"/>
            <w:shd w:fill="EEF5FB"/>
            <w:tcMar>
              <w:top w:w="120" w:type="dxa"/>
              <w:start w:w="140" w:type="dxa"/>
              <w:bottom w:w="120" w:type="dxa"/>
              <w:end w:w="140" w:type="dxa"/>
            </w:tcMar>
          </w:tcPr>
          <w:p>
            <w:pPr>
              <w:spacing w:after="0"/>
            </w:pPr>
            <w:r>
              <w:rPr>
                <w:rFonts w:ascii="Aptos" w:hAnsi="Aptos" w:eastAsia="Aptos"/>
                <w:b/>
                <w:color w:val="143B5D"/>
                <w:sz w:val="20"/>
              </w:rPr>
              <w:t xml:space="preserve">Weekly purpose: </w:t>
            </w:r>
            <w:r>
              <w:rPr>
                <w:rFonts w:ascii="Aptos" w:hAnsi="Aptos" w:eastAsia="Aptos"/>
                <w:sz w:val="20"/>
              </w:rPr>
              <w:t>To help learners recognise common presentation patterns seen in clinic, distinguish relatively straightforward cases from uncertain or high-risk cases, and identify when escalation to doctor review is necessary.</w:t>
            </w:r>
          </w:p>
        </w:tc>
      </w:tr>
    </w:tbl>
    <w:p>
      <w:pPr>
        <w:pStyle w:val="Heading2"/>
      </w:pPr>
      <w:r>
        <w:t>Detailed teaching content</w:t>
      </w:r>
    </w:p>
    <w:p>
      <w:pPr>
        <w:pStyle w:val="Heading3"/>
      </w:pPr>
      <w:r>
        <w:t>4.1 Male pattern hair loss and patterned progression</w:t>
      </w:r>
    </w:p>
    <w:p>
      <w:pPr>
        <w:pStyle w:val="BodyTight"/>
      </w:pPr>
      <w:r>
        <w:t>Male androgenetic alopecia commonly presents with frontal recession, temporal recession, forelock change, mid-scalp thinning, crown thinning, or combinations of these patterns over time. Patients may describe the problem simply as 'my hairline is going back' or 'my crown is opening up', but the careful observer looks for the distribution and quality of change rather than relying on one phrase.</w:t>
      </w:r>
    </w:p>
    <w:p>
      <w:pPr>
        <w:pStyle w:val="BodyTight"/>
      </w:pPr>
      <w:r>
        <w:t>The important educational point is that patterned loss is often progressive. A young patient with early temple recession may assume the problem is limited and static. A trained consultant or nurse should understand that a doctor will need to consider age, family pattern, rate of change, donor quality, and likely future loss. This is why simplistic early promises about hairline surgery can be dangerous in younger men.</w:t>
      </w:r>
    </w:p>
    <w:p>
      <w:pPr>
        <w:pStyle w:val="BodyTight"/>
      </w:pPr>
      <w:r>
        <w:t>Where male pattern loss is relatively classic and stable-looking, the role of patient-facing staff is to document it clearly, educate responsibly, and prepare the patient for proper medical review. The role is not to declare the final treatment plan.</w:t>
      </w:r>
    </w:p>
    <w:p>
      <w:pPr>
        <w:pStyle w:val="Heading3"/>
      </w:pPr>
      <w:r>
        <w:t>4.2 Female pattern loss and the need for greater caution</w:t>
      </w:r>
    </w:p>
    <w:p>
      <w:pPr>
        <w:pStyle w:val="BodyTight"/>
      </w:pPr>
      <w:r>
        <w:t>Female pattern hair loss often presents differently from classic male pattern recession. Common features include widening of the part, diffuse loss over the top, reduced ponytail volume, and generalised thinning with preservation or only partial change of the frontal outline. Because women may present with more diffuse or mixed patterns, and because inflammatory, hormonal, nutritional, or stress-related contributors may coexist, caution is especially important.</w:t>
      </w:r>
    </w:p>
    <w:p>
      <w:pPr>
        <w:pStyle w:val="BodyTight"/>
      </w:pPr>
      <w:r>
        <w:t>For this reason, the consultation approach in women should usually be more measured. It is often less appropriate to speak quickly in terms of surgery and more appropriate to explore history, symptoms, blood work status, scalp complaints, postpartum changes, menstrual or hormonal context where relevant, and whether medical review is needed before strong recommendations are made.</w:t>
      </w:r>
    </w:p>
    <w:p>
      <w:pPr>
        <w:pStyle w:val="BodyTight"/>
      </w:pPr>
      <w:r>
        <w:t>The key lesson is not that women cannot be surgical candidates. It is that non-doctor staff should avoid assuming that apparent thinning automatically equals a straightforward transplant conversation.</w:t>
      </w:r>
    </w:p>
    <w:p>
      <w:pPr>
        <w:pStyle w:val="Heading3"/>
      </w:pPr>
      <w:r>
        <w:t>4.3 Telogen effluvium, trigger-related shedding, and overlapping patterns</w:t>
      </w:r>
    </w:p>
    <w:p>
      <w:pPr>
        <w:pStyle w:val="BodyTight"/>
      </w:pPr>
      <w:r>
        <w:t>Telogen effluvium is a descriptive term for increased shedding that often follows a physiological or psychological trigger such as illness, childbirth, major stress, rapid weight change, surgery, nutritional compromise, or medication shifts. Patients may report alarming hair fall in the shower, on the pillow, or during brushing. Because the visual change can feel dramatic, these patients are often highly anxious.</w:t>
      </w:r>
    </w:p>
    <w:p>
      <w:pPr>
        <w:pStyle w:val="BodyTight"/>
      </w:pPr>
      <w:r>
        <w:t>An important nuance is that telogen effluvium can overlap with underlying androgenetic loss. A patient may experience a trigger-related shed that reveals or accelerates concern about pre-existing miniaturisation. This is one reason why patient-facing staff need both pattern recognition and restraint. The story may be partly trigger-related, partly genetic, or something more complex.</w:t>
      </w:r>
    </w:p>
    <w:p>
      <w:pPr>
        <w:pStyle w:val="BodyTight"/>
      </w:pPr>
      <w:r>
        <w:t>Helpful language here includes acknowledging the trigger relationship without making premature conclusions. For example: 'The timeline you describe makes trigger-related shedding a possibility, but your doctor will need to assess whether there is also an underlying pattern contributing to what you are seeing.'</w:t>
      </w:r>
    </w:p>
    <w:p>
      <w:pPr>
        <w:pStyle w:val="Heading3"/>
      </w:pPr>
      <w:r>
        <w:t>4.4 Red flags that should change the conversation</w:t>
      </w:r>
    </w:p>
    <w:p>
      <w:pPr>
        <w:pStyle w:val="BodyTight"/>
      </w:pPr>
      <w:r>
        <w:t>Certain signs or symptoms should immediately shift the conversation away from routine reassurance and toward medical review. These include rapid or dramatic progression, painful scalp symptoms, burning, intense itch, visible inflammation, scaling that looks significant, patchy loss, eyebrow or body-hair involvement in suspicious contexts, scarring suspicion, or a history that does not fit a simple pattern.</w:t>
      </w:r>
    </w:p>
    <w:p>
      <w:pPr>
        <w:pStyle w:val="BodyTight"/>
      </w:pPr>
      <w:r>
        <w:t>Severe emotional distress can also be a practical red flag even if the biology remains uncertain. A patient who is panicked, highly fixated, or demanding immediate irreversible treatment may require a slower, more carefully managed process. Emotional urgency is not itself a diagnosis, but it is a real suitability factor in communication and escalation.</w:t>
      </w:r>
    </w:p>
    <w:p>
      <w:pPr>
        <w:pStyle w:val="BodyTight"/>
      </w:pPr>
      <w:r>
        <w:t>Red flags should not be handled with alarmism. The goal is not to frighten the patient. The goal is to recognise that some presentations are beyond routine front-end guidance and should be reviewed properly before stronger statements are made.</w:t>
      </w:r>
    </w:p>
    <w:p>
      <w:pPr>
        <w:pStyle w:val="Heading3"/>
      </w:pPr>
      <w:r>
        <w:t>4.5 Communicating uncertainty without losing trust</w:t>
      </w:r>
    </w:p>
    <w:p>
      <w:pPr>
        <w:pStyle w:val="BodyTight"/>
      </w:pPr>
      <w:r>
        <w:t>One of the most important professional skills in hair restoration is learning to communicate uncertainty well. Many staff fear that if they say 'I am not sure' or 'the doctor needs to review this', the patient will lose confidence. In reality, trust is more often lost when someone sounds certain too early and is later contradicted.</w:t>
      </w:r>
    </w:p>
    <w:p>
      <w:pPr>
        <w:pStyle w:val="BodyTight"/>
      </w:pPr>
      <w:r>
        <w:t>Good uncertainty language is calm, not hesitant. It may sound like this: 'There are some common features here, but there are also a few things I would want properly reviewed before making assumptions about the best path.' Or: 'I can explain the possibilities and help organise your case, but I do not want to overstate certainty before medical review.'</w:t>
      </w:r>
    </w:p>
    <w:p>
      <w:pPr>
        <w:pStyle w:val="BodyTight"/>
      </w:pPr>
      <w:r>
        <w:t>This approach is especially important when discussing mixed presentations, women, diffuse loss, previous poor surgery, or any case where symptoms extend beyond a simple patterned recession story. Mature communication preserves trust by showing discipline.</w:t>
      </w:r>
    </w:p>
    <w:p>
      <w:pPr>
        <w:pStyle w:val="Heading2"/>
      </w:pPr>
      <w:r>
        <w:t>Learning objectives</w:t>
      </w:r>
    </w:p>
    <w:p>
      <w:pPr>
        <w:pStyle w:val="ListBullet"/>
      </w:pPr>
      <w:r>
        <w:t>Recognise common patterns of male and female hair loss seen in clinic settings.</w:t>
      </w:r>
    </w:p>
    <w:p>
      <w:pPr>
        <w:pStyle w:val="ListBullet"/>
      </w:pPr>
      <w:r>
        <w:t>Describe the consultation implications of telogen effluvium and overlapping patterns.</w:t>
      </w:r>
    </w:p>
    <w:p>
      <w:pPr>
        <w:pStyle w:val="ListBullet"/>
      </w:pPr>
      <w:r>
        <w:t>Identify biological and practical red flags that require doctor review.</w:t>
      </w:r>
    </w:p>
    <w:p>
      <w:pPr>
        <w:pStyle w:val="ListBullet"/>
      </w:pPr>
      <w:r>
        <w:t>Use calm language to communicate uncertainty without undermining trust.</w:t>
      </w:r>
    </w:p>
    <w:p>
      <w:pPr>
        <w:pStyle w:val="Heading2"/>
      </w:pPr>
      <w:r>
        <w:t>Practice activity</w:t>
      </w:r>
    </w:p>
    <w:p>
      <w:pPr>
        <w:pStyle w:val="BodyTight"/>
      </w:pPr>
      <w:r>
        <w:t>Complete a six-case worksheet. For each case, identify the likely pattern, any red flags, whether routine or urgent doctor review is needed, and one sentence you would use to explain the next step to the patient.</w:t>
      </w:r>
    </w:p>
    <w:p>
      <w:pPr>
        <w:pStyle w:val="Heading2"/>
      </w:pPr>
      <w:r>
        <w:t>Faculty teaching notes</w:t>
      </w:r>
    </w:p>
    <w:tbl>
      <w:tblPr>
        <w:tblW w:type="auto" w:w="0"/>
        <w:jc w:val="center"/>
        <w:tblLook w:firstColumn="1" w:firstRow="1" w:lastColumn="0" w:lastRow="0" w:noHBand="0" w:noVBand="1" w:val="04A0"/>
      </w:tblPr>
      <w:tblGrid>
        <w:gridCol w:w="9746"/>
      </w:tblGrid>
      <w:tr>
        <w:tc>
          <w:tcPr>
            <w:tcW w:type="dxa" w:w="9746"/>
            <w:shd w:fill="F8F6EE"/>
            <w:tcMar>
              <w:top w:w="120" w:type="dxa"/>
              <w:start w:w="140" w:type="dxa"/>
              <w:bottom w:w="120" w:type="dxa"/>
              <w:end w:w="140" w:type="dxa"/>
            </w:tcMar>
          </w:tcPr>
          <w:p>
            <w:pPr>
              <w:spacing w:after="0"/>
            </w:pPr>
            <w:r>
              <w:rPr>
                <w:rFonts w:ascii="Aptos" w:hAnsi="Aptos" w:eastAsia="Aptos"/>
                <w:b/>
                <w:color w:val="143B5D"/>
                <w:sz w:val="20"/>
              </w:rPr>
              <w:t xml:space="preserve">Faculty note: </w:t>
            </w:r>
            <w:r>
              <w:rPr>
                <w:rFonts w:ascii="Aptos" w:hAnsi="Aptos" w:eastAsia="Aptos"/>
                <w:sz w:val="20"/>
              </w:rPr>
              <w:t>Use ambiguous cases, not just obvious examples. The teaching goal is to normalise disciplined uncertainty and appropriate escalation.</w:t>
            </w:r>
          </w:p>
        </w:tc>
      </w:tr>
    </w:tbl>
    <w:p>
      <w:pPr>
        <w:pStyle w:val="Heading2"/>
      </w:pPr>
      <w:r>
        <w:t>Key takeaway</w:t>
      </w:r>
    </w:p>
    <w:tbl>
      <w:tblPr>
        <w:tblW w:type="auto" w:w="0"/>
        <w:jc w:val="center"/>
        <w:tblLook w:firstColumn="1" w:firstRow="1" w:lastColumn="0" w:lastRow="0" w:noHBand="0" w:noVBand="1" w:val="04A0"/>
      </w:tblPr>
      <w:tblGrid>
        <w:gridCol w:w="9746"/>
      </w:tblGrid>
      <w:tr>
        <w:tc>
          <w:tcPr>
            <w:tcW w:type="dxa" w:w="9746"/>
            <w:shd w:fill="F3F8F1"/>
            <w:tcMar>
              <w:top w:w="120" w:type="dxa"/>
              <w:start w:w="140" w:type="dxa"/>
              <w:bottom w:w="120" w:type="dxa"/>
              <w:end w:w="140" w:type="dxa"/>
            </w:tcMar>
          </w:tcPr>
          <w:p>
            <w:pPr>
              <w:spacing w:after="0"/>
            </w:pPr>
            <w:r>
              <w:rPr>
                <w:rFonts w:ascii="Aptos" w:hAnsi="Aptos" w:eastAsia="Aptos"/>
                <w:b/>
                <w:color w:val="143B5D"/>
                <w:sz w:val="20"/>
              </w:rPr>
              <w:t xml:space="preserve">Essence of the week: </w:t>
            </w:r>
            <w:r>
              <w:rPr>
                <w:rFonts w:ascii="Aptos" w:hAnsi="Aptos" w:eastAsia="Aptos"/>
                <w:sz w:val="20"/>
              </w:rPr>
              <w:t>Pattern recognition is useful; false certainty is dangerous. The goal is to recognise what may be happening, note what is unclear, and escalate intelligently where needed.</w:t>
            </w:r>
          </w:p>
        </w:tc>
      </w:tr>
    </w:tbl>
    <w:p>
      <w:r>
        <w:br w:type="page"/>
      </w:r>
    </w:p>
    <w:p>
      <w:pPr>
        <w:pStyle w:val="Heading1"/>
      </w:pPr>
      <w:r>
        <w:t>Recommended next development steps</w:t>
      </w:r>
    </w:p>
    <w:p>
      <w:pPr>
        <w:pStyle w:val="ListBullet"/>
      </w:pPr>
      <w:r>
        <w:t>Expand each weekly chapter into lesson-level units for the LMS, with one lesson per lecture topic and separate knowledge checks.</w:t>
      </w:r>
    </w:p>
    <w:p>
      <w:pPr>
        <w:pStyle w:val="ListBullet"/>
      </w:pPr>
      <w:r>
        <w:t>Add diagrams for follicular anatomy, hair-cycle phases, and patterned hair-loss presentations.</w:t>
      </w:r>
    </w:p>
    <w:p>
      <w:pPr>
        <w:pStyle w:val="ListBullet"/>
      </w:pPr>
      <w:r>
        <w:t>Develop downloadable learner worksheets, answer guides, and case-based marking rubrics.</w:t>
      </w:r>
    </w:p>
    <w:p>
      <w:pPr>
        <w:pStyle w:val="ListBullet"/>
      </w:pPr>
      <w:r>
        <w:t>Create a faculty guide with discussion prompts, common misconceptions, and model feedback language.</w:t>
      </w:r>
    </w:p>
    <w:p>
      <w:pPr>
        <w:pStyle w:val="ListBullet"/>
      </w:pPr>
      <w:r>
        <w:t>Build quiz banks for Weeks 1–4 covering role boundaries, ethical language, science concepts, and escalation judgement.</w:t>
      </w:r>
    </w:p>
    <w:p>
      <w:pPr>
        <w:pStyle w:val="Heading2"/>
      </w:pPr>
      <w:r>
        <w:t>Document status</w:t>
      </w:r>
    </w:p>
    <w:p>
      <w:pPr>
        <w:pStyle w:val="BodyTight"/>
      </w:pPr>
      <w:r>
        <w:t>This manual is a detailed teaching draft intended to move the program beyond curriculum scaffolding and into substantive written content. It should be treated as the first academic teaching volume for the consultant and nurse stream, with future expansion into diagrams, workbook activities, references, and faculty delivery tools.</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43B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04B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D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43B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B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ight">
    <w:name w:val="Body Tight"/>
    <w:basedOn w:val="Normal"/>
    <w:pPr>
      <w:spacing w:after="120" w:lineRule="auto" w:line="276"/>
    </w:pPr>
  </w:style>
  <w:style w:type="paragraph" w:customStyle="1" w:styleId="Callout">
    <w:name w:val="Callout"/>
    <w:basedOn w:val="Normal"/>
    <w:pPr>
      <w:spacing w:before="0" w:after="80"/>
      <w:ind w:left="113"/>
    </w:pPr>
    <w:rPr>
      <w:i w:val="0"/>
      <w:sz w:val="20"/>
    </w:rPr>
  </w:style>
  <w:style w:type="paragraph" w:customStyle="1" w:styleId="SmallCapsLabel">
    <w:name w:val="Small Caps Label"/>
    <w:basedOn w:val="Normal"/>
    <w:pPr>
      <w:spacing w:after="60"/>
    </w:pPr>
    <w:rPr>
      <w:smallCaps/>
      <w:color w:val="6E7B8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