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rFonts w:ascii="Aptos" w:hAnsi="Aptos"/>
          <w:b/>
          <w:color w:val="1A2B4D"/>
          <w:sz w:val="44"/>
        </w:rPr>
        <w:t>IIOHR Consultant &amp; Nurse Academy</w:t>
        <w:br/>
        <w:t>Teaching Manual – Volume 2</w:t>
      </w:r>
    </w:p>
    <w:p>
      <w:pPr>
        <w:spacing w:after="80" w:line="259" w:lineRule="auto"/>
        <w:jc w:val="center"/>
      </w:pPr>
      <w:r>
        <w:rPr>
          <w:i/>
          <w:color w:val="636363"/>
          <w:sz w:val="23"/>
        </w:rPr>
        <w:t>Weeks 5–8: Consultation Structure, Screening, Communication, and Treatment Education</w:t>
      </w:r>
    </w:p>
    <w:tbl>
      <w:tblPr>
        <w:tblW w:type="auto" w:w="0"/>
        <w:jc w:val="center"/>
        <w:tblLook w:firstColumn="1" w:firstRow="1" w:lastColumn="0" w:lastRow="0" w:noHBand="0" w:noVBand="1" w:val="04A0"/>
      </w:tblPr>
      <w:tblGrid>
        <w:gridCol w:w="9936"/>
      </w:tblGrid>
      <w:tr>
        <w:tc>
          <w:tcPr>
            <w:tcW w:type="dxa" w:w="9936"/>
            <w:shd w:fill="EAF0F8"/>
            <w:tcMar>
              <w:top w:w="140" w:type="dxa"/>
              <w:start w:w="140" w:type="dxa"/>
              <w:bottom w:w="140" w:type="dxa"/>
              <w:end w:w="140" w:type="dxa"/>
            </w:tcMar>
          </w:tcPr>
          <w:p>
            <w:pPr>
              <w:jc w:val="center"/>
            </w:pPr>
            <w:r>
              <w:rPr>
                <w:color w:val="37465F"/>
                <w:sz w:val="21"/>
              </w:rPr>
              <w:t>Detailed draft for curriculum development, faculty review, and LMS expansion</w:t>
            </w:r>
          </w:p>
        </w:tc>
      </w:tr>
    </w:tbl>
    <w:p>
      <w:pPr>
        <w:spacing w:after="80" w:line="259" w:lineRule="auto"/>
      </w:pPr>
    </w:p>
    <w:p>
      <w:pPr>
        <w:pStyle w:val="Heading1"/>
        <w:spacing w:after="80" w:line="276" w:lineRule="auto"/>
      </w:pPr>
      <w:r>
        <w:rPr>
          <w:b w:val="0"/>
          <w:i w:val="0"/>
        </w:rPr>
        <w:t>Preface</w:t>
      </w:r>
    </w:p>
    <w:p>
      <w:pPr>
        <w:spacing w:after="60" w:line="259" w:lineRule="auto"/>
      </w:pPr>
      <w:r>
        <w:rPr>
          <w:b w:val="0"/>
          <w:i w:val="0"/>
        </w:rPr>
        <w:t>This volume continues the written teaching series for the IIOHR Consultant &amp; Nurse Academy. It takes the learner from foundational knowledge into applied clinical consultation practice, focusing on how patient-facing professionals gather information, structure a consultation, identify suitability concerns, communicate responsibly, and educate patients about treatment pathways within appropriate scope of practice.</w:t>
      </w:r>
    </w:p>
    <w:p>
      <w:pPr>
        <w:spacing w:after="60" w:line="259" w:lineRule="auto"/>
      </w:pPr>
      <w:r>
        <w:rPr>
          <w:b w:val="0"/>
          <w:i w:val="0"/>
        </w:rPr>
        <w:t>These chapters are intentionally practical. They are written for consultants, nurses, and coordinators who work in real clinics, speak with real patients, and often carry considerable influence before a doctor ever reviews the case. The goal is to improve judgement, consistency, ethical communication, and documentation quality rather than to encourage overconfidence or implied diagnostic authority.</w:t>
      </w:r>
    </w:p>
    <w:p>
      <w:pPr>
        <w:spacing w:after="60" w:line="259" w:lineRule="auto"/>
      </w:pPr>
      <w:r>
        <w:rPr>
          <w:b w:val="0"/>
          <w:i w:val="0"/>
        </w:rPr>
        <w:t>Volume 2 covers Weeks 5–8 of the program. It focuses on four operational pillars: consultation structure and history taking, screening and suitability support, communication and expectation management, and responsible education around non-surgical and surgical options.</w:t>
      </w:r>
    </w:p>
    <w:p>
      <w:pPr>
        <w:pStyle w:val="Heading2"/>
        <w:spacing w:after="60" w:line="276" w:lineRule="auto"/>
      </w:pPr>
      <w:r>
        <w:rPr>
          <w:b w:val="0"/>
          <w:i w:val="0"/>
        </w:rPr>
        <w:t>How to use this manual</w:t>
      </w:r>
    </w:p>
    <w:p>
      <w:pPr>
        <w:spacing w:after="60" w:line="259" w:lineRule="auto"/>
        <w:ind w:left="288"/>
      </w:pPr>
      <w:r>
        <w:rPr>
          <w:b/>
        </w:rPr>
        <w:t xml:space="preserve">• </w:t>
      </w:r>
      <w:r>
        <w:t>Read each week as a taught module rather than as a loose reference chapter.</w:t>
      </w:r>
    </w:p>
    <w:p>
      <w:pPr>
        <w:spacing w:after="60" w:line="259" w:lineRule="auto"/>
        <w:ind w:left="288"/>
      </w:pPr>
      <w:r>
        <w:rPr>
          <w:b/>
        </w:rPr>
        <w:t xml:space="preserve">• </w:t>
      </w:r>
      <w:r>
        <w:t>Use the examples and scripts as practice tools, not rigid scripts to be repeated without judgement.</w:t>
      </w:r>
    </w:p>
    <w:p>
      <w:pPr>
        <w:spacing w:after="60" w:line="259" w:lineRule="auto"/>
        <w:ind w:left="288"/>
      </w:pPr>
      <w:r>
        <w:rPr>
          <w:b/>
        </w:rPr>
        <w:t xml:space="preserve">• </w:t>
      </w:r>
      <w:r>
        <w:t>Adapt wording to your clinic, but preserve the ethical and scope-based principles.</w:t>
      </w:r>
    </w:p>
    <w:p>
      <w:pPr>
        <w:spacing w:after="60" w:line="259" w:lineRule="auto"/>
        <w:ind w:left="288"/>
      </w:pPr>
      <w:r>
        <w:rPr>
          <w:b/>
        </w:rPr>
        <w:t xml:space="preserve">• </w:t>
      </w:r>
      <w:r>
        <w:t>Where uncertainty exists, defer to doctor review and document clearly.</w:t>
      </w:r>
    </w:p>
    <w:p>
      <w:pPr>
        <w:pStyle w:val="Heading2"/>
        <w:spacing w:after="60" w:line="276" w:lineRule="auto"/>
      </w:pPr>
      <w:r>
        <w:rPr>
          <w:b w:val="0"/>
          <w:i w:val="0"/>
        </w:rPr>
        <w:t>Volume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6F2"/>
            <w:tcMar>
              <w:top w:w="80" w:type="dxa"/>
              <w:start w:w="100" w:type="dxa"/>
              <w:bottom w:w="80" w:type="dxa"/>
              <w:end w:w="100" w:type="dxa"/>
            </w:tcMar>
            <w:vAlign w:val="center"/>
          </w:tcPr>
          <w:p>
            <w:pPr>
              <w:spacing w:after="0" w:line="240" w:lineRule="auto"/>
            </w:pPr>
            <w:r>
              <w:rPr>
                <w:b/>
                <w:sz w:val="19"/>
              </w:rPr>
              <w:t>Week</w:t>
            </w:r>
          </w:p>
        </w:tc>
        <w:tc>
          <w:tcPr>
            <w:tcW w:type="dxa" w:w="3312"/>
            <w:shd w:fill="D9E6F2"/>
            <w:tcMar>
              <w:top w:w="80" w:type="dxa"/>
              <w:start w:w="100" w:type="dxa"/>
              <w:bottom w:w="80" w:type="dxa"/>
              <w:end w:w="100" w:type="dxa"/>
            </w:tcMar>
            <w:vAlign w:val="center"/>
          </w:tcPr>
          <w:p>
            <w:pPr>
              <w:spacing w:after="0" w:line="240" w:lineRule="auto"/>
            </w:pPr>
            <w:r>
              <w:rPr>
                <w:b/>
                <w:sz w:val="19"/>
              </w:rPr>
              <w:t>Core focus</w:t>
            </w:r>
          </w:p>
        </w:tc>
        <w:tc>
          <w:tcPr>
            <w:tcW w:type="dxa" w:w="3312"/>
            <w:shd w:fill="D9E6F2"/>
            <w:tcMar>
              <w:top w:w="80" w:type="dxa"/>
              <w:start w:w="100" w:type="dxa"/>
              <w:bottom w:w="80" w:type="dxa"/>
              <w:end w:w="100" w:type="dxa"/>
            </w:tcMar>
            <w:vAlign w:val="center"/>
          </w:tcPr>
          <w:p>
            <w:pPr>
              <w:spacing w:after="0" w:line="240" w:lineRule="auto"/>
            </w:pPr>
            <w:r>
              <w:rPr>
                <w:b/>
                <w:sz w:val="19"/>
              </w:rPr>
              <w:t>Primary competency outcome</w:t>
            </w:r>
          </w:p>
        </w:tc>
      </w:tr>
      <w:tr>
        <w:tc>
          <w:tcPr>
            <w:tcW w:type="dxa" w:w="3312"/>
            <w:tcMar>
              <w:top w:w="80" w:type="dxa"/>
              <w:start w:w="100" w:type="dxa"/>
              <w:bottom w:w="80" w:type="dxa"/>
              <w:end w:w="100" w:type="dxa"/>
            </w:tcMar>
            <w:vAlign w:val="center"/>
          </w:tcPr>
          <w:p>
            <w:pPr>
              <w:spacing w:after="0" w:line="240" w:lineRule="auto"/>
            </w:pPr>
            <w:r>
              <w:rPr>
                <w:sz w:val="19"/>
              </w:rPr>
              <w:t>Week 5</w:t>
            </w:r>
          </w:p>
        </w:tc>
        <w:tc>
          <w:tcPr>
            <w:tcW w:type="dxa" w:w="3312"/>
            <w:tcMar>
              <w:top w:w="80" w:type="dxa"/>
              <w:start w:w="100" w:type="dxa"/>
              <w:bottom w:w="80" w:type="dxa"/>
              <w:end w:w="100" w:type="dxa"/>
            </w:tcMar>
            <w:vAlign w:val="center"/>
          </w:tcPr>
          <w:p>
            <w:pPr>
              <w:spacing w:after="0" w:line="240" w:lineRule="auto"/>
            </w:pPr>
            <w:r>
              <w:rPr>
                <w:sz w:val="19"/>
              </w:rPr>
              <w:t>Consultation structure and history taking</w:t>
            </w:r>
          </w:p>
        </w:tc>
        <w:tc>
          <w:tcPr>
            <w:tcW w:type="dxa" w:w="3312"/>
            <w:tcMar>
              <w:top w:w="80" w:type="dxa"/>
              <w:start w:w="100" w:type="dxa"/>
              <w:bottom w:w="80" w:type="dxa"/>
              <w:end w:w="100" w:type="dxa"/>
            </w:tcMar>
            <w:vAlign w:val="center"/>
          </w:tcPr>
          <w:p>
            <w:pPr>
              <w:spacing w:after="0" w:line="240" w:lineRule="auto"/>
            </w:pPr>
            <w:r>
              <w:rPr>
                <w:sz w:val="19"/>
              </w:rPr>
              <w:t>Run a clear, logical, professional consult within scope</w:t>
            </w:r>
          </w:p>
        </w:tc>
      </w:tr>
      <w:tr>
        <w:tc>
          <w:tcPr>
            <w:tcW w:type="dxa" w:w="3312"/>
            <w:tcMar>
              <w:top w:w="80" w:type="dxa"/>
              <w:start w:w="100" w:type="dxa"/>
              <w:bottom w:w="80" w:type="dxa"/>
              <w:end w:w="100" w:type="dxa"/>
            </w:tcMar>
            <w:vAlign w:val="center"/>
          </w:tcPr>
          <w:p>
            <w:pPr>
              <w:spacing w:after="0" w:line="240" w:lineRule="auto"/>
            </w:pPr>
            <w:r>
              <w:rPr>
                <w:sz w:val="19"/>
              </w:rPr>
              <w:t>Week 6</w:t>
            </w:r>
          </w:p>
        </w:tc>
        <w:tc>
          <w:tcPr>
            <w:tcW w:type="dxa" w:w="3312"/>
            <w:tcMar>
              <w:top w:w="80" w:type="dxa"/>
              <w:start w:w="100" w:type="dxa"/>
              <w:bottom w:w="80" w:type="dxa"/>
              <w:end w:w="100" w:type="dxa"/>
            </w:tcMar>
            <w:vAlign w:val="center"/>
          </w:tcPr>
          <w:p>
            <w:pPr>
              <w:spacing w:after="0" w:line="240" w:lineRule="auto"/>
            </w:pPr>
            <w:r>
              <w:rPr>
                <w:sz w:val="19"/>
              </w:rPr>
              <w:t>Screening, suitability, and escalation</w:t>
            </w:r>
          </w:p>
        </w:tc>
        <w:tc>
          <w:tcPr>
            <w:tcW w:type="dxa" w:w="3312"/>
            <w:tcMar>
              <w:top w:w="80" w:type="dxa"/>
              <w:start w:w="100" w:type="dxa"/>
              <w:bottom w:w="80" w:type="dxa"/>
              <w:end w:w="100" w:type="dxa"/>
            </w:tcMar>
            <w:vAlign w:val="center"/>
          </w:tcPr>
          <w:p>
            <w:pPr>
              <w:spacing w:after="0" w:line="240" w:lineRule="auto"/>
            </w:pPr>
            <w:r>
              <w:rPr>
                <w:sz w:val="19"/>
              </w:rPr>
              <w:t>Recognise caution flags and document sound triage support</w:t>
            </w:r>
          </w:p>
        </w:tc>
      </w:tr>
      <w:tr>
        <w:tc>
          <w:tcPr>
            <w:tcW w:type="dxa" w:w="3312"/>
            <w:tcMar>
              <w:top w:w="80" w:type="dxa"/>
              <w:start w:w="100" w:type="dxa"/>
              <w:bottom w:w="80" w:type="dxa"/>
              <w:end w:w="100" w:type="dxa"/>
            </w:tcMar>
            <w:vAlign w:val="center"/>
          </w:tcPr>
          <w:p>
            <w:pPr>
              <w:spacing w:after="0" w:line="240" w:lineRule="auto"/>
            </w:pPr>
            <w:r>
              <w:rPr>
                <w:sz w:val="19"/>
              </w:rPr>
              <w:t>Week 7</w:t>
            </w:r>
          </w:p>
        </w:tc>
        <w:tc>
          <w:tcPr>
            <w:tcW w:type="dxa" w:w="3312"/>
            <w:tcMar>
              <w:top w:w="80" w:type="dxa"/>
              <w:start w:w="100" w:type="dxa"/>
              <w:bottom w:w="80" w:type="dxa"/>
              <w:end w:w="100" w:type="dxa"/>
            </w:tcMar>
            <w:vAlign w:val="center"/>
          </w:tcPr>
          <w:p>
            <w:pPr>
              <w:spacing w:after="0" w:line="240" w:lineRule="auto"/>
            </w:pPr>
            <w:r>
              <w:rPr>
                <w:sz w:val="19"/>
              </w:rPr>
              <w:t>Communication and expectation management</w:t>
            </w:r>
          </w:p>
        </w:tc>
        <w:tc>
          <w:tcPr>
            <w:tcW w:type="dxa" w:w="3312"/>
            <w:tcMar>
              <w:top w:w="80" w:type="dxa"/>
              <w:start w:w="100" w:type="dxa"/>
              <w:bottom w:w="80" w:type="dxa"/>
              <w:end w:w="100" w:type="dxa"/>
            </w:tcMar>
            <w:vAlign w:val="center"/>
          </w:tcPr>
          <w:p>
            <w:pPr>
              <w:spacing w:after="0" w:line="240" w:lineRule="auto"/>
            </w:pPr>
            <w:r>
              <w:rPr>
                <w:sz w:val="19"/>
              </w:rPr>
              <w:t>Guide patients with clarity, empathy, and restraint</w:t>
            </w:r>
          </w:p>
        </w:tc>
      </w:tr>
      <w:tr>
        <w:tc>
          <w:tcPr>
            <w:tcW w:type="dxa" w:w="3312"/>
            <w:tcMar>
              <w:top w:w="80" w:type="dxa"/>
              <w:start w:w="100" w:type="dxa"/>
              <w:bottom w:w="80" w:type="dxa"/>
              <w:end w:w="100" w:type="dxa"/>
            </w:tcMar>
            <w:vAlign w:val="center"/>
          </w:tcPr>
          <w:p>
            <w:pPr>
              <w:spacing w:after="0" w:line="240" w:lineRule="auto"/>
            </w:pPr>
            <w:r>
              <w:rPr>
                <w:sz w:val="19"/>
              </w:rPr>
              <w:t>Week 8</w:t>
            </w:r>
          </w:p>
        </w:tc>
        <w:tc>
          <w:tcPr>
            <w:tcW w:type="dxa" w:w="3312"/>
            <w:tcMar>
              <w:top w:w="80" w:type="dxa"/>
              <w:start w:w="100" w:type="dxa"/>
              <w:bottom w:w="80" w:type="dxa"/>
              <w:end w:w="100" w:type="dxa"/>
            </w:tcMar>
            <w:vAlign w:val="center"/>
          </w:tcPr>
          <w:p>
            <w:pPr>
              <w:spacing w:after="0" w:line="240" w:lineRule="auto"/>
            </w:pPr>
            <w:r>
              <w:rPr>
                <w:sz w:val="19"/>
              </w:rPr>
              <w:t>Treatment education for non-doctor roles</w:t>
            </w:r>
          </w:p>
        </w:tc>
        <w:tc>
          <w:tcPr>
            <w:tcW w:type="dxa" w:w="3312"/>
            <w:tcMar>
              <w:top w:w="80" w:type="dxa"/>
              <w:start w:w="100" w:type="dxa"/>
              <w:bottom w:w="80" w:type="dxa"/>
              <w:end w:w="100" w:type="dxa"/>
            </w:tcMar>
            <w:vAlign w:val="center"/>
          </w:tcPr>
          <w:p>
            <w:pPr>
              <w:spacing w:after="0" w:line="240" w:lineRule="auto"/>
            </w:pPr>
            <w:r>
              <w:rPr>
                <w:sz w:val="19"/>
              </w:rPr>
              <w:t>Explain pathways responsibly without overselling</w:t>
            </w:r>
          </w:p>
        </w:tc>
      </w:tr>
    </w:tbl>
    <w:p>
      <w:pPr>
        <w:spacing w:after="60" w:line="259" w:lineRule="auto"/>
      </w:pPr>
      <w:r>
        <w:br w:type="page"/>
      </w:r>
    </w:p>
    <w:p>
      <w:pPr>
        <w:pStyle w:val="Heading1"/>
        <w:spacing w:after="60" w:line="276" w:lineRule="auto"/>
      </w:pPr>
      <w:r>
        <w:rPr>
          <w:b w:val="0"/>
          <w:i w:val="0"/>
        </w:rPr>
        <w:t>Week 5</w:t>
      </w:r>
    </w:p>
    <w:p>
      <w:pPr>
        <w:pStyle w:val="Heading2"/>
        <w:spacing w:after="80" w:line="276" w:lineRule="auto"/>
      </w:pPr>
      <w:r>
        <w:rPr>
          <w:b w:val="0"/>
          <w:i w:val="0"/>
        </w:rPr>
        <w:t>Consultation Structure and History Taking</w:t>
      </w:r>
    </w:p>
    <w:p>
      <w:pPr>
        <w:spacing w:after="80" w:line="276" w:lineRule="auto"/>
      </w:pPr>
      <w:r>
        <w:rPr>
          <w:b w:val="0"/>
          <w:i/>
          <w:color w:val="505050"/>
        </w:rPr>
        <w:t>Weekly theme: Building a consultation that is structured, calm, clinically useful, and professionally bounded.</w:t>
      </w:r>
    </w:p>
    <w:p>
      <w:pPr>
        <w:pStyle w:val="Heading3"/>
        <w:spacing w:after="80" w:line="276" w:lineRule="auto"/>
      </w:pPr>
      <w:r>
        <w:rPr>
          <w:b w:val="0"/>
          <w:i w:val="0"/>
        </w:rPr>
        <w:t>Learning outcomes</w:t>
      </w:r>
    </w:p>
    <w:p>
      <w:pPr>
        <w:spacing w:after="40"/>
        <w:ind w:left="288"/>
      </w:pPr>
      <w:r>
        <w:rPr>
          <w:b/>
        </w:rPr>
        <w:t xml:space="preserve">• </w:t>
      </w:r>
      <w:r>
        <w:t>Run a consultation with a logical sequence and clear role explanation.</w:t>
      </w:r>
    </w:p>
    <w:p>
      <w:pPr>
        <w:spacing w:after="40"/>
        <w:ind w:left="288"/>
      </w:pPr>
      <w:r>
        <w:rPr>
          <w:b/>
        </w:rPr>
        <w:t xml:space="preserve">• </w:t>
      </w:r>
      <w:r>
        <w:t>Gather clinically relevant history more effectively.</w:t>
      </w:r>
    </w:p>
    <w:p>
      <w:pPr>
        <w:spacing w:after="40"/>
        <w:ind w:left="288"/>
      </w:pPr>
      <w:r>
        <w:rPr>
          <w:b/>
        </w:rPr>
        <w:t xml:space="preserve">• </w:t>
      </w:r>
      <w:r>
        <w:t>Distinguish between a patient’s surface request and their underlying concern.</w:t>
      </w:r>
    </w:p>
    <w:p>
      <w:pPr>
        <w:spacing w:after="40"/>
        <w:ind w:left="288"/>
      </w:pPr>
      <w:r>
        <w:rPr>
          <w:b/>
        </w:rPr>
        <w:t xml:space="preserve">• </w:t>
      </w:r>
      <w:r>
        <w:t>Produce consultation notes that are useful for doctor handover and internal review.</w:t>
      </w:r>
    </w:p>
    <w:p>
      <w:pPr>
        <w:pStyle w:val="Heading3"/>
        <w:spacing w:after="80" w:line="276" w:lineRule="auto"/>
      </w:pPr>
      <w:r>
        <w:rPr>
          <w:b w:val="0"/>
          <w:i w:val="0"/>
        </w:rPr>
        <w:t>1. The anatomy of a strong consultation</w:t>
      </w:r>
    </w:p>
    <w:p>
      <w:pPr>
        <w:spacing w:after="80" w:line="276" w:lineRule="auto"/>
      </w:pPr>
      <w:r>
        <w:rPr>
          <w:b w:val="0"/>
          <w:i w:val="0"/>
        </w:rPr>
        <w:t>A high-quality consultation has a beginning, middle, and end. It should not feel rushed, improvised, or dominated by sales language. The patient should leave with a clearer understanding of what is known, what still needs medical review, and what the next steps are.</w:t>
      </w:r>
    </w:p>
    <w:p>
      <w:pPr>
        <w:spacing w:after="80" w:line="276" w:lineRule="auto"/>
      </w:pPr>
      <w:r>
        <w:rPr>
          <w:b w:val="0"/>
          <w:i w:val="0"/>
        </w:rPr>
        <w:t>In practical terms, the consultation begins with rapport and orientation, moves into structured history taking and visual assessment, then progresses into education, expectation setting, and a clear handover or plan. Even when the patient is eager to talk about treatment immediately, the professional should guide the flow instead of letting the discussion become chaotic.</w:t>
      </w:r>
    </w:p>
    <w:p>
      <w:pPr>
        <w:spacing w:after="80" w:line="276" w:lineRule="auto"/>
      </w:pPr>
      <w:r>
        <w:rPr>
          <w:b w:val="0"/>
          <w:i w:val="0"/>
        </w:rPr>
        <w:t>A strong consultation is also paced well. The patient should feel listened to, but the discussion still needs structure. Good consultation practice is therefore a balance between empathy and discipline.</w:t>
      </w:r>
    </w:p>
    <w:p>
      <w:pPr>
        <w:pStyle w:val="Heading3"/>
        <w:spacing w:after="80" w:line="276" w:lineRule="auto"/>
      </w:pPr>
      <w:r>
        <w:rPr>
          <w:b w:val="0"/>
          <w:i w:val="0"/>
        </w:rPr>
        <w:t>2. Opening the consultation professionally</w:t>
      </w:r>
    </w:p>
    <w:p>
      <w:pPr>
        <w:spacing w:after="80" w:line="276" w:lineRule="auto"/>
      </w:pPr>
      <w:r>
        <w:rPr>
          <w:b w:val="0"/>
          <w:i w:val="0"/>
        </w:rPr>
        <w:t>The opening minute often sets the tone for the rest of the interaction. Introduce yourself clearly, explain your role honestly, and define the purpose of the consultation. This reduces confusion about authority and helps the patient understand what to expect.</w:t>
      </w:r>
    </w:p>
    <w:p>
      <w:pPr>
        <w:spacing w:after="80" w:line="276" w:lineRule="auto"/>
      </w:pPr>
      <w:r>
        <w:rPr>
          <w:b w:val="0"/>
          <w:i w:val="0"/>
        </w:rPr>
        <w:t>A useful opening may include three elements: who you are, what your role is, and what will happen during the session. For example, a consultant or nurse might say that the aim is to understand the patient’s concerns, gather relevant history, discuss possible pathways at a high level, and prepare the case properly for doctor review where required.</w:t>
      </w:r>
    </w:p>
    <w:p>
      <w:pPr>
        <w:spacing w:after="80" w:line="276" w:lineRule="auto"/>
      </w:pPr>
      <w:r>
        <w:rPr>
          <w:b w:val="0"/>
          <w:i w:val="0"/>
        </w:rPr>
        <w:t>When done well, this opening immediately lowers the risk of overclaiming authority. It also builds trust because patients generally respond well to clarity.</w:t>
      </w:r>
    </w:p>
    <w:p>
      <w:pPr>
        <w:pStyle w:val="Heading3"/>
        <w:spacing w:after="80" w:line="276" w:lineRule="auto"/>
      </w:pPr>
      <w:r>
        <w:rPr>
          <w:b w:val="0"/>
          <w:i w:val="0"/>
        </w:rPr>
        <w:t>3. History taking essentials</w:t>
      </w:r>
    </w:p>
    <w:p>
      <w:pPr>
        <w:spacing w:after="80" w:line="276" w:lineRule="auto"/>
      </w:pPr>
      <w:r>
        <w:rPr>
          <w:b w:val="0"/>
          <w:i w:val="0"/>
        </w:rPr>
        <w:t>History taking is not a box-ticking exercise. It is the core information-gathering phase that helps the clinic understand pattern, progression, stability, prior treatment exposure, and possible red flags. A patient-facing professional should know what questions matter and why.</w:t>
      </w:r>
    </w:p>
    <w:p>
      <w:pPr>
        <w:spacing w:after="80" w:line="276" w:lineRule="auto"/>
      </w:pPr>
      <w:r>
        <w:rPr>
          <w:b w:val="0"/>
          <w:i w:val="0"/>
        </w:rPr>
        <w:t>Core areas usually include age of onset, pace of change, family history, previous surgeries, treatment history, current medications or supplements, scalp symptoms, and the patient’s immediate goals. Where appropriate, broader medical or hormonal questions may also be relevant, but these should be handled carefully and within the scope of the role.</w:t>
      </w:r>
    </w:p>
    <w:p>
      <w:pPr>
        <w:spacing w:after="80" w:line="276" w:lineRule="auto"/>
      </w:pPr>
      <w:r>
        <w:rPr>
          <w:b w:val="0"/>
          <w:i w:val="0"/>
        </w:rPr>
        <w:t>Remember that what the patient volunteers at the start is rarely the whole story. Calm, well-sequenced questioning often reveals critical details later in the conversation.</w:t>
      </w:r>
    </w:p>
    <w:p>
      <w:pPr>
        <w:pStyle w:val="Heading3"/>
        <w:spacing w:after="80" w:line="276" w:lineRule="auto"/>
      </w:pPr>
      <w:r>
        <w:rPr>
          <w:b w:val="0"/>
          <w:i w:val="0"/>
        </w:rPr>
        <w:t>4. Listening for goals, fears, and assumptions</w:t>
      </w:r>
    </w:p>
    <w:p>
      <w:pPr>
        <w:spacing w:after="80" w:line="276" w:lineRule="auto"/>
      </w:pPr>
      <w:r>
        <w:rPr>
          <w:b w:val="0"/>
          <w:i w:val="0"/>
        </w:rPr>
        <w:t>Patients do not arrive with clinical language. They often describe what bothers them emotionally rather than what is happening biologically. A patient may say, 'I just want my old hair back,' but behind that statement may be fear of ageing, embarrassment, relationship pressure, work stress, or panic after seeing recent shedding.</w:t>
      </w:r>
    </w:p>
    <w:p>
      <w:pPr>
        <w:spacing w:after="80" w:line="276" w:lineRule="auto"/>
      </w:pPr>
      <w:r>
        <w:rPr>
          <w:b w:val="0"/>
          <w:i w:val="0"/>
        </w:rPr>
        <w:t>One of the most important consultation skills is learning to hear both the surface request and the underlying concern. This makes expectation setting more precise and improves the quality of the eventual doctor handover.</w:t>
      </w:r>
    </w:p>
    <w:p>
      <w:pPr>
        <w:spacing w:after="80" w:line="276" w:lineRule="auto"/>
      </w:pPr>
      <w:r>
        <w:rPr>
          <w:b w:val="0"/>
          <w:i w:val="0"/>
        </w:rPr>
        <w:t>It also helps the professional avoid prematurely matching a patient’s emotional urgency with a rushed treatment conversation.</w:t>
      </w:r>
    </w:p>
    <w:p>
      <w:pPr>
        <w:pStyle w:val="Heading3"/>
        <w:spacing w:after="80" w:line="276" w:lineRule="auto"/>
      </w:pPr>
      <w:r>
        <w:rPr>
          <w:b w:val="0"/>
          <w:i w:val="0"/>
        </w:rPr>
        <w:t>5. Consultation notes that support the clinic</w:t>
      </w:r>
    </w:p>
    <w:p>
      <w:pPr>
        <w:spacing w:after="80" w:line="276" w:lineRule="auto"/>
      </w:pPr>
      <w:r>
        <w:rPr>
          <w:b w:val="0"/>
          <w:i w:val="0"/>
        </w:rPr>
        <w:t>Good consultation notes are concise, factual, and useful. They should help the next clinician understand the case quickly without needing to reconstruct the entire conversation from memory.</w:t>
      </w:r>
    </w:p>
    <w:p>
      <w:pPr>
        <w:spacing w:after="80" w:line="276" w:lineRule="auto"/>
      </w:pPr>
      <w:r>
        <w:rPr>
          <w:b w:val="0"/>
          <w:i w:val="0"/>
        </w:rPr>
        <w:t>Write objectively. Record facts, the patient’s stated concerns, relevant treatment history, notable caution points, and any questions that require clarification at doctor review. Avoid vague notes such as 'wants transplant' or 'good candidate' unless those statements are supported and appropriate within policy.</w:t>
      </w:r>
    </w:p>
    <w:p>
      <w:pPr>
        <w:spacing w:after="80" w:line="276" w:lineRule="auto"/>
      </w:pPr>
      <w:r>
        <w:rPr>
          <w:b w:val="0"/>
          <w:i w:val="0"/>
        </w:rPr>
        <w:t>A strong note is a clinical communication tool, not a sales diary.</w:t>
      </w:r>
    </w:p>
    <w:p>
      <w:pPr>
        <w:pStyle w:val="Heading3"/>
        <w:spacing w:after="80" w:line="276" w:lineRule="auto"/>
      </w:pPr>
      <w:r>
        <w:rPr>
          <w:b w:val="0"/>
          <w:i w:val="0"/>
        </w:rPr>
        <w:t>Practice application</w:t>
      </w:r>
    </w:p>
    <w:tbl>
      <w:tblPr>
        <w:tblW w:type="auto" w:w="0"/>
        <w:jc w:val="center"/>
        <w:tblLook w:firstColumn="1" w:firstRow="1" w:lastColumn="0" w:lastRow="0" w:noHBand="0" w:noVBand="1" w:val="04A0"/>
      </w:tblPr>
      <w:tblGrid>
        <w:gridCol w:w="9936"/>
      </w:tblGrid>
      <w:tr>
        <w:tc>
          <w:tcPr>
            <w:tcW w:type="dxa" w:w="9936"/>
            <w:shd w:fill="F5F7FA"/>
            <w:tcMar>
              <w:top w:w="120" w:type="dxa"/>
              <w:start w:w="120" w:type="dxa"/>
              <w:bottom w:w="120" w:type="dxa"/>
              <w:end w:w="120" w:type="dxa"/>
            </w:tcMar>
          </w:tcPr>
          <w:p>
            <w:r>
              <w:rPr>
                <w:sz w:val="20"/>
              </w:rPr>
              <w:t>Exercise: Draft a consultation template with headings for opening, history, visual concerns, treatment history, red flags, patient goals, and next-step handover. Then use it in a mock case and revise what felt unclear or repetitive.</w:t>
            </w:r>
          </w:p>
        </w:tc>
      </w:tr>
    </w:tbl>
    <w:p>
      <w:pPr>
        <w:pStyle w:val="Heading3"/>
        <w:spacing w:after="80" w:line="276" w:lineRule="auto"/>
      </w:pPr>
      <w:r>
        <w:rPr>
          <w:b w:val="0"/>
          <w:i w:val="0"/>
        </w:rPr>
        <w:t>Professional caution</w:t>
      </w:r>
    </w:p>
    <w:tbl>
      <w:tblPr>
        <w:tblW w:type="auto" w:w="0"/>
        <w:jc w:val="center"/>
        <w:tblLook w:firstColumn="1" w:firstRow="1" w:lastColumn="0" w:lastRow="0" w:noHBand="0" w:noVBand="1" w:val="04A0"/>
      </w:tblPr>
      <w:tblGrid>
        <w:gridCol w:w="9936"/>
      </w:tblGrid>
      <w:tr>
        <w:tc>
          <w:tcPr>
            <w:tcW w:type="dxa" w:w="9936"/>
            <w:shd w:fill="FBE9E7"/>
            <w:tcMar>
              <w:top w:w="120" w:type="dxa"/>
              <w:start w:w="120" w:type="dxa"/>
              <w:bottom w:w="120" w:type="dxa"/>
              <w:end w:w="120" w:type="dxa"/>
            </w:tcMar>
          </w:tcPr>
          <w:p>
            <w:r>
              <w:rPr>
                <w:sz w:val="20"/>
              </w:rPr>
              <w:t>Do not allow the consultation to become a treatment recommendation session before adequate history has been taken. Early certainty often leads to poor documentation and poor expectation setting.</w:t>
            </w:r>
          </w:p>
        </w:tc>
      </w:tr>
    </w:tbl>
    <w:p>
      <w:r>
        <w:br w:type="page"/>
      </w:r>
    </w:p>
    <w:p>
      <w:pPr>
        <w:pStyle w:val="Heading1"/>
        <w:spacing w:after="80" w:line="276" w:lineRule="auto"/>
      </w:pPr>
      <w:r>
        <w:rPr>
          <w:b w:val="0"/>
          <w:i w:val="0"/>
        </w:rPr>
        <w:t>Week 6</w:t>
      </w:r>
    </w:p>
    <w:p>
      <w:pPr>
        <w:pStyle w:val="Heading2"/>
        <w:spacing w:after="80" w:line="276" w:lineRule="auto"/>
      </w:pPr>
      <w:r>
        <w:rPr>
          <w:b w:val="0"/>
          <w:i w:val="0"/>
        </w:rPr>
        <w:t>Screening, Suitability, and When to Slow Down</w:t>
      </w:r>
    </w:p>
    <w:p>
      <w:pPr>
        <w:spacing w:after="80" w:line="276" w:lineRule="auto"/>
      </w:pPr>
      <w:r>
        <w:rPr>
          <w:b w:val="0"/>
          <w:i/>
          <w:color w:val="505050"/>
        </w:rPr>
        <w:t>Weekly theme: Helping the clinic identify when to proceed, when to pause, and when to escalate.</w:t>
      </w:r>
    </w:p>
    <w:p>
      <w:pPr>
        <w:pStyle w:val="Heading3"/>
        <w:spacing w:after="80" w:line="276" w:lineRule="auto"/>
      </w:pPr>
      <w:r>
        <w:rPr>
          <w:b w:val="0"/>
          <w:i w:val="0"/>
        </w:rPr>
        <w:t>Learning outcomes</w:t>
      </w:r>
    </w:p>
    <w:p>
      <w:pPr>
        <w:spacing w:after="40"/>
        <w:ind w:left="288"/>
      </w:pPr>
      <w:r>
        <w:rPr>
          <w:b/>
        </w:rPr>
        <w:t xml:space="preserve">• </w:t>
      </w:r>
      <w:r>
        <w:t>Differentiate straightforward, cautionary, and high-risk consultations at a support level.</w:t>
      </w:r>
    </w:p>
    <w:p>
      <w:pPr>
        <w:spacing w:after="40"/>
        <w:ind w:left="288"/>
      </w:pPr>
      <w:r>
        <w:rPr>
          <w:b/>
        </w:rPr>
        <w:t xml:space="preserve">• </w:t>
      </w:r>
      <w:r>
        <w:t>Recognise common suitability concerns without making definitive medical claims.</w:t>
      </w:r>
    </w:p>
    <w:p>
      <w:pPr>
        <w:spacing w:after="40"/>
        <w:ind w:left="288"/>
      </w:pPr>
      <w:r>
        <w:rPr>
          <w:b/>
        </w:rPr>
        <w:t xml:space="preserve">• </w:t>
      </w:r>
      <w:r>
        <w:t>Document caution flags clearly for internal review.</w:t>
      </w:r>
    </w:p>
    <w:p>
      <w:pPr>
        <w:spacing w:after="40"/>
        <w:ind w:left="288"/>
      </w:pPr>
      <w:r>
        <w:rPr>
          <w:b/>
        </w:rPr>
        <w:t xml:space="preserve">• </w:t>
      </w:r>
      <w:r>
        <w:t>Use escalation and deferral language professionally.</w:t>
      </w:r>
    </w:p>
    <w:p>
      <w:pPr>
        <w:pStyle w:val="Heading3"/>
        <w:spacing w:after="80" w:line="276" w:lineRule="auto"/>
      </w:pPr>
      <w:r>
        <w:rPr>
          <w:b w:val="0"/>
          <w:i w:val="0"/>
        </w:rPr>
        <w:t>1. What screening means in this context</w:t>
      </w:r>
    </w:p>
    <w:p>
      <w:pPr>
        <w:spacing w:after="80" w:line="276" w:lineRule="auto"/>
      </w:pPr>
      <w:r>
        <w:rPr>
          <w:b w:val="0"/>
          <w:i w:val="0"/>
        </w:rPr>
        <w:t>Screening is the process of identifying whether a case appears straightforward, cautionary, or unsuitable for fast-tracking. In the consultant and nurse pathway, screening supports safe flow and appropriate escalation. It does not replace medical diagnosis or formal treatment decision-making.</w:t>
      </w:r>
    </w:p>
    <w:p>
      <w:pPr>
        <w:spacing w:after="80" w:line="276" w:lineRule="auto"/>
      </w:pPr>
      <w:r>
        <w:rPr>
          <w:b w:val="0"/>
          <w:i w:val="0"/>
        </w:rPr>
        <w:t>Done properly, screening protects both the patient and the clinic. It helps prevent rushed promises, identifies patients who need doctor review sooner, and improves the quality of internal case discussion.</w:t>
      </w:r>
    </w:p>
    <w:p>
      <w:pPr>
        <w:pStyle w:val="Heading3"/>
        <w:spacing w:after="80" w:line="276" w:lineRule="auto"/>
      </w:pPr>
      <w:r>
        <w:rPr>
          <w:b w:val="0"/>
          <w:i w:val="0"/>
        </w:rPr>
        <w:t>2. Common suitability concerns</w:t>
      </w:r>
    </w:p>
    <w:p>
      <w:pPr>
        <w:spacing w:after="80" w:line="276" w:lineRule="auto"/>
      </w:pPr>
      <w:r>
        <w:rPr>
          <w:b w:val="0"/>
          <w:i w:val="0"/>
        </w:rPr>
        <w:t>Suitability concerns often arise from age, instability of loss, diffuse thinning, poor donor quality, unrealistic expectations, previous failed surgery, or poor understanding of maintenance. Psychological urgency can also distort decision-making and must be treated seriously.</w:t>
      </w:r>
    </w:p>
    <w:p>
      <w:pPr>
        <w:spacing w:after="80" w:line="276" w:lineRule="auto"/>
      </w:pPr>
      <w:r>
        <w:rPr>
          <w:b w:val="0"/>
          <w:i w:val="0"/>
        </w:rPr>
        <w:t>The purpose of identifying these factors is not to reject people casually. It is to slow the process down, make the handover more intelligent, and ensure the clinic does not drift into inappropriate enthusiasm.</w:t>
      </w:r>
    </w:p>
    <w:p>
      <w:pPr>
        <w:pStyle w:val="Heading3"/>
        <w:spacing w:after="80" w:line="276" w:lineRule="auto"/>
      </w:pPr>
      <w:r>
        <w:rPr>
          <w:b w:val="0"/>
          <w:i w:val="0"/>
        </w:rPr>
        <w:t>3. Donor caution and visual illusions</w:t>
      </w:r>
    </w:p>
    <w:p>
      <w:pPr>
        <w:spacing w:after="80" w:line="276" w:lineRule="auto"/>
      </w:pPr>
      <w:r>
        <w:rPr>
          <w:b w:val="0"/>
          <w:i w:val="0"/>
        </w:rPr>
        <w:t>Many patients judge donor strength by appearance alone. Thick-looking hair does not necessarily mean robust donor availability, and the opposite can also be true. Hair calibre, wave, scalp-hair contrast, prior extractions, miniaturisation, and styling all influence how the donor visually presents.</w:t>
      </w:r>
    </w:p>
    <w:p>
      <w:pPr>
        <w:spacing w:after="80" w:line="276" w:lineRule="auto"/>
      </w:pPr>
      <w:r>
        <w:rPr>
          <w:b w:val="0"/>
          <w:i w:val="0"/>
        </w:rPr>
        <w:t>Because donor supply is finite, front-end staff must learn humility when discussing surgery. It is acceptable to educate broadly on the concept of donor limitation, but specific promises about numbers or feasibility should remain measured until the appropriate clinical review occurs.</w:t>
      </w:r>
    </w:p>
    <w:p>
      <w:pPr>
        <w:pStyle w:val="Heading3"/>
        <w:spacing w:after="80" w:line="276" w:lineRule="auto"/>
      </w:pPr>
      <w:r>
        <w:rPr>
          <w:b w:val="0"/>
          <w:i w:val="0"/>
        </w:rPr>
        <w:t>4. Emotional and behavioural caution flags</w:t>
      </w:r>
    </w:p>
    <w:p>
      <w:pPr>
        <w:spacing w:after="80" w:line="276" w:lineRule="auto"/>
      </w:pPr>
      <w:r>
        <w:rPr>
          <w:b w:val="0"/>
          <w:i w:val="0"/>
        </w:rPr>
        <w:t>Some of the highest-risk consultations are not driven by biology alone. Patients who are highly distressed, desperate to proceed immediately, repeatedly seek reassurance, or appear fixated on perfection may require a slower and more careful pathway.</w:t>
      </w:r>
    </w:p>
    <w:p>
      <w:pPr>
        <w:spacing w:after="80" w:line="276" w:lineRule="auto"/>
      </w:pPr>
      <w:r>
        <w:rPr>
          <w:b w:val="0"/>
          <w:i w:val="0"/>
        </w:rPr>
        <w:t>Emotional drivers do not automatically make someone unsuitable. However, they do make expectation management more important and may influence how the team sequences consultation, doctor review, and decision-making.</w:t>
      </w:r>
    </w:p>
    <w:p>
      <w:pPr>
        <w:pStyle w:val="Heading3"/>
        <w:spacing w:after="80" w:line="276" w:lineRule="auto"/>
      </w:pPr>
      <w:r>
        <w:rPr>
          <w:b w:val="0"/>
          <w:i w:val="0"/>
        </w:rPr>
        <w:t>5. Escalation and deferral</w:t>
      </w:r>
    </w:p>
    <w:p>
      <w:pPr>
        <w:spacing w:after="80" w:line="276" w:lineRule="auto"/>
      </w:pPr>
      <w:r>
        <w:rPr>
          <w:b w:val="0"/>
          <w:i w:val="0"/>
        </w:rPr>
        <w:t>When caution exists, the right action is often not dramatic. It may simply mean documenting concerns clearly, telling the patient that further doctor review is necessary, avoiding premature price or outcome conversations, and ensuring the next step is clinically appropriate.</w:t>
      </w:r>
    </w:p>
    <w:p>
      <w:pPr>
        <w:spacing w:after="80" w:line="276" w:lineRule="auto"/>
      </w:pPr>
      <w:r>
        <w:rPr>
          <w:b w:val="0"/>
          <w:i w:val="0"/>
        </w:rPr>
        <w:t>Deferral, in this context, should be framed professionally. The patient should feel protected, not dismissed. Good clinics know how to slow down without damaging trust.</w:t>
      </w:r>
    </w:p>
    <w:p>
      <w:pPr>
        <w:pStyle w:val="Heading3"/>
        <w:spacing w:after="80" w:line="276" w:lineRule="auto"/>
      </w:pPr>
      <w:r>
        <w:rPr>
          <w:b w:val="0"/>
          <w:i w:val="0"/>
        </w:rPr>
        <w:t>Practice application</w:t>
      </w:r>
    </w:p>
    <w:tbl>
      <w:tblPr>
        <w:tblW w:type="auto" w:w="0"/>
        <w:jc w:val="center"/>
        <w:tblLook w:firstColumn="1" w:firstRow="1" w:lastColumn="0" w:lastRow="0" w:noHBand="0" w:noVBand="1" w:val="04A0"/>
      </w:tblPr>
      <w:tblGrid>
        <w:gridCol w:w="9936"/>
      </w:tblGrid>
      <w:tr>
        <w:tc>
          <w:tcPr>
            <w:tcW w:type="dxa" w:w="9936"/>
            <w:shd w:fill="F5F7FA"/>
            <w:tcMar>
              <w:top w:w="120" w:type="dxa"/>
              <w:start w:w="120" w:type="dxa"/>
              <w:bottom w:w="120" w:type="dxa"/>
              <w:end w:w="120" w:type="dxa"/>
            </w:tcMar>
          </w:tcPr>
          <w:p>
            <w:r>
              <w:rPr>
                <w:sz w:val="20"/>
              </w:rPr>
              <w:t>Case exercise: Review four mock patient histories and classify each as straightforward, cautionary, or high priority for doctor review. For each one, write a short rationale and a one-paragraph handover note.</w:t>
            </w:r>
          </w:p>
        </w:tc>
      </w:tr>
    </w:tbl>
    <w:p>
      <w:pPr>
        <w:pStyle w:val="Heading3"/>
        <w:spacing w:after="80" w:line="276" w:lineRule="auto"/>
      </w:pPr>
      <w:r>
        <w:rPr>
          <w:b w:val="0"/>
          <w:i w:val="0"/>
        </w:rPr>
        <w:t>Professional caution</w:t>
      </w:r>
    </w:p>
    <w:tbl>
      <w:tblPr>
        <w:tblW w:type="auto" w:w="0"/>
        <w:jc w:val="center"/>
        <w:tblLook w:firstColumn="1" w:firstRow="1" w:lastColumn="0" w:lastRow="0" w:noHBand="0" w:noVBand="1" w:val="04A0"/>
      </w:tblPr>
      <w:tblGrid>
        <w:gridCol w:w="9936"/>
      </w:tblGrid>
      <w:tr>
        <w:tc>
          <w:tcPr>
            <w:tcW w:type="dxa" w:w="9936"/>
            <w:shd w:fill="FBE9E7"/>
            <w:tcMar>
              <w:top w:w="120" w:type="dxa"/>
              <w:start w:w="120" w:type="dxa"/>
              <w:bottom w:w="120" w:type="dxa"/>
              <w:end w:w="120" w:type="dxa"/>
            </w:tcMar>
          </w:tcPr>
          <w:p>
            <w:r>
              <w:rPr>
                <w:sz w:val="20"/>
              </w:rPr>
              <w:t>Never allow commercial pressure to replace suitability judgement. A patient who is emotionally urgent or biologically complex should not be 'pushed through' simply because they seem motivated to buy.</w:t>
            </w:r>
          </w:p>
        </w:tc>
      </w:tr>
    </w:tbl>
    <w:p>
      <w:r>
        <w:br w:type="page"/>
      </w:r>
    </w:p>
    <w:p>
      <w:pPr>
        <w:pStyle w:val="Heading1"/>
        <w:spacing w:after="80" w:line="276" w:lineRule="auto"/>
      </w:pPr>
      <w:r>
        <w:rPr>
          <w:b w:val="0"/>
          <w:i w:val="0"/>
        </w:rPr>
        <w:t>Week 7</w:t>
      </w:r>
    </w:p>
    <w:p>
      <w:pPr>
        <w:pStyle w:val="Heading2"/>
        <w:spacing w:after="80" w:line="276" w:lineRule="auto"/>
      </w:pPr>
      <w:r>
        <w:rPr>
          <w:b w:val="0"/>
          <w:i w:val="0"/>
        </w:rPr>
        <w:t>Communication Mastery and Expectation Management</w:t>
      </w:r>
    </w:p>
    <w:p>
      <w:pPr>
        <w:spacing w:after="80" w:line="276" w:lineRule="auto"/>
      </w:pPr>
      <w:r>
        <w:rPr>
          <w:b w:val="0"/>
          <w:i/>
          <w:color w:val="505050"/>
        </w:rPr>
        <w:t>Weekly theme: Guiding patients with empathy, precision, and restraint while protecting trust.</w:t>
      </w:r>
    </w:p>
    <w:p>
      <w:pPr>
        <w:pStyle w:val="Heading3"/>
        <w:spacing w:after="80" w:line="276" w:lineRule="auto"/>
      </w:pPr>
      <w:r>
        <w:rPr>
          <w:b w:val="0"/>
          <w:i w:val="0"/>
        </w:rPr>
        <w:t>Learning outcomes</w:t>
      </w:r>
    </w:p>
    <w:p>
      <w:pPr>
        <w:spacing w:after="40"/>
        <w:ind w:left="288"/>
      </w:pPr>
      <w:r>
        <w:rPr>
          <w:b/>
        </w:rPr>
        <w:t xml:space="preserve">• </w:t>
      </w:r>
      <w:r>
        <w:t>Use communication to improve trust, clarity, and safety.</w:t>
      </w:r>
    </w:p>
    <w:p>
      <w:pPr>
        <w:spacing w:after="40"/>
        <w:ind w:left="288"/>
      </w:pPr>
      <w:r>
        <w:rPr>
          <w:b/>
        </w:rPr>
        <w:t xml:space="preserve">• </w:t>
      </w:r>
      <w:r>
        <w:t>Recognise emotional drivers that sit behind patient questions.</w:t>
      </w:r>
    </w:p>
    <w:p>
      <w:pPr>
        <w:spacing w:after="40"/>
        <w:ind w:left="288"/>
      </w:pPr>
      <w:r>
        <w:rPr>
          <w:b/>
        </w:rPr>
        <w:t xml:space="preserve">• </w:t>
      </w:r>
      <w:r>
        <w:t>Set expectations with realism rather than defensiveness or hype.</w:t>
      </w:r>
    </w:p>
    <w:p>
      <w:pPr>
        <w:spacing w:after="40"/>
        <w:ind w:left="288"/>
      </w:pPr>
      <w:r>
        <w:rPr>
          <w:b/>
        </w:rPr>
        <w:t xml:space="preserve">• </w:t>
      </w:r>
      <w:r>
        <w:t>Replace risky phrases with safer professional alternatives.</w:t>
      </w:r>
    </w:p>
    <w:p>
      <w:pPr>
        <w:pStyle w:val="Heading3"/>
        <w:spacing w:after="80" w:line="276" w:lineRule="auto"/>
      </w:pPr>
      <w:r>
        <w:rPr>
          <w:b w:val="0"/>
          <w:i w:val="0"/>
        </w:rPr>
        <w:t>1. Communication as a clinical safety tool</w:t>
      </w:r>
    </w:p>
    <w:p>
      <w:pPr>
        <w:spacing w:after="80" w:line="276" w:lineRule="auto"/>
      </w:pPr>
      <w:r>
        <w:rPr>
          <w:b w:val="0"/>
          <w:i w:val="0"/>
        </w:rPr>
        <w:t>In hair restoration, communication is not a soft skill sitting beside the real work. It is part of the real work. Patients build expectations from words long before they judge outcomes from photos. For that reason, communication should be treated as a safety tool as much as a relationship tool.</w:t>
      </w:r>
    </w:p>
    <w:p>
      <w:pPr>
        <w:spacing w:after="80" w:line="276" w:lineRule="auto"/>
      </w:pPr>
      <w:r>
        <w:rPr>
          <w:b w:val="0"/>
          <w:i w:val="0"/>
        </w:rPr>
        <w:t>Skilled communication makes the patient feel heard while still preserving realism. It reduces misunderstanding, supports consent quality, and helps maintain trust when uncertainty or limitation must be discussed.</w:t>
      </w:r>
    </w:p>
    <w:p>
      <w:pPr>
        <w:pStyle w:val="Heading3"/>
        <w:spacing w:after="80" w:line="276" w:lineRule="auto"/>
      </w:pPr>
      <w:r>
        <w:rPr>
          <w:b w:val="0"/>
          <w:i w:val="0"/>
        </w:rPr>
        <w:t>2. Understanding emotional drivers</w:t>
      </w:r>
    </w:p>
    <w:p>
      <w:pPr>
        <w:spacing w:after="80" w:line="276" w:lineRule="auto"/>
      </w:pPr>
      <w:r>
        <w:rPr>
          <w:b w:val="0"/>
          <w:i w:val="0"/>
        </w:rPr>
        <w:t>Hair loss can affect confidence, identity, intimacy, social comfort, and professional presence. A patient’s apparent question about density or graft numbers may really be a question about confidence, control, embarrassment, or fear.</w:t>
      </w:r>
    </w:p>
    <w:p>
      <w:pPr>
        <w:spacing w:after="80" w:line="276" w:lineRule="auto"/>
      </w:pPr>
      <w:r>
        <w:rPr>
          <w:b w:val="0"/>
          <w:i w:val="0"/>
        </w:rPr>
        <w:t>When staff recognise these drivers, they can respond more effectively. The patient may not need immediate certainty; they may need to feel that the clinic understands what this problem means to them.</w:t>
      </w:r>
    </w:p>
    <w:p>
      <w:pPr>
        <w:pStyle w:val="Heading3"/>
        <w:spacing w:after="80" w:line="276" w:lineRule="auto"/>
      </w:pPr>
      <w:r>
        <w:rPr>
          <w:b w:val="0"/>
          <w:i w:val="0"/>
        </w:rPr>
        <w:t>3. Setting expectations without becoming negative</w:t>
      </w:r>
    </w:p>
    <w:p>
      <w:pPr>
        <w:spacing w:after="80" w:line="276" w:lineRule="auto"/>
      </w:pPr>
      <w:r>
        <w:rPr>
          <w:b w:val="0"/>
          <w:i w:val="0"/>
        </w:rPr>
        <w:t>There is a difference between realism and negativity. Good expectation setting does not frighten or discourage the patient; it clarifies what is possible, what is uncertain, what takes time, and what may still require doctor review.</w:t>
      </w:r>
    </w:p>
    <w:p>
      <w:pPr>
        <w:spacing w:after="80" w:line="276" w:lineRule="auto"/>
      </w:pPr>
      <w:r>
        <w:rPr>
          <w:b w:val="0"/>
          <w:i w:val="0"/>
        </w:rPr>
        <w:t>Examples include discussing that donor supply is finite, that results are individual, that density expectations must be grounded, and that long-term maintenance often matters. These conversations should be calm and matter-of-fact rather than apologetic or defensive.</w:t>
      </w:r>
    </w:p>
    <w:p>
      <w:pPr>
        <w:pStyle w:val="Heading3"/>
        <w:spacing w:after="80" w:line="276" w:lineRule="auto"/>
      </w:pPr>
      <w:r>
        <w:rPr>
          <w:b w:val="0"/>
          <w:i w:val="0"/>
        </w:rPr>
        <w:t>4. Language that helps and language that harms</w:t>
      </w:r>
    </w:p>
    <w:p>
      <w:pPr>
        <w:spacing w:after="80" w:line="276" w:lineRule="auto"/>
      </w:pPr>
      <w:r>
        <w:rPr>
          <w:b w:val="0"/>
          <w:i w:val="0"/>
        </w:rPr>
        <w:t>Certain phrases create avoidable risk. Absolute wording such as 'you will definitely', 'this will fix it', or 'you won’t need to worry about that' can create expectations the clinic cannot safely control. Overly casual language can be just as damaging if it trivialises risk or makes the process sound simpler than it is.</w:t>
      </w:r>
    </w:p>
    <w:p>
      <w:pPr>
        <w:spacing w:after="80" w:line="276" w:lineRule="auto"/>
      </w:pPr>
      <w:r>
        <w:rPr>
          <w:b w:val="0"/>
          <w:i w:val="0"/>
        </w:rPr>
        <w:t>Healthier alternatives use measured wording: 'based on what we know so far', 'this may be appropriate but requires doctor confirmation', 'it is important to review your pattern carefully', or 'the aim is to improve, not promise perfection'.</w:t>
      </w:r>
    </w:p>
    <w:p>
      <w:pPr>
        <w:pStyle w:val="Heading3"/>
        <w:spacing w:after="80" w:line="276" w:lineRule="auto"/>
      </w:pPr>
      <w:r>
        <w:rPr>
          <w:b w:val="0"/>
          <w:i w:val="0"/>
        </w:rPr>
        <w:t>5. Handling objections ethically</w:t>
      </w:r>
    </w:p>
    <w:p>
      <w:pPr>
        <w:spacing w:after="80" w:line="276" w:lineRule="auto"/>
      </w:pPr>
      <w:r>
        <w:rPr>
          <w:b w:val="0"/>
          <w:i w:val="0"/>
        </w:rPr>
        <w:t>Objections are not merely barriers to conversion. They are often signals of incomplete understanding, hesitation, cost anxiety, or mistrust. Ethical handling means clarifying concerns, answering honestly, and resisting the temptation to corner the patient with pressure tactics.</w:t>
      </w:r>
    </w:p>
    <w:p>
      <w:pPr>
        <w:spacing w:after="80" w:line="276" w:lineRule="auto"/>
      </w:pPr>
      <w:r>
        <w:rPr>
          <w:b w:val="0"/>
          <w:i w:val="0"/>
        </w:rPr>
        <w:t>Patients who feel free to think usually trust the clinic more. Pressure may create short-term conversion, but it often damages long-term satisfaction.</w:t>
      </w:r>
    </w:p>
    <w:p>
      <w:pPr>
        <w:pStyle w:val="Heading3"/>
        <w:spacing w:after="80" w:line="276" w:lineRule="auto"/>
      </w:pPr>
      <w:r>
        <w:rPr>
          <w:b w:val="0"/>
          <w:i w:val="0"/>
        </w:rPr>
        <w:t>Practice application</w:t>
      </w:r>
    </w:p>
    <w:tbl>
      <w:tblPr>
        <w:tblW w:type="auto" w:w="0"/>
        <w:jc w:val="center"/>
        <w:tblLook w:firstColumn="1" w:firstRow="1" w:lastColumn="0" w:lastRow="0" w:noHBand="0" w:noVBand="1" w:val="04A0"/>
      </w:tblPr>
      <w:tblGrid>
        <w:gridCol w:w="9936"/>
      </w:tblGrid>
      <w:tr>
        <w:tc>
          <w:tcPr>
            <w:tcW w:type="dxa" w:w="9936"/>
            <w:shd w:fill="F5F7FA"/>
            <w:tcMar>
              <w:top w:w="120" w:type="dxa"/>
              <w:start w:w="120" w:type="dxa"/>
              <w:bottom w:w="120" w:type="dxa"/>
              <w:end w:w="120" w:type="dxa"/>
            </w:tcMar>
          </w:tcPr>
          <w:p>
            <w:r>
              <w:rPr>
                <w:sz w:val="20"/>
              </w:rPr>
              <w:t>Language drill: take ten risky consultation statements and rewrite them in measured, ethical language. Then practise saying them aloud until they sound natural rather than scripted.</w:t>
            </w:r>
          </w:p>
        </w:tc>
      </w:tr>
    </w:tbl>
    <w:p>
      <w:pPr>
        <w:pStyle w:val="Heading3"/>
        <w:spacing w:after="80" w:line="276" w:lineRule="auto"/>
      </w:pPr>
      <w:r>
        <w:rPr>
          <w:b w:val="0"/>
          <w:i w:val="0"/>
        </w:rPr>
        <w:t>Professional caution</w:t>
      </w:r>
    </w:p>
    <w:tbl>
      <w:tblPr>
        <w:tblW w:type="auto" w:w="0"/>
        <w:jc w:val="center"/>
        <w:tblLook w:firstColumn="1" w:firstRow="1" w:lastColumn="0" w:lastRow="0" w:noHBand="0" w:noVBand="1" w:val="04A0"/>
      </w:tblPr>
      <w:tblGrid>
        <w:gridCol w:w="9936"/>
      </w:tblGrid>
      <w:tr>
        <w:tc>
          <w:tcPr>
            <w:tcW w:type="dxa" w:w="9936"/>
            <w:shd w:fill="FBE9E7"/>
            <w:tcMar>
              <w:top w:w="120" w:type="dxa"/>
              <w:start w:w="120" w:type="dxa"/>
              <w:bottom w:w="120" w:type="dxa"/>
              <w:end w:w="120" w:type="dxa"/>
            </w:tcMar>
          </w:tcPr>
          <w:p>
            <w:r>
              <w:rPr>
                <w:sz w:val="20"/>
              </w:rPr>
              <w:t>Be careful not to confuse warmth with over-reassurance. Patients should feel supported, but not led into false certainty.</w:t>
            </w:r>
          </w:p>
        </w:tc>
      </w:tr>
    </w:tbl>
    <w:p>
      <w:r>
        <w:br w:type="page"/>
      </w:r>
    </w:p>
    <w:p>
      <w:pPr>
        <w:pStyle w:val="Heading1"/>
        <w:spacing w:after="80" w:line="276" w:lineRule="auto"/>
      </w:pPr>
      <w:r>
        <w:rPr>
          <w:b w:val="0"/>
          <w:i w:val="0"/>
        </w:rPr>
        <w:t>Week 8</w:t>
      </w:r>
    </w:p>
    <w:p>
      <w:pPr>
        <w:pStyle w:val="Heading2"/>
        <w:spacing w:after="80" w:line="276" w:lineRule="auto"/>
      </w:pPr>
      <w:r>
        <w:rPr>
          <w:b w:val="0"/>
          <w:i w:val="0"/>
        </w:rPr>
        <w:t>Treatment Education for Non-Doctor Roles</w:t>
      </w:r>
    </w:p>
    <w:p>
      <w:pPr>
        <w:spacing w:after="80" w:line="276" w:lineRule="auto"/>
      </w:pPr>
      <w:r>
        <w:rPr>
          <w:b w:val="0"/>
          <w:i/>
          <w:color w:val="505050"/>
        </w:rPr>
        <w:t>Weekly theme: Helping patients understand pathways, limitations, and sequencing without overselling treatment.</w:t>
      </w:r>
    </w:p>
    <w:p>
      <w:pPr>
        <w:pStyle w:val="Heading3"/>
        <w:spacing w:after="80" w:line="276" w:lineRule="auto"/>
      </w:pPr>
      <w:r>
        <w:rPr>
          <w:b w:val="0"/>
          <w:i w:val="0"/>
        </w:rPr>
        <w:t>Learning outcomes</w:t>
      </w:r>
    </w:p>
    <w:p>
      <w:pPr>
        <w:spacing w:after="40"/>
        <w:ind w:left="288"/>
      </w:pPr>
      <w:r>
        <w:rPr>
          <w:b/>
        </w:rPr>
        <w:t xml:space="preserve">• </w:t>
      </w:r>
      <w:r>
        <w:t>Explain broad treatment pathways clearly and responsibly.</w:t>
      </w:r>
    </w:p>
    <w:p>
      <w:pPr>
        <w:spacing w:after="40"/>
        <w:ind w:left="288"/>
      </w:pPr>
      <w:r>
        <w:rPr>
          <w:b/>
        </w:rPr>
        <w:t xml:space="preserve">• </w:t>
      </w:r>
      <w:r>
        <w:t>Discuss non-surgical options without exaggeration.</w:t>
      </w:r>
    </w:p>
    <w:p>
      <w:pPr>
        <w:spacing w:after="40"/>
        <w:ind w:left="288"/>
      </w:pPr>
      <w:r>
        <w:rPr>
          <w:b/>
        </w:rPr>
        <w:t xml:space="preserve">• </w:t>
      </w:r>
      <w:r>
        <w:t>Educate around medications at a safe, non-prescribing level.</w:t>
      </w:r>
    </w:p>
    <w:p>
      <w:pPr>
        <w:spacing w:after="40"/>
        <w:ind w:left="288"/>
      </w:pPr>
      <w:r>
        <w:rPr>
          <w:b/>
        </w:rPr>
        <w:t xml:space="preserve">• </w:t>
      </w:r>
      <w:r>
        <w:t>Support surgical understanding without making premature promises.</w:t>
      </w:r>
    </w:p>
    <w:p>
      <w:pPr>
        <w:pStyle w:val="Heading3"/>
        <w:spacing w:after="80" w:line="276" w:lineRule="auto"/>
      </w:pPr>
      <w:r>
        <w:rPr>
          <w:b w:val="0"/>
          <w:i w:val="0"/>
        </w:rPr>
        <w:t>1. Why treatment education matters</w:t>
      </w:r>
    </w:p>
    <w:p>
      <w:pPr>
        <w:spacing w:after="80" w:line="276" w:lineRule="auto"/>
      </w:pPr>
      <w:r>
        <w:rPr>
          <w:b w:val="0"/>
          <w:i w:val="0"/>
        </w:rPr>
        <w:t>Patient-facing professionals do not need to prescribe in order to educate responsibly. They should, however, understand the broad purpose, limits, and sequencing of major treatment pathways so they can guide patients accurately and prepare better doctor discussions.</w:t>
      </w:r>
    </w:p>
    <w:p>
      <w:pPr>
        <w:spacing w:after="80" w:line="276" w:lineRule="auto"/>
      </w:pPr>
      <w:r>
        <w:rPr>
          <w:b w:val="0"/>
          <w:i w:val="0"/>
        </w:rPr>
        <w:t>When treatment education is poor, patients either become falsely optimistic or unnecessarily confused. When it is strong, they better understand why some pathways are supportive, some are procedural, and some may need to be delayed.</w:t>
      </w:r>
    </w:p>
    <w:p>
      <w:pPr>
        <w:pStyle w:val="Heading3"/>
        <w:spacing w:after="80" w:line="276" w:lineRule="auto"/>
      </w:pPr>
      <w:r>
        <w:rPr>
          <w:b w:val="0"/>
          <w:i w:val="0"/>
        </w:rPr>
        <w:t>2. Non-surgical treatment education</w:t>
      </w:r>
    </w:p>
    <w:p>
      <w:pPr>
        <w:spacing w:after="80" w:line="276" w:lineRule="auto"/>
      </w:pPr>
      <w:r>
        <w:rPr>
          <w:b w:val="0"/>
          <w:i w:val="0"/>
        </w:rPr>
        <w:t>Common non-surgical discussions may include platelet-rich plasma, exosome-based regenerative discussions where relevant to clinic policy, microneedling, topical support, oral medication awareness, and scalp health optimisation. The task at this level is not to oversell any single modality, but to explain purpose, maintenance realities, timelines, and evidence boundaries honestly.</w:t>
      </w:r>
    </w:p>
    <w:p>
      <w:pPr>
        <w:spacing w:after="80" w:line="276" w:lineRule="auto"/>
      </w:pPr>
      <w:r>
        <w:rPr>
          <w:b w:val="0"/>
          <w:i w:val="0"/>
        </w:rPr>
        <w:t>Where treatments are emerging or evidence is still being debated, the wording should reflect that. Front-end confidence should never outrun the clinic’s actual evidence position or medical governance.</w:t>
      </w:r>
    </w:p>
    <w:p>
      <w:pPr>
        <w:pStyle w:val="Heading3"/>
        <w:spacing w:after="80" w:line="276" w:lineRule="auto"/>
      </w:pPr>
      <w:r>
        <w:rPr>
          <w:b w:val="0"/>
          <w:i w:val="0"/>
        </w:rPr>
        <w:t>3. Medication awareness within boundaries</w:t>
      </w:r>
    </w:p>
    <w:p>
      <w:pPr>
        <w:spacing w:after="80" w:line="276" w:lineRule="auto"/>
      </w:pPr>
      <w:r>
        <w:rPr>
          <w:b w:val="0"/>
          <w:i w:val="0"/>
        </w:rPr>
        <w:t>Patients frequently ask about minoxidil, finasteride, dutasteride, and supplement-based alternatives such as saw palmetto. Non-doctor staff can often explain at a high level what category a product sits in and why it may be discussed, but should not drift into independent prescribing advice or dismissive simplification of side-effect questions.</w:t>
      </w:r>
    </w:p>
    <w:p>
      <w:pPr>
        <w:spacing w:after="80" w:line="276" w:lineRule="auto"/>
      </w:pPr>
      <w:r>
        <w:rPr>
          <w:b w:val="0"/>
          <w:i w:val="0"/>
        </w:rPr>
        <w:t>A useful rule is to educate broadly, defer specifically. That means the patient can leave understanding the purpose of a medication conversation without being given unsupervised medical instruction.</w:t>
      </w:r>
    </w:p>
    <w:p>
      <w:pPr>
        <w:pStyle w:val="Heading3"/>
        <w:spacing w:after="80" w:line="276" w:lineRule="auto"/>
      </w:pPr>
      <w:r>
        <w:rPr>
          <w:b w:val="0"/>
          <w:i w:val="0"/>
        </w:rPr>
        <w:t>4. Surgical education for non-doctor roles</w:t>
      </w:r>
    </w:p>
    <w:p>
      <w:pPr>
        <w:spacing w:after="80" w:line="276" w:lineRule="auto"/>
      </w:pPr>
      <w:r>
        <w:rPr>
          <w:b w:val="0"/>
          <w:i w:val="0"/>
        </w:rPr>
        <w:t>Patients benefit when consultants and nurses can explain the broad principles of FUE, FUT, graft versus hair counts, donor limitation, timeline to visible change, and the fact that planning evolves with proper clinical review. This makes the eventual doctor consultation more productive and reduces the risk of misinformation.</w:t>
      </w:r>
    </w:p>
    <w:p>
      <w:pPr>
        <w:spacing w:after="80" w:line="276" w:lineRule="auto"/>
      </w:pPr>
      <w:r>
        <w:rPr>
          <w:b w:val="0"/>
          <w:i w:val="0"/>
        </w:rPr>
        <w:t>What must be avoided is premature specificity. Exact graft discussions, guaranteed design statements, or casual assurances about density can become problematic quickly if they are not properly controlled.</w:t>
      </w:r>
    </w:p>
    <w:p>
      <w:pPr>
        <w:pStyle w:val="Heading3"/>
        <w:spacing w:after="80" w:line="276" w:lineRule="auto"/>
      </w:pPr>
      <w:r>
        <w:rPr>
          <w:b w:val="0"/>
          <w:i w:val="0"/>
        </w:rPr>
        <w:t>5. Presenting pathways, not selling procedures</w:t>
      </w:r>
    </w:p>
    <w:p>
      <w:pPr>
        <w:spacing w:after="80" w:line="276" w:lineRule="auto"/>
      </w:pPr>
      <w:r>
        <w:rPr>
          <w:b w:val="0"/>
          <w:i w:val="0"/>
        </w:rPr>
        <w:t>A mature clinic conversation often sounds like a pathway discussion rather than a transaction. The patient may need non-surgical support first, medical review first, surgery later, or a combination approach. Framing care as a pathway helps patients understand that not every answer has to be immediate.</w:t>
      </w:r>
    </w:p>
    <w:p>
      <w:pPr>
        <w:spacing w:after="80" w:line="276" w:lineRule="auto"/>
      </w:pPr>
      <w:r>
        <w:rPr>
          <w:b w:val="0"/>
          <w:i w:val="0"/>
        </w:rPr>
        <w:t>This approach also improves trust because it communicates that the clinic is making a decision with the patient, not simply trying to close one.</w:t>
      </w:r>
    </w:p>
    <w:p>
      <w:pPr>
        <w:pStyle w:val="Heading3"/>
        <w:spacing w:after="80" w:line="276" w:lineRule="auto"/>
      </w:pPr>
      <w:r>
        <w:rPr>
          <w:b w:val="0"/>
          <w:i w:val="0"/>
        </w:rPr>
        <w:t>Practice application</w:t>
      </w:r>
    </w:p>
    <w:tbl>
      <w:tblPr>
        <w:tblW w:type="auto" w:w="0"/>
        <w:jc w:val="center"/>
        <w:tblLook w:firstColumn="1" w:firstRow="1" w:lastColumn="0" w:lastRow="0" w:noHBand="0" w:noVBand="1" w:val="04A0"/>
      </w:tblPr>
      <w:tblGrid>
        <w:gridCol w:w="9936"/>
      </w:tblGrid>
      <w:tr>
        <w:tc>
          <w:tcPr>
            <w:tcW w:type="dxa" w:w="9936"/>
            <w:shd w:fill="F5F7FA"/>
            <w:tcMar>
              <w:top w:w="120" w:type="dxa"/>
              <w:start w:w="120" w:type="dxa"/>
              <w:bottom w:w="120" w:type="dxa"/>
              <w:end w:w="120" w:type="dxa"/>
            </w:tcMar>
          </w:tcPr>
          <w:p>
            <w:r>
              <w:rPr>
                <w:sz w:val="20"/>
              </w:rPr>
              <w:t>Pathway exercise: build three patient education summaries—one for a likely non-surgical pathway, one for a surgery-plus-maintenance pathway, and one for a delayed pathway pending further medical review. Focus on tone, sequencing, and restraint.</w:t>
            </w:r>
          </w:p>
        </w:tc>
      </w:tr>
    </w:tbl>
    <w:p>
      <w:pPr>
        <w:pStyle w:val="Heading3"/>
        <w:spacing w:after="80" w:line="276" w:lineRule="auto"/>
      </w:pPr>
      <w:r>
        <w:rPr>
          <w:b w:val="0"/>
          <w:i w:val="0"/>
        </w:rPr>
        <w:t>Professional caution</w:t>
      </w:r>
    </w:p>
    <w:tbl>
      <w:tblPr>
        <w:tblW w:type="auto" w:w="0"/>
        <w:jc w:val="center"/>
        <w:tblLook w:firstColumn="1" w:firstRow="1" w:lastColumn="0" w:lastRow="0" w:noHBand="0" w:noVBand="1" w:val="04A0"/>
      </w:tblPr>
      <w:tblGrid>
        <w:gridCol w:w="9936"/>
      </w:tblGrid>
      <w:tr>
        <w:tc>
          <w:tcPr>
            <w:tcW w:type="dxa" w:w="9936"/>
            <w:shd w:fill="FBE9E7"/>
            <w:tcMar>
              <w:top w:w="120" w:type="dxa"/>
              <w:start w:w="120" w:type="dxa"/>
              <w:bottom w:w="120" w:type="dxa"/>
              <w:end w:w="120" w:type="dxa"/>
            </w:tcMar>
          </w:tcPr>
          <w:p>
            <w:r>
              <w:rPr>
                <w:sz w:val="20"/>
              </w:rPr>
              <w:t>Avoid presenting surgery as the inevitable or superior solution. In a standards-based clinic, pathway logic should come before commercial enthusiasm.</w:t>
            </w:r>
          </w:p>
        </w:tc>
      </w:tr>
    </w:tbl>
    <w:p>
      <w:r>
        <w:br w:type="page"/>
      </w:r>
    </w:p>
    <w:p>
      <w:pPr>
        <w:pStyle w:val="Heading1"/>
        <w:spacing w:after="80" w:line="276" w:lineRule="auto"/>
      </w:pPr>
      <w:r>
        <w:rPr>
          <w:b w:val="0"/>
          <w:i w:val="0"/>
        </w:rPr>
        <w:t>End-of-volume consolidation</w:t>
      </w:r>
    </w:p>
    <w:p>
      <w:pPr>
        <w:pStyle w:val="Heading2"/>
        <w:spacing w:after="80" w:line="276" w:lineRule="auto"/>
      </w:pPr>
      <w:r>
        <w:rPr>
          <w:b w:val="0"/>
          <w:i w:val="0"/>
        </w:rPr>
        <w:t>Key habits to carry forward</w:t>
      </w:r>
    </w:p>
    <w:p>
      <w:pPr>
        <w:spacing w:after="80" w:line="276" w:lineRule="auto"/>
      </w:pPr>
      <w:r>
        <w:rPr>
          <w:b w:val="0"/>
          <w:i w:val="0"/>
        </w:rPr>
        <w:t>Structure the consultation before discussing solutions; screen for caution early; use calm and measured language; document clearly; and keep the distinction between education, triage support, and diagnosis visible at all times.</w:t>
      </w:r>
    </w:p>
    <w:p>
      <w:pPr>
        <w:pStyle w:val="Heading2"/>
        <w:spacing w:after="80" w:line="276" w:lineRule="auto"/>
      </w:pPr>
      <w:r>
        <w:rPr>
          <w:b w:val="0"/>
          <w:i w:val="0"/>
        </w:rPr>
        <w:t>Faculty use note</w:t>
      </w:r>
    </w:p>
    <w:p>
      <w:pPr>
        <w:spacing w:after="80" w:line="276" w:lineRule="auto"/>
      </w:pPr>
      <w:r>
        <w:rPr>
          <w:b w:val="0"/>
          <w:i w:val="0"/>
        </w:rPr>
        <w:t>This volume is suitable for asynchronous LMS conversion, live workshop facilitation, role-play exercises, and faculty marking of consultation notes and communication drills.</w:t>
      </w:r>
    </w:p>
    <w:p>
      <w:pPr>
        <w:pStyle w:val="Heading2"/>
        <w:spacing w:after="80" w:line="276" w:lineRule="auto"/>
      </w:pPr>
      <w:r>
        <w:rPr>
          <w:b w:val="0"/>
          <w:i w:val="0"/>
        </w:rPr>
        <w:t>Bridge to Volume 3</w:t>
      </w:r>
    </w:p>
    <w:p>
      <w:pPr>
        <w:spacing w:after="80" w:line="276" w:lineRule="auto"/>
      </w:pPr>
      <w:r>
        <w:rPr>
          <w:b w:val="0"/>
          <w:i w:val="0"/>
        </w:rPr>
        <w:t>The next volume moves into photography, documentation quality, pre-operative coordination, post-operative communication, difficult cases, and quality assurance.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4F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C3C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363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