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left"/>
      </w:pPr>
      <w:r>
        <w:t>IIOHR CONSULTANT &amp; NURSE ACADEMY</w:t>
      </w:r>
    </w:p>
    <w:p>
      <w:pPr>
        <w:pStyle w:val="Title"/>
        <w:jc w:val="left"/>
      </w:pPr>
      <w:r>
        <w:t>Teaching Manual — Volume 3</w:t>
      </w:r>
    </w:p>
    <w:p>
      <w:pPr>
        <w:pStyle w:val="CoverSub"/>
      </w:pPr>
      <w:r>
        <w:t>Weeks 9–12: Clinical Documentation, Pre- and Post-Operative Coordination, Difficult Cases, Quality Assurance, and Final Competency Integration</w:t>
      </w:r>
    </w:p>
    <w:p>
      <w:pPr>
        <w:spacing w:after="120"/>
        <w:pBdr>
          <w:bottom w:val="single" w:sz="14" w:space="1" w:color="B0862A"/>
        </w:pBdr>
      </w:pPr>
      <w:r>
        <w:t xml:space="preserve"> </w:t>
      </w:r>
    </w:p>
    <w:p>
      <w:pPr/>
      <w:r>
        <w:t>This volume completes the first full certificate manual and focuses on the applied workflow disciplines that protect patient safety, strengthen clinical communication, and improve team consistency inside the modern hair restoration clinic.</w:t>
      </w:r>
    </w:p>
    <w:p>
      <w:pPr/>
      <w:r>
        <w:t>The material is designed for consultants, patient coordinators, and nurses who need to document cases to a higher standard, support pre-operative readiness, manage routine post-operative communication within scope, and contribute to a stronger quality culture across the clinic.</w:t>
      </w:r>
    </w:p>
    <w:p>
      <w:pPr>
        <w:pStyle w:val="Heading1"/>
      </w:pPr>
      <w:r>
        <w:t>Volume 3 at a glance</w:t>
      </w:r>
    </w:p>
    <w:tbl>
      <w:tblPr>
        <w:tblW w:type="auto" w:w="0"/>
        <w:jc w:val="center"/>
        <w:tblLayout w:type="fixed"/>
        <w:tblLook w:firstColumn="1" w:firstRow="1" w:lastColumn="0" w:lastRow="0" w:noHBand="0" w:noVBand="1" w:val="04A0"/>
      </w:tblPr>
      <w:tblGrid>
        <w:gridCol w:w="1440"/>
        <w:gridCol w:w="2880"/>
        <w:gridCol w:w="5472"/>
      </w:tblGrid>
      <w:tr>
        <w:tc>
          <w:tcPr>
            <w:tcW w:type="dxa" w:w="1152"/>
            <w:shd w:fill="DDEBF7"/>
            <w:tcMar>
              <w:top w:w="90" w:type="dxa"/>
              <w:start w:w="110" w:type="dxa"/>
              <w:bottom w:w="90" w:type="dxa"/>
              <w:end w:w="110" w:type="dxa"/>
            </w:tcMar>
          </w:tcPr>
          <w:p>
            <w:pPr>
              <w:jc w:val="center"/>
            </w:pPr>
            <w:r>
              <w:rPr>
                <w:b/>
                <w:color w:val="1F3556"/>
                <w:sz w:val="19"/>
              </w:rPr>
              <w:t>Week</w:t>
            </w:r>
          </w:p>
        </w:tc>
        <w:tc>
          <w:tcPr>
            <w:tcW w:type="dxa" w:w="3024"/>
            <w:shd w:fill="EAF4F4"/>
            <w:tcMar>
              <w:top w:w="90" w:type="dxa"/>
              <w:start w:w="110" w:type="dxa"/>
              <w:bottom w:w="90" w:type="dxa"/>
              <w:end w:w="110" w:type="dxa"/>
            </w:tcMar>
          </w:tcPr>
          <w:p>
            <w:pPr>
              <w:jc w:val="left"/>
            </w:pPr>
            <w:r>
              <w:rPr>
                <w:b/>
                <w:color w:val="1F3556"/>
                <w:sz w:val="19"/>
              </w:rPr>
              <w:t>Core theme</w:t>
            </w:r>
          </w:p>
        </w:tc>
        <w:tc>
          <w:tcPr>
            <w:tcW w:type="dxa" w:w="5328"/>
            <w:shd w:fill="DDEBF7"/>
            <w:tcMar>
              <w:top w:w="90" w:type="dxa"/>
              <w:start w:w="110" w:type="dxa"/>
              <w:bottom w:w="90" w:type="dxa"/>
              <w:end w:w="110" w:type="dxa"/>
            </w:tcMar>
          </w:tcPr>
          <w:p>
            <w:pPr>
              <w:jc w:val="left"/>
            </w:pPr>
            <w:r>
              <w:rPr>
                <w:b/>
                <w:color w:val="1F3556"/>
                <w:sz w:val="19"/>
              </w:rPr>
              <w:t>Primary capability built</w:t>
            </w:r>
          </w:p>
        </w:tc>
      </w:tr>
      <w:tr>
        <w:tc>
          <w:tcPr>
            <w:tcW w:type="dxa" w:w="1152"/>
            <w:tcMar>
              <w:top w:w="100" w:type="dxa"/>
              <w:start w:w="110" w:type="dxa"/>
              <w:bottom w:w="100" w:type="dxa"/>
              <w:end w:w="110" w:type="dxa"/>
            </w:tcMar>
            <w:vAlign w:val="center"/>
            <w:shd w:fill="F7F3E8"/>
          </w:tcPr>
          <w:p>
            <w:pPr>
              <w:jc w:val="center"/>
            </w:pPr>
            <w:r>
              <w:rPr>
                <w:sz w:val="19"/>
              </w:rPr>
              <w:t>9</w:t>
            </w:r>
          </w:p>
        </w:tc>
        <w:tc>
          <w:tcPr>
            <w:tcW w:type="dxa" w:w="3024"/>
            <w:tcMar>
              <w:top w:w="100" w:type="dxa"/>
              <w:start w:w="110" w:type="dxa"/>
              <w:bottom w:w="100" w:type="dxa"/>
              <w:end w:w="110" w:type="dxa"/>
            </w:tcMar>
            <w:vAlign w:val="center"/>
          </w:tcPr>
          <w:p>
            <w:pPr>
              <w:jc w:val="left"/>
            </w:pPr>
            <w:r>
              <w:rPr>
                <w:sz w:val="19"/>
              </w:rPr>
              <w:t>Photography, documentation, and doctor handover</w:t>
            </w:r>
          </w:p>
        </w:tc>
        <w:tc>
          <w:tcPr>
            <w:tcW w:type="dxa" w:w="5328"/>
            <w:tcMar>
              <w:top w:w="100" w:type="dxa"/>
              <w:start w:w="110" w:type="dxa"/>
              <w:bottom w:w="100" w:type="dxa"/>
              <w:end w:w="110" w:type="dxa"/>
            </w:tcMar>
            <w:vAlign w:val="center"/>
          </w:tcPr>
          <w:p>
            <w:pPr>
              <w:jc w:val="left"/>
            </w:pPr>
            <w:r>
              <w:rPr>
                <w:sz w:val="19"/>
              </w:rPr>
              <w:t>Capture objective case data, structure notes cleanly, and prepare doctor-ready summaries.</w:t>
            </w:r>
          </w:p>
        </w:tc>
      </w:tr>
      <w:tr>
        <w:tc>
          <w:tcPr>
            <w:tcW w:type="dxa" w:w="1152"/>
            <w:tcMar>
              <w:top w:w="100" w:type="dxa"/>
              <w:start w:w="110" w:type="dxa"/>
              <w:bottom w:w="100" w:type="dxa"/>
              <w:end w:w="110" w:type="dxa"/>
            </w:tcMar>
            <w:vAlign w:val="center"/>
            <w:shd w:fill="F7F3E8"/>
          </w:tcPr>
          <w:p>
            <w:pPr>
              <w:jc w:val="center"/>
            </w:pPr>
            <w:r>
              <w:rPr>
                <w:sz w:val="19"/>
              </w:rPr>
              <w:t>10</w:t>
            </w:r>
          </w:p>
        </w:tc>
        <w:tc>
          <w:tcPr>
            <w:tcW w:type="dxa" w:w="3024"/>
            <w:tcMar>
              <w:top w:w="100" w:type="dxa"/>
              <w:start w:w="110" w:type="dxa"/>
              <w:bottom w:w="100" w:type="dxa"/>
              <w:end w:w="110" w:type="dxa"/>
            </w:tcMar>
            <w:vAlign w:val="center"/>
          </w:tcPr>
          <w:p>
            <w:pPr>
              <w:jc w:val="left"/>
            </w:pPr>
            <w:r>
              <w:rPr>
                <w:sz w:val="19"/>
              </w:rPr>
              <w:t>Pre-operative coordination and patient preparation</w:t>
            </w:r>
          </w:p>
        </w:tc>
        <w:tc>
          <w:tcPr>
            <w:tcW w:type="dxa" w:w="5328"/>
            <w:tcMar>
              <w:top w:w="100" w:type="dxa"/>
              <w:start w:w="110" w:type="dxa"/>
              <w:bottom w:w="100" w:type="dxa"/>
              <w:end w:w="110" w:type="dxa"/>
            </w:tcMar>
            <w:vAlign w:val="center"/>
          </w:tcPr>
          <w:p>
            <w:pPr>
              <w:jc w:val="left"/>
            </w:pPr>
            <w:r>
              <w:rPr>
                <w:sz w:val="19"/>
              </w:rPr>
              <w:t>Guide patients through readiness, consent support, checklists, and anxiety management without creating confusion.</w:t>
            </w:r>
          </w:p>
        </w:tc>
      </w:tr>
      <w:tr>
        <w:tc>
          <w:tcPr>
            <w:tcW w:type="dxa" w:w="1152"/>
            <w:tcMar>
              <w:top w:w="100" w:type="dxa"/>
              <w:start w:w="110" w:type="dxa"/>
              <w:bottom w:w="100" w:type="dxa"/>
              <w:end w:w="110" w:type="dxa"/>
            </w:tcMar>
            <w:vAlign w:val="center"/>
            <w:shd w:fill="F7F3E8"/>
          </w:tcPr>
          <w:p>
            <w:pPr>
              <w:jc w:val="center"/>
            </w:pPr>
            <w:r>
              <w:rPr>
                <w:sz w:val="19"/>
              </w:rPr>
              <w:t>11</w:t>
            </w:r>
          </w:p>
        </w:tc>
        <w:tc>
          <w:tcPr>
            <w:tcW w:type="dxa" w:w="3024"/>
            <w:tcMar>
              <w:top w:w="100" w:type="dxa"/>
              <w:start w:w="110" w:type="dxa"/>
              <w:bottom w:w="100" w:type="dxa"/>
              <w:end w:w="110" w:type="dxa"/>
            </w:tcMar>
            <w:vAlign w:val="center"/>
          </w:tcPr>
          <w:p>
            <w:pPr>
              <w:jc w:val="left"/>
            </w:pPr>
            <w:r>
              <w:rPr>
                <w:sz w:val="19"/>
              </w:rPr>
              <w:t>Post-operative support and difficult follow-up conversations</w:t>
            </w:r>
          </w:p>
        </w:tc>
        <w:tc>
          <w:tcPr>
            <w:tcW w:type="dxa" w:w="5328"/>
            <w:tcMar>
              <w:top w:w="100" w:type="dxa"/>
              <w:start w:w="110" w:type="dxa"/>
              <w:bottom w:w="100" w:type="dxa"/>
              <w:end w:w="110" w:type="dxa"/>
            </w:tcMar>
            <w:vAlign w:val="center"/>
          </w:tcPr>
          <w:p>
            <w:pPr>
              <w:jc w:val="left"/>
            </w:pPr>
            <w:r>
              <w:rPr>
                <w:sz w:val="19"/>
              </w:rPr>
              <w:t>Differentiate routine reassurance from escalation, manage dissatisfaction professionally, and protect continuity of care.</w:t>
            </w:r>
          </w:p>
        </w:tc>
      </w:tr>
      <w:tr>
        <w:tc>
          <w:tcPr>
            <w:tcW w:type="dxa" w:w="1152"/>
            <w:tcMar>
              <w:top w:w="100" w:type="dxa"/>
              <w:start w:w="110" w:type="dxa"/>
              <w:bottom w:w="100" w:type="dxa"/>
              <w:end w:w="110" w:type="dxa"/>
            </w:tcMar>
            <w:vAlign w:val="center"/>
            <w:shd w:fill="F7F3E8"/>
          </w:tcPr>
          <w:p>
            <w:pPr>
              <w:jc w:val="center"/>
            </w:pPr>
            <w:r>
              <w:rPr>
                <w:sz w:val="19"/>
              </w:rPr>
              <w:t>12</w:t>
            </w:r>
          </w:p>
        </w:tc>
        <w:tc>
          <w:tcPr>
            <w:tcW w:type="dxa" w:w="3024"/>
            <w:tcMar>
              <w:top w:w="100" w:type="dxa"/>
              <w:start w:w="110" w:type="dxa"/>
              <w:bottom w:w="100" w:type="dxa"/>
              <w:end w:w="110" w:type="dxa"/>
            </w:tcMar>
            <w:vAlign w:val="center"/>
          </w:tcPr>
          <w:p>
            <w:pPr>
              <w:jc w:val="left"/>
            </w:pPr>
            <w:r>
              <w:rPr>
                <w:sz w:val="19"/>
              </w:rPr>
              <w:t>Quality assurance, leadership, and final competency integration</w:t>
            </w:r>
          </w:p>
        </w:tc>
        <w:tc>
          <w:tcPr>
            <w:tcW w:type="dxa" w:w="5328"/>
            <w:tcMar>
              <w:top w:w="100" w:type="dxa"/>
              <w:start w:w="110" w:type="dxa"/>
              <w:bottom w:w="100" w:type="dxa"/>
              <w:end w:w="110" w:type="dxa"/>
            </w:tcMar>
            <w:vAlign w:val="center"/>
          </w:tcPr>
          <w:p>
            <w:pPr>
              <w:jc w:val="left"/>
            </w:pPr>
            <w:r>
              <w:rPr>
                <w:sz w:val="19"/>
              </w:rPr>
              <w:t>Connect consultation quality to clinic standards, audit thinking, and final applied certification readiness.</w:t>
            </w:r>
          </w:p>
        </w:tc>
      </w:tr>
    </w:tbl>
    <w:p>
      <w:pPr>
        <w:pStyle w:val="Heading2"/>
      </w:pPr>
      <w:r>
        <w:t>How to use this volume</w:t>
      </w:r>
    </w:p>
    <w:p>
      <w:pPr>
        <w:ind w:left="288" w:hanging="288"/>
      </w:pPr>
      <w:r>
        <w:rPr>
          <w:b/>
        </w:rPr>
        <w:t xml:space="preserve">• </w:t>
      </w:r>
      <w:r>
        <w:t>Read each weekly chapter in sequence. The flow mirrors how patient-facing staff move from case preparation to pre-op readiness, then into follow-up and quality improvement.</w:t>
      </w:r>
    </w:p>
    <w:p>
      <w:pPr>
        <w:ind w:left="288" w:hanging="288"/>
      </w:pPr>
      <w:r>
        <w:rPr>
          <w:b/>
        </w:rPr>
        <w:t xml:space="preserve">• </w:t>
      </w:r>
      <w:r>
        <w:t>Use the boxed frameworks and checklists as operational tools. They are designed to transfer cleanly into the LMS, clinic SOP packs, and practical assessment tasks.</w:t>
      </w:r>
    </w:p>
    <w:p>
      <w:pPr>
        <w:ind w:left="288" w:hanging="288"/>
      </w:pPr>
      <w:r>
        <w:rPr>
          <w:b/>
        </w:rPr>
        <w:t xml:space="preserve">• </w:t>
      </w:r>
      <w:r>
        <w:t>Remember that the role of the learner remains supportive and bounded by scope of practice. Escalation, documentation quality, and communication maturity remain central themes throughout the volume.</w:t>
      </w:r>
    </w:p>
    <w:tbl>
      <w:tblPr>
        <w:tblW w:type="auto" w:w="0"/>
        <w:jc w:val="center"/>
        <w:tblLayout w:type="fixed"/>
        <w:tblLook w:firstColumn="1" w:firstRow="1" w:lastColumn="0" w:lastRow="0" w:noHBand="0" w:noVBand="1" w:val="04A0"/>
      </w:tblPr>
      <w:tblGrid>
        <w:gridCol w:w="8928"/>
      </w:tblGrid>
      <w:tr>
        <w:tc>
          <w:tcPr>
            <w:tcW w:type="dxa" w:w="9936"/>
            <w:tcMar>
              <w:top w:w="110" w:type="dxa"/>
              <w:start w:w="140" w:type="dxa"/>
              <w:bottom w:w="110" w:type="dxa"/>
              <w:end w:w="140" w:type="dxa"/>
            </w:tcMar>
            <w:shd w:fill="F4F8FB"/>
          </w:tcPr>
          <w:p>
            <w:pPr>
              <w:spacing w:after="0"/>
            </w:pPr>
            <w:r>
              <w:rPr>
                <w:b/>
                <w:color w:val="1F3556"/>
                <w:sz w:val="21"/>
              </w:rPr>
              <w:t xml:space="preserve">Teaching emphasis: </w:t>
            </w:r>
            <w:r>
              <w:rPr>
                <w:sz w:val="20"/>
              </w:rPr>
              <w:t>Volume 3 should feel operational and mature. The goal is to show learners how better systems, cleaner communication, and stronger judgement reduce friction for both patients and the clinical team.</w:t>
            </w:r>
          </w:p>
        </w:tc>
      </w:tr>
    </w:tbl>
    <w:p/>
    <w:p>
      <w:r>
        <w:br w:type="page"/>
      </w:r>
    </w:p>
    <w:p>
      <w:pPr>
        <w:pStyle w:val="ModuleLabel"/>
      </w:pPr>
      <w:r>
        <w:t>Week 9</w:t>
      </w:r>
    </w:p>
    <w:p>
      <w:pPr>
        <w:pStyle w:val="Heading1"/>
      </w:pPr>
      <w:r>
        <w:t>Clinical Photography, Documentation, and Doctor Handover</w:t>
      </w:r>
    </w:p>
    <w:p>
      <w:pPr/>
      <w:r>
        <w:rPr>
          <w:b/>
        </w:rPr>
        <w:t xml:space="preserve">Weekly theme: </w:t>
      </w:r>
      <w:r>
        <w:t>Transforming raw consultations into clear, objective, doctor-ready evidence.</w:t>
      </w:r>
    </w:p>
    <w:p>
      <w:pPr>
        <w:pStyle w:val="Heading2"/>
      </w:pPr>
      <w:r>
        <w:t>Why this week matters</w:t>
      </w:r>
    </w:p>
    <w:p>
      <w:pPr/>
      <w:r>
        <w:t>Excellent photography and documentation are not clerical extras. They shape the quality of doctor decision-making, internal communication, patient expectation setting, and later audit or review processes.</w:t>
      </w:r>
    </w:p>
    <w:p>
      <w:pPr/>
      <w:r>
        <w:t>In many clinics, poor photo capture and rushed case notes create unnecessary ambiguity. A learner who can document a case clearly reduces repetition, saves clinician time, and improves the reliability of the consultation pathway.</w:t>
      </w:r>
    </w:p>
    <w:p>
      <w:pPr>
        <w:pStyle w:val="Heading2"/>
      </w:pPr>
      <w:r>
        <w:t>Lecture sequence</w:t>
      </w:r>
    </w:p>
    <w:p>
      <w:pPr>
        <w:pStyle w:val="Heading3"/>
      </w:pPr>
      <w:r>
        <w:t>Lecture 1: Clinical photography standards in hair restoration</w:t>
      </w:r>
    </w:p>
    <w:p>
      <w:pPr/>
      <w:r>
        <w:t>High-quality photography should provide consistent, objective evidence. It is not simply a marketing exercise or a before-and-after gallery habit.</w:t>
      </w:r>
    </w:p>
    <w:p>
      <w:pPr>
        <w:ind w:left="317" w:hanging="259"/>
      </w:pPr>
      <w:r>
        <w:rPr>
          <w:b/>
        </w:rPr>
        <w:t xml:space="preserve">• </w:t>
      </w:r>
      <w:r>
        <w:t>Use a consistent background, lighting approach, and camera distance wherever possible.</w:t>
      </w:r>
    </w:p>
    <w:p>
      <w:pPr>
        <w:ind w:left="317" w:hanging="259"/>
      </w:pPr>
      <w:r>
        <w:rPr>
          <w:b/>
        </w:rPr>
        <w:t xml:space="preserve">• </w:t>
      </w:r>
      <w:r>
        <w:t>Capture standard views: frontal, both lateral views, vertex/crown, donor zone, and any area of special concern.</w:t>
      </w:r>
    </w:p>
    <w:p>
      <w:pPr>
        <w:ind w:left="317" w:hanging="259"/>
      </w:pPr>
      <w:r>
        <w:rPr>
          <w:b/>
        </w:rPr>
        <w:t xml:space="preserve">• </w:t>
      </w:r>
      <w:r>
        <w:t>Prepare the hair appropriately so the image shows the scalp and density pattern honestly rather than cosmetically disguising the concern.</w:t>
      </w:r>
    </w:p>
    <w:p>
      <w:pPr>
        <w:ind w:left="317" w:hanging="259"/>
      </w:pPr>
      <w:r>
        <w:rPr>
          <w:b/>
        </w:rPr>
        <w:t xml:space="preserve">• </w:t>
      </w:r>
      <w:r>
        <w:t>Avoid harsh shadows, tilted framing, excessive zoom, and distracting backgrounds that reduce the clinical usefulness of the image.</w:t>
      </w:r>
    </w:p>
    <w:p>
      <w:pPr/>
      <w:r>
        <w:t>Learners should understand that a weak photo set can lead to weak recommendations. Repeatability matters as much as image sharpness.</w:t>
      </w:r>
    </w:p>
    <w:p>
      <w:pPr>
        <w:pStyle w:val="Heading3"/>
      </w:pPr>
      <w:r>
        <w:t>Lecture 2: Documentation quality and objective note writing</w:t>
      </w:r>
    </w:p>
    <w:p>
      <w:pPr/>
      <w:r>
        <w:t>The written record should convert the patient encounter into a concise, professional, clinically useful summary.</w:t>
      </w:r>
    </w:p>
    <w:p>
      <w:pPr>
        <w:ind w:left="317" w:hanging="259"/>
      </w:pPr>
      <w:r>
        <w:rPr>
          <w:b/>
        </w:rPr>
        <w:t xml:space="preserve">• </w:t>
      </w:r>
      <w:r>
        <w:t>Use neutral language. Record what was observed, what the patient reported, and what requires clarification.</w:t>
      </w:r>
    </w:p>
    <w:p>
      <w:pPr>
        <w:ind w:left="317" w:hanging="259"/>
      </w:pPr>
      <w:r>
        <w:rPr>
          <w:b/>
        </w:rPr>
        <w:t xml:space="preserve">• </w:t>
      </w:r>
      <w:r>
        <w:t>Separate patient goals from clinician concerns. Both belong in the note, but they are not the same thing.</w:t>
      </w:r>
    </w:p>
    <w:p>
      <w:pPr>
        <w:ind w:left="317" w:hanging="259"/>
      </w:pPr>
      <w:r>
        <w:rPr>
          <w:b/>
        </w:rPr>
        <w:t xml:space="preserve">• </w:t>
      </w:r>
      <w:r>
        <w:t>Avoid assumptions, exaggerated adjectives, or promises written into the record.</w:t>
      </w:r>
    </w:p>
    <w:p>
      <w:pPr>
        <w:ind w:left="317" w:hanging="259"/>
      </w:pPr>
      <w:r>
        <w:rPr>
          <w:b/>
        </w:rPr>
        <w:t xml:space="preserve">• </w:t>
      </w:r>
      <w:r>
        <w:t>Document uncertainty honestly. A strong note signals where the doctor needs to confirm, question, or further evaluate.</w:t>
      </w:r>
    </w:p>
    <w:p>
      <w:pPr/>
      <w:r>
        <w:t>Good documentation protects the patient, supports continuity, and helps the clinic demonstrate professionalism.</w:t>
      </w:r>
    </w:p>
    <w:p>
      <w:pPr>
        <w:pStyle w:val="Heading3"/>
      </w:pPr>
      <w:r>
        <w:t>Lecture 3: Doctor handover and case preparation</w:t>
      </w:r>
    </w:p>
    <w:p>
      <w:pPr/>
      <w:r>
        <w:t>A doctor-ready summary should reduce cognitive load, not add to it.</w:t>
      </w:r>
    </w:p>
    <w:p>
      <w:pPr>
        <w:ind w:left="317" w:hanging="259"/>
      </w:pPr>
      <w:r>
        <w:rPr>
          <w:b/>
        </w:rPr>
        <w:t xml:space="preserve">• </w:t>
      </w:r>
      <w:r>
        <w:t>Summarise key history: onset, progression, prior treatments, prior surgery, current concerns, and patient objectives.</w:t>
      </w:r>
    </w:p>
    <w:p>
      <w:pPr>
        <w:ind w:left="317" w:hanging="259"/>
      </w:pPr>
      <w:r>
        <w:rPr>
          <w:b/>
        </w:rPr>
        <w:t xml:space="preserve">• </w:t>
      </w:r>
      <w:r>
        <w:t>Highlight relevant risk factors, red flags, or expectation issues clearly.</w:t>
      </w:r>
    </w:p>
    <w:p>
      <w:pPr>
        <w:ind w:left="317" w:hanging="259"/>
      </w:pPr>
      <w:r>
        <w:rPr>
          <w:b/>
        </w:rPr>
        <w:t xml:space="preserve">• </w:t>
      </w:r>
      <w:r>
        <w:t>Attach a photo set that corresponds logically to the written notes.</w:t>
      </w:r>
    </w:p>
    <w:p>
      <w:pPr>
        <w:ind w:left="317" w:hanging="259"/>
      </w:pPr>
      <w:r>
        <w:rPr>
          <w:b/>
        </w:rPr>
        <w:t xml:space="preserve">• </w:t>
      </w:r>
      <w:r>
        <w:t>End with focused questions or issues for doctor review rather than broad, unstructured narrative.</w:t>
      </w:r>
    </w:p>
    <w:p>
      <w:pPr/>
      <w:r>
        <w:t>The best handovers are short, honest, and easy to interpret.</w:t>
      </w:r>
    </w:p>
    <w:p>
      <w:pPr>
        <w:pStyle w:val="Heading3"/>
      </w:pPr>
      <w:r>
        <w:t>Lecture 4: Documentation pitfalls and evidence integrity</w:t>
      </w:r>
    </w:p>
    <w:p>
      <w:pPr/>
      <w:r>
        <w:t>Learners should recognise common failures in evidence handling:</w:t>
      </w:r>
    </w:p>
    <w:p>
      <w:pPr>
        <w:ind w:left="317" w:hanging="259"/>
      </w:pPr>
      <w:r>
        <w:rPr>
          <w:b/>
        </w:rPr>
        <w:t xml:space="preserve">• </w:t>
      </w:r>
      <w:r>
        <w:t>missing essential photo angles</w:t>
      </w:r>
    </w:p>
    <w:p>
      <w:pPr>
        <w:ind w:left="317" w:hanging="259"/>
      </w:pPr>
      <w:r>
        <w:rPr>
          <w:b/>
        </w:rPr>
        <w:t xml:space="preserve">• </w:t>
      </w:r>
      <w:r>
        <w:t>contradictory notes and images</w:t>
      </w:r>
    </w:p>
    <w:p>
      <w:pPr>
        <w:ind w:left="317" w:hanging="259"/>
      </w:pPr>
      <w:r>
        <w:rPr>
          <w:b/>
        </w:rPr>
        <w:t xml:space="preserve">• </w:t>
      </w:r>
      <w:r>
        <w:t>overly vague descriptors such as 'good donor' without explanation</w:t>
      </w:r>
    </w:p>
    <w:p>
      <w:pPr>
        <w:ind w:left="317" w:hanging="259"/>
      </w:pPr>
      <w:r>
        <w:rPr>
          <w:b/>
        </w:rPr>
        <w:t xml:space="preserve">• </w:t>
      </w:r>
      <w:r>
        <w:t>copy-paste language carried across patients</w:t>
      </w:r>
    </w:p>
    <w:p>
      <w:pPr>
        <w:ind w:left="317" w:hanging="259"/>
      </w:pPr>
      <w:r>
        <w:rPr>
          <w:b/>
        </w:rPr>
        <w:t xml:space="preserve">• </w:t>
      </w:r>
      <w:r>
        <w:t>failure to record patient concerns accurately</w:t>
      </w:r>
    </w:p>
    <w:p>
      <w:pPr>
        <w:ind w:left="317" w:hanging="259"/>
      </w:pPr>
      <w:r>
        <w:rPr>
          <w:b/>
        </w:rPr>
        <w:t xml:space="preserve">• </w:t>
      </w:r>
      <w:r>
        <w:t>informal messaging used in place of a proper clinic note</w:t>
      </w:r>
    </w:p>
    <w:p>
      <w:pPr/>
      <w:r>
        <w:t>Professional clinics are built on evidence integrity. Documentation should make later review easier, not harder.</w:t>
      </w:r>
    </w:p>
    <w:p>
      <w:pPr>
        <w:pStyle w:val="Heading2"/>
      </w:pPr>
      <w:r>
        <w:t>Learning objectives</w:t>
      </w:r>
    </w:p>
    <w:p>
      <w:pPr>
        <w:ind w:left="317" w:hanging="259"/>
      </w:pPr>
      <w:r>
        <w:rPr>
          <w:b/>
        </w:rPr>
        <w:t xml:space="preserve">• </w:t>
      </w:r>
      <w:r>
        <w:t>Capture and describe the standard photographic views required for clinically useful case review.</w:t>
      </w:r>
    </w:p>
    <w:p>
      <w:pPr>
        <w:ind w:left="317" w:hanging="259"/>
      </w:pPr>
      <w:r>
        <w:rPr>
          <w:b/>
        </w:rPr>
        <w:t xml:space="preserve">• </w:t>
      </w:r>
      <w:r>
        <w:t>Write objective consultation notes that separate reported history, observed findings, patient goals, and unresolved questions.</w:t>
      </w:r>
    </w:p>
    <w:p>
      <w:pPr>
        <w:ind w:left="317" w:hanging="259"/>
      </w:pPr>
      <w:r>
        <w:rPr>
          <w:b/>
        </w:rPr>
        <w:t xml:space="preserve">• </w:t>
      </w:r>
      <w:r>
        <w:t>Prepare a concise doctor handover that supports fast, accurate review.</w:t>
      </w:r>
    </w:p>
    <w:p>
      <w:pPr>
        <w:ind w:left="317" w:hanging="259"/>
      </w:pPr>
      <w:r>
        <w:rPr>
          <w:b/>
        </w:rPr>
        <w:t xml:space="preserve">• </w:t>
      </w:r>
      <w:r>
        <w:t>Recognise common documentation failures that weaken decision-making and later audit confidence.</w:t>
      </w:r>
    </w:p>
    <w:p>
      <w:pPr>
        <w:pStyle w:val="Heading2"/>
      </w:pPr>
      <w:r>
        <w:t>Practical application</w:t>
      </w:r>
    </w:p>
    <w:p>
      <w:pPr>
        <w:ind w:left="317" w:hanging="259"/>
      </w:pPr>
      <w:r>
        <w:rPr>
          <w:b/>
        </w:rPr>
        <w:t xml:space="preserve">• </w:t>
      </w:r>
      <w:r>
        <w:t>Build a mock photo checklist for a first consultation, then pair it with a one-page case summary and handover note.</w:t>
      </w:r>
    </w:p>
    <w:tbl>
      <w:tblPr>
        <w:tblW w:type="auto" w:w="0"/>
        <w:jc w:val="center"/>
        <w:tblLayout w:type="fixed"/>
        <w:tblLook w:firstColumn="1" w:firstRow="1" w:lastColumn="0" w:lastRow="0" w:noHBand="0" w:noVBand="1" w:val="04A0"/>
      </w:tblPr>
      <w:tblGrid>
        <w:gridCol w:w="8928"/>
      </w:tblGrid>
      <w:tr>
        <w:tc>
          <w:tcPr>
            <w:tcW w:type="dxa" w:w="9936"/>
            <w:tcMar>
              <w:top w:w="110" w:type="dxa"/>
              <w:start w:w="140" w:type="dxa"/>
              <w:bottom w:w="110" w:type="dxa"/>
              <w:end w:w="140" w:type="dxa"/>
            </w:tcMar>
            <w:shd w:fill="F4F8FB"/>
          </w:tcPr>
          <w:p>
            <w:pPr>
              <w:spacing w:after="0"/>
            </w:pPr>
            <w:r>
              <w:rPr>
                <w:b/>
                <w:color w:val="1F3556"/>
                <w:sz w:val="21"/>
              </w:rPr>
              <w:t xml:space="preserve">Practical worksheet idea: </w:t>
            </w:r>
            <w:r>
              <w:rPr>
                <w:sz w:val="20"/>
              </w:rPr>
              <w:t>Ask learners to compare a weak case file and a strong case file. They should mark missing photo angles, vague wording, unsupported conclusions, and any mismatch between written note and visual evidence.</w:t>
            </w:r>
          </w:p>
        </w:tc>
      </w:tr>
    </w:tbl>
    <w:p/>
    <w:p>
      <w:pPr>
        <w:ind w:left="317" w:hanging="259"/>
      </w:pPr>
      <w:r>
        <w:rPr>
          <w:b/>
        </w:rPr>
        <w:t xml:space="preserve">• </w:t>
      </w:r>
      <w:r>
        <w:t>Rewrite a narrative-heavy note into a structured doctor-facing summary.</w:t>
      </w:r>
    </w:p>
    <w:p>
      <w:pPr>
        <w:pStyle w:val="Heading2"/>
      </w:pPr>
      <w:r>
        <w:t>Assessment focus</w:t>
      </w:r>
    </w:p>
    <w:p>
      <w:pPr/>
      <w:r>
        <w:t>Practical documentation submission. The learner should demonstrate clarity, objectivity, and evidence alignment rather than simply listing facts.</w:t>
      </w:r>
    </w:p>
    <w:p>
      <w:r>
        <w:br w:type="page"/>
      </w:r>
    </w:p>
    <w:p>
      <w:pPr>
        <w:pStyle w:val="ModuleLabel"/>
      </w:pPr>
      <w:r>
        <w:t>Week 10</w:t>
      </w:r>
    </w:p>
    <w:p>
      <w:pPr>
        <w:pStyle w:val="Heading1"/>
      </w:pPr>
      <w:r>
        <w:t>Pre-Operative Coordination and Patient Preparation</w:t>
      </w:r>
    </w:p>
    <w:p>
      <w:pPr/>
      <w:r>
        <w:rPr>
          <w:b/>
        </w:rPr>
        <w:t xml:space="preserve">Weekly theme: </w:t>
      </w:r>
      <w:r>
        <w:t>Turning treatment intent into an organised, safe, and well-understood patient pathway.</w:t>
      </w:r>
    </w:p>
    <w:p>
      <w:pPr>
        <w:pStyle w:val="Heading2"/>
      </w:pPr>
      <w:r>
        <w:t>Why this week matters</w:t>
      </w:r>
    </w:p>
    <w:p>
      <w:pPr/>
      <w:r>
        <w:t>Pre-operative coordination is where many avoidable problems begin or are prevented. Patients who arrive confused, anxious, or unprepared often reflect failures in the lead-up, not simply individual forgetfulness.</w:t>
      </w:r>
    </w:p>
    <w:p>
      <w:pPr/>
      <w:r>
        <w:t>Patient-facing staff play a major role in organising readiness, reinforcing instructions, checking understanding, and escalating issues that could disrupt treatment or compromise safety.</w:t>
      </w:r>
    </w:p>
    <w:p>
      <w:pPr>
        <w:pStyle w:val="Heading2"/>
      </w:pPr>
      <w:r>
        <w:t>Lecture sequence</w:t>
      </w:r>
    </w:p>
    <w:p>
      <w:pPr>
        <w:pStyle w:val="Heading3"/>
      </w:pPr>
      <w:r>
        <w:t>Lecture 1: The purpose of pre-operative coordination</w:t>
      </w:r>
    </w:p>
    <w:p>
      <w:pPr/>
      <w:r>
        <w:t>Once a patient is proceeding toward treatment, the coordination phase must convert a general decision into a safe, organised, well-understood process.</w:t>
      </w:r>
    </w:p>
    <w:p>
      <w:pPr>
        <w:ind w:left="317" w:hanging="259"/>
      </w:pPr>
      <w:r>
        <w:rPr>
          <w:b/>
        </w:rPr>
        <w:t xml:space="preserve">• </w:t>
      </w:r>
      <w:r>
        <w:t>The patient should understand what happens next, what is expected of them, and when to ask further questions.</w:t>
      </w:r>
    </w:p>
    <w:p>
      <w:pPr>
        <w:ind w:left="317" w:hanging="259"/>
      </w:pPr>
      <w:r>
        <w:rPr>
          <w:b/>
        </w:rPr>
        <w:t xml:space="preserve">• </w:t>
      </w:r>
      <w:r>
        <w:t>Instructions should be sequenced rather than dumped in a single overwhelming block.</w:t>
      </w:r>
    </w:p>
    <w:p>
      <w:pPr>
        <w:ind w:left="317" w:hanging="259"/>
      </w:pPr>
      <w:r>
        <w:rPr>
          <w:b/>
        </w:rPr>
        <w:t xml:space="preserve">• </w:t>
      </w:r>
      <w:r>
        <w:t>The tone should remain calm and professional; preparation is about clarity, not alarm.</w:t>
      </w:r>
    </w:p>
    <w:p>
      <w:pPr/>
      <w:r>
        <w:t>This phase also reinforces trust. Patients feel safer when the process feels organised.</w:t>
      </w:r>
    </w:p>
    <w:p>
      <w:pPr>
        <w:pStyle w:val="Heading3"/>
      </w:pPr>
      <w:r>
        <w:t>Lecture 2: Readiness checklists and practical preparation</w:t>
      </w:r>
    </w:p>
    <w:p>
      <w:pPr/>
      <w:r>
        <w:t>High-performing clinics reduce variation by relying on checklists and structured preparation tools.</w:t>
      </w:r>
    </w:p>
    <w:p>
      <w:pPr>
        <w:ind w:left="317" w:hanging="259"/>
      </w:pPr>
      <w:r>
        <w:rPr>
          <w:b/>
        </w:rPr>
        <w:t xml:space="preserve">• </w:t>
      </w:r>
      <w:r>
        <w:t>Confirm contact details, schedule, transport, and timing arrangements.</w:t>
      </w:r>
    </w:p>
    <w:p>
      <w:pPr>
        <w:ind w:left="317" w:hanging="259"/>
      </w:pPr>
      <w:r>
        <w:rPr>
          <w:b/>
        </w:rPr>
        <w:t xml:space="preserve">• </w:t>
      </w:r>
      <w:r>
        <w:t>Prompt disclosure of medications, supplements, smoking or alcohol habits, and any medical updates that may need review.</w:t>
      </w:r>
    </w:p>
    <w:p>
      <w:pPr>
        <w:ind w:left="317" w:hanging="259"/>
      </w:pPr>
      <w:r>
        <w:rPr>
          <w:b/>
        </w:rPr>
        <w:t xml:space="preserve">• </w:t>
      </w:r>
      <w:r>
        <w:t>Clarify hair preparation, shaving expectations where relevant, and what the patient should bring or avoid on the day.</w:t>
      </w:r>
    </w:p>
    <w:p>
      <w:pPr>
        <w:ind w:left="317" w:hanging="259"/>
      </w:pPr>
      <w:r>
        <w:rPr>
          <w:b/>
        </w:rPr>
        <w:t xml:space="preserve">• </w:t>
      </w:r>
      <w:r>
        <w:t>Ensure the patient knows which issues require immediate contact with the clinic.</w:t>
      </w:r>
    </w:p>
    <w:p>
      <w:pPr/>
      <w:r>
        <w:t>Checklists should support judgement, not replace it. Anything concerning should still be escalated appropriately.</w:t>
      </w:r>
    </w:p>
    <w:p>
      <w:pPr>
        <w:pStyle w:val="Heading3"/>
      </w:pPr>
      <w:r>
        <w:t>Lecture 3: Managing anxiety, hesitation, and last-minute confusion</w:t>
      </w:r>
    </w:p>
    <w:p>
      <w:pPr/>
      <w:r>
        <w:t>Many patients become more anxious as treatment approaches. Staff need to distinguish routine nerves from serious uncertainty or unresolved misunderstanding.</w:t>
      </w:r>
    </w:p>
    <w:p>
      <w:pPr>
        <w:ind w:left="317" w:hanging="259"/>
      </w:pPr>
      <w:r>
        <w:rPr>
          <w:b/>
        </w:rPr>
        <w:t xml:space="preserve">• </w:t>
      </w:r>
      <w:r>
        <w:t>Respond to anxiety with calm explanation, not dismissal.</w:t>
      </w:r>
    </w:p>
    <w:p>
      <w:pPr>
        <w:ind w:left="317" w:hanging="259"/>
      </w:pPr>
      <w:r>
        <w:rPr>
          <w:b/>
        </w:rPr>
        <w:t xml:space="preserve">• </w:t>
      </w:r>
      <w:r>
        <w:t>Reinforce the agreed plan without sounding transactional or impatient.</w:t>
      </w:r>
    </w:p>
    <w:p>
      <w:pPr>
        <w:ind w:left="317" w:hanging="259"/>
      </w:pPr>
      <w:r>
        <w:rPr>
          <w:b/>
        </w:rPr>
        <w:t xml:space="preserve">• </w:t>
      </w:r>
      <w:r>
        <w:t>Where questions move beyond scope, signal that the treating doctor or appropriate clinician will clarify.</w:t>
      </w:r>
    </w:p>
    <w:p>
      <w:pPr>
        <w:ind w:left="317" w:hanging="259"/>
      </w:pPr>
      <w:r>
        <w:rPr>
          <w:b/>
        </w:rPr>
        <w:t xml:space="preserve">• </w:t>
      </w:r>
      <w:r>
        <w:t>If doubt becomes significant, slow the process down rather than forcing confidence.</w:t>
      </w:r>
    </w:p>
    <w:p>
      <w:pPr/>
      <w:r>
        <w:t>A rushed or dismissive pre-op conversation can damage trust more quickly than a slow, careful one.</w:t>
      </w:r>
    </w:p>
    <w:p>
      <w:pPr>
        <w:pStyle w:val="Heading3"/>
      </w:pPr>
      <w:r>
        <w:t>Lecture 4: Preventing avoidable cancellations and day-of-treatment problems</w:t>
      </w:r>
    </w:p>
    <w:p>
      <w:pPr/>
      <w:r>
        <w:t>The final days before treatment should involve proactive confirmation rather than passive waiting.</w:t>
      </w:r>
    </w:p>
    <w:p>
      <w:pPr>
        <w:ind w:left="317" w:hanging="259"/>
      </w:pPr>
      <w:r>
        <w:rPr>
          <w:b/>
        </w:rPr>
        <w:t xml:space="preserve">• </w:t>
      </w:r>
      <w:r>
        <w:t>Use reminder sequencing so the patient receives instructions at sensible intervals.</w:t>
      </w:r>
    </w:p>
    <w:p>
      <w:pPr>
        <w:ind w:left="317" w:hanging="259"/>
      </w:pPr>
      <w:r>
        <w:rPr>
          <w:b/>
        </w:rPr>
        <w:t xml:space="preserve">• </w:t>
      </w:r>
      <w:r>
        <w:t>Check that forms, photos, and internal approvals are complete.</w:t>
      </w:r>
    </w:p>
    <w:p>
      <w:pPr>
        <w:ind w:left="317" w:hanging="259"/>
      </w:pPr>
      <w:r>
        <w:rPr>
          <w:b/>
        </w:rPr>
        <w:t xml:space="preserve">• </w:t>
      </w:r>
      <w:r>
        <w:t>Clarify unresolved questions before the day of treatment whenever possible.</w:t>
      </w:r>
    </w:p>
    <w:p>
      <w:pPr>
        <w:ind w:left="317" w:hanging="259"/>
      </w:pPr>
      <w:r>
        <w:rPr>
          <w:b/>
        </w:rPr>
        <w:t xml:space="preserve">• </w:t>
      </w:r>
      <w:r>
        <w:t>Document any late concerns so the clinical team is not surprised on the day.</w:t>
      </w:r>
    </w:p>
    <w:p>
      <w:pPr/>
      <w:r>
        <w:t>Good coordination protects capacity, reduces stress on staff, and improves patient confidence.</w:t>
      </w:r>
    </w:p>
    <w:p>
      <w:pPr>
        <w:pStyle w:val="Heading2"/>
      </w:pPr>
      <w:r>
        <w:t>Learning objectives</w:t>
      </w:r>
    </w:p>
    <w:p>
      <w:pPr>
        <w:ind w:left="317" w:hanging="259"/>
      </w:pPr>
      <w:r>
        <w:rPr>
          <w:b/>
        </w:rPr>
        <w:t xml:space="preserve">• </w:t>
      </w:r>
      <w:r>
        <w:t>Explain the purpose and scope of pre-operative coordination within the wider treatment pathway.</w:t>
      </w:r>
    </w:p>
    <w:p>
      <w:pPr>
        <w:ind w:left="317" w:hanging="259"/>
      </w:pPr>
      <w:r>
        <w:rPr>
          <w:b/>
        </w:rPr>
        <w:t xml:space="preserve">• </w:t>
      </w:r>
      <w:r>
        <w:t>Use readiness checklists and structured communication to reduce avoidable confusion or cancellations.</w:t>
      </w:r>
    </w:p>
    <w:p>
      <w:pPr>
        <w:ind w:left="317" w:hanging="259"/>
      </w:pPr>
      <w:r>
        <w:rPr>
          <w:b/>
        </w:rPr>
        <w:t xml:space="preserve">• </w:t>
      </w:r>
      <w:r>
        <w:t>Respond to anxiety and hesitation professionally while recognising when further clinical clarification is needed.</w:t>
      </w:r>
    </w:p>
    <w:p>
      <w:pPr>
        <w:ind w:left="317" w:hanging="259"/>
      </w:pPr>
      <w:r>
        <w:rPr>
          <w:b/>
        </w:rPr>
        <w:t xml:space="preserve">• </w:t>
      </w:r>
      <w:r>
        <w:t>Document late-stage issues so the treatment team receives accurate context before the day of care.</w:t>
      </w:r>
    </w:p>
    <w:p>
      <w:pPr>
        <w:pStyle w:val="Heading2"/>
      </w:pPr>
      <w:r>
        <w:t>Practical application</w:t>
      </w:r>
    </w:p>
    <w:p>
      <w:pPr>
        <w:ind w:left="317" w:hanging="259"/>
      </w:pPr>
      <w:r>
        <w:rPr>
          <w:b/>
        </w:rPr>
        <w:t xml:space="preserve">• </w:t>
      </w:r>
      <w:r>
        <w:t>Create a week-before-treatment communication sequence that includes reminders, readiness checks, and escalation points.</w:t>
      </w:r>
    </w:p>
    <w:p>
      <w:pPr>
        <w:ind w:left="317" w:hanging="259"/>
      </w:pPr>
      <w:r>
        <w:rPr>
          <w:b/>
        </w:rPr>
        <w:t xml:space="preserve">• </w:t>
      </w:r>
      <w:r>
        <w:t>Design a patient-friendly pre-op checklist that uses plain language but retains clinical usefulness.</w:t>
      </w:r>
    </w:p>
    <w:tbl>
      <w:tblPr>
        <w:tblW w:type="auto" w:w="0"/>
        <w:jc w:val="center"/>
        <w:tblLayout w:type="fixed"/>
        <w:tblLook w:firstColumn="1" w:firstRow="1" w:lastColumn="0" w:lastRow="0" w:noHBand="0" w:noVBand="1" w:val="04A0"/>
      </w:tblPr>
      <w:tblGrid>
        <w:gridCol w:w="8928"/>
      </w:tblGrid>
      <w:tr>
        <w:tc>
          <w:tcPr>
            <w:tcW w:type="dxa" w:w="9936"/>
            <w:tcMar>
              <w:top w:w="110" w:type="dxa"/>
              <w:start w:w="140" w:type="dxa"/>
              <w:bottom w:w="110" w:type="dxa"/>
              <w:end w:w="140" w:type="dxa"/>
            </w:tcMar>
            <w:shd w:fill="F4F8FB"/>
          </w:tcPr>
          <w:p>
            <w:pPr>
              <w:spacing w:after="0"/>
            </w:pPr>
            <w:r>
              <w:rPr>
                <w:b/>
                <w:color w:val="1F3556"/>
                <w:sz w:val="21"/>
              </w:rPr>
              <w:t xml:space="preserve">Teaching note: </w:t>
            </w:r>
            <w:r>
              <w:rPr>
                <w:sz w:val="20"/>
              </w:rPr>
              <w:t>The best pre-op tools reduce noise, not increase it. Encourage learners to prioritise sequencing, clarity, and consistent terminology over long instruction dumps.</w:t>
            </w:r>
          </w:p>
        </w:tc>
      </w:tr>
    </w:tbl>
    <w:p/>
    <w:p>
      <w:pPr>
        <w:pStyle w:val="Heading2"/>
      </w:pPr>
      <w:r>
        <w:t>Assessment focus</w:t>
      </w:r>
    </w:p>
    <w:p>
      <w:pPr/>
      <w:r>
        <w:t>Operational readiness task. Learners should show that they can balance patient reassurance, process discipline, and escalation awareness.</w:t>
      </w:r>
    </w:p>
    <w:p>
      <w:r>
        <w:br w:type="page"/>
      </w:r>
    </w:p>
    <w:p>
      <w:pPr>
        <w:pStyle w:val="ModuleLabel"/>
      </w:pPr>
      <w:r>
        <w:t>Week 11</w:t>
      </w:r>
    </w:p>
    <w:p>
      <w:pPr>
        <w:pStyle w:val="Heading1"/>
      </w:pPr>
      <w:r>
        <w:t>Post-Operative Support, Follow-Up, and Difficult Cases</w:t>
      </w:r>
    </w:p>
    <w:p>
      <w:pPr/>
      <w:r>
        <w:rPr>
          <w:b/>
        </w:rPr>
        <w:t xml:space="preserve">Weekly theme: </w:t>
      </w:r>
      <w:r>
        <w:t>Supporting patients through recovery with calm communication, accurate documentation, and timely escalation.</w:t>
      </w:r>
    </w:p>
    <w:p>
      <w:pPr>
        <w:pStyle w:val="Heading2"/>
      </w:pPr>
      <w:r>
        <w:t>Why this week matters</w:t>
      </w:r>
    </w:p>
    <w:p>
      <w:pPr/>
      <w:r>
        <w:t>Routine post-operative support often sits with nurses, coordinators, and consultants long before the doctor becomes involved. This means the quality of follow-up communication can strongly influence reassurance, escalation, complaint prevention, and adherence.</w:t>
      </w:r>
    </w:p>
    <w:p>
      <w:pPr/>
      <w:r>
        <w:t>The challenge is to remain supportive without normalising abnormal recovery or speaking beyond scope. Mature follow-up communication is calm, clear, and disciplined.</w:t>
      </w:r>
    </w:p>
    <w:p>
      <w:pPr>
        <w:pStyle w:val="Heading2"/>
      </w:pPr>
      <w:r>
        <w:t>Lecture sequence</w:t>
      </w:r>
    </w:p>
    <w:p>
      <w:pPr>
        <w:pStyle w:val="Heading3"/>
      </w:pPr>
      <w:r>
        <w:t>Lecture 1: The normal healing course and routine reassurance</w:t>
      </w:r>
    </w:p>
    <w:p>
      <w:pPr/>
      <w:r>
        <w:t>Patients often need repeated reassurance about what is normal after treatment. Staff should therefore understand the broad shape of the recovery timeline.</w:t>
      </w:r>
    </w:p>
    <w:p>
      <w:pPr>
        <w:ind w:left="317" w:hanging="259"/>
      </w:pPr>
      <w:r>
        <w:rPr>
          <w:b/>
        </w:rPr>
        <w:t xml:space="preserve">• </w:t>
      </w:r>
      <w:r>
        <w:t>redness, swelling, crusting, shedding, tenderness, and donor tightness may all feature within the expected course depending on the treatment pathway</w:t>
      </w:r>
    </w:p>
    <w:p>
      <w:pPr>
        <w:ind w:left="317" w:hanging="259"/>
      </w:pPr>
      <w:r>
        <w:rPr>
          <w:b/>
        </w:rPr>
        <w:t xml:space="preserve">• </w:t>
      </w:r>
      <w:r>
        <w:t>visible density does not reflect final outcome in the early stages</w:t>
      </w:r>
    </w:p>
    <w:p>
      <w:pPr>
        <w:ind w:left="317" w:hanging="259"/>
      </w:pPr>
      <w:r>
        <w:rPr>
          <w:b/>
        </w:rPr>
        <w:t xml:space="preserve">• </w:t>
      </w:r>
      <w:r>
        <w:t>shock loss and temporary cosmetic disappointment may occur</w:t>
      </w:r>
    </w:p>
    <w:p>
      <w:pPr>
        <w:ind w:left="317" w:hanging="259"/>
      </w:pPr>
      <w:r>
        <w:rPr>
          <w:b/>
        </w:rPr>
        <w:t xml:space="preserve">• </w:t>
      </w:r>
      <w:r>
        <w:t>timeframes for visible progress must be framed conservatively and honestly</w:t>
      </w:r>
    </w:p>
    <w:p>
      <w:pPr/>
      <w:r>
        <w:t>Routine reassurance should be grounded in broad normal patterns, not false certainty about an individual case.</w:t>
      </w:r>
    </w:p>
    <w:p>
      <w:pPr>
        <w:pStyle w:val="Heading3"/>
      </w:pPr>
      <w:r>
        <w:t>Lecture 2: Follow-up communication and continuity of care</w:t>
      </w:r>
    </w:p>
    <w:p>
      <w:pPr/>
      <w:r>
        <w:t>Good follow-up does more than answer isolated questions. It reinforces continuity.</w:t>
      </w:r>
    </w:p>
    <w:p>
      <w:pPr>
        <w:ind w:left="317" w:hanging="259"/>
      </w:pPr>
      <w:r>
        <w:rPr>
          <w:b/>
        </w:rPr>
        <w:t xml:space="preserve">• </w:t>
      </w:r>
      <w:r>
        <w:t>Use a consistent follow-up structure so patients know when they will hear from the clinic.</w:t>
      </w:r>
    </w:p>
    <w:p>
      <w:pPr>
        <w:ind w:left="317" w:hanging="259"/>
      </w:pPr>
      <w:r>
        <w:rPr>
          <w:b/>
        </w:rPr>
        <w:t xml:space="preserve">• </w:t>
      </w:r>
      <w:r>
        <w:t>Encourage patients to report concerns clearly and promptly.</w:t>
      </w:r>
    </w:p>
    <w:p>
      <w:pPr>
        <w:ind w:left="317" w:hanging="259"/>
      </w:pPr>
      <w:r>
        <w:rPr>
          <w:b/>
        </w:rPr>
        <w:t xml:space="preserve">• </w:t>
      </w:r>
      <w:r>
        <w:t>Document each interaction, especially when symptoms are changing or distress is increasing.</w:t>
      </w:r>
    </w:p>
    <w:p>
      <w:pPr>
        <w:ind w:left="317" w:hanging="259"/>
      </w:pPr>
      <w:r>
        <w:rPr>
          <w:b/>
        </w:rPr>
        <w:t xml:space="preserve">• </w:t>
      </w:r>
      <w:r>
        <w:t>Maintain respectful tone even when questions are repetitive. Repetition often reflects anxiety rather than resistance.</w:t>
      </w:r>
    </w:p>
    <w:p>
      <w:pPr/>
      <w:r>
        <w:t>Professional follow-up helps the patient feel held within a process rather than abandoned after payment or treatment.</w:t>
      </w:r>
    </w:p>
    <w:p>
      <w:pPr>
        <w:pStyle w:val="Heading3"/>
      </w:pPr>
      <w:r>
        <w:t>Lecture 3: Complaints, dissatisfaction, and difficult conversations</w:t>
      </w:r>
    </w:p>
    <w:p>
      <w:pPr/>
      <w:r>
        <w:t>Some patients will express fear, frustration, or disappointment before there is enough information to judge outcome. Staff need communication maturity here.</w:t>
      </w:r>
    </w:p>
    <w:p>
      <w:pPr>
        <w:ind w:left="317" w:hanging="259"/>
      </w:pPr>
      <w:r>
        <w:rPr>
          <w:b/>
        </w:rPr>
        <w:t xml:space="preserve">• </w:t>
      </w:r>
      <w:r>
        <w:t>Do not argue with a distressed patient or minimise their experience.</w:t>
      </w:r>
    </w:p>
    <w:p>
      <w:pPr>
        <w:ind w:left="317" w:hanging="259"/>
      </w:pPr>
      <w:r>
        <w:rPr>
          <w:b/>
        </w:rPr>
        <w:t xml:space="preserve">• </w:t>
      </w:r>
      <w:r>
        <w:t>Acknowledge the concern, clarify the issue, and explain what the next review step should be.</w:t>
      </w:r>
    </w:p>
    <w:p>
      <w:pPr>
        <w:ind w:left="317" w:hanging="259"/>
      </w:pPr>
      <w:r>
        <w:rPr>
          <w:b/>
        </w:rPr>
        <w:t xml:space="preserve">• </w:t>
      </w:r>
      <w:r>
        <w:t>Avoid defensive language and do not promise a result to calm the conversation.</w:t>
      </w:r>
    </w:p>
    <w:p>
      <w:pPr>
        <w:ind w:left="317" w:hanging="259"/>
      </w:pPr>
      <w:r>
        <w:rPr>
          <w:b/>
        </w:rPr>
        <w:t xml:space="preserve">• </w:t>
      </w:r>
      <w:r>
        <w:t>Escalate promptly when dissatisfaction appears linked to possible complication, procedural concern, or significant emotional distress.</w:t>
      </w:r>
    </w:p>
    <w:p>
      <w:pPr/>
      <w:r>
        <w:t>Complaint prevention often depends on how the first difficult conversation is handled.</w:t>
      </w:r>
    </w:p>
    <w:p>
      <w:pPr>
        <w:pStyle w:val="Heading3"/>
      </w:pPr>
      <w:r>
        <w:t>Lecture 4: Escalation triggers and high-risk recovery scenarios</w:t>
      </w:r>
    </w:p>
    <w:p>
      <w:pPr/>
      <w:r>
        <w:t>Staff must know when a case has moved beyond routine follow-up.</w:t>
      </w:r>
    </w:p>
    <w:p>
      <w:pPr>
        <w:ind w:left="317" w:hanging="259"/>
      </w:pPr>
      <w:r>
        <w:rPr>
          <w:b/>
        </w:rPr>
        <w:t xml:space="preserve">• </w:t>
      </w:r>
      <w:r>
        <w:t>unexpected pain, possible infection, severe swelling, or unusual wound concerns</w:t>
      </w:r>
    </w:p>
    <w:p>
      <w:pPr>
        <w:ind w:left="317" w:hanging="259"/>
      </w:pPr>
      <w:r>
        <w:rPr>
          <w:b/>
        </w:rPr>
        <w:t xml:space="preserve">• </w:t>
      </w:r>
      <w:r>
        <w:t>rapid emotional deterioration or panic</w:t>
      </w:r>
    </w:p>
    <w:p>
      <w:pPr>
        <w:ind w:left="317" w:hanging="259"/>
      </w:pPr>
      <w:r>
        <w:rPr>
          <w:b/>
        </w:rPr>
        <w:t xml:space="preserve">• </w:t>
      </w:r>
      <w:r>
        <w:t>persistent distress combined with unrealistic or catastrophic interpretation</w:t>
      </w:r>
    </w:p>
    <w:p>
      <w:pPr>
        <w:ind w:left="317" w:hanging="259"/>
      </w:pPr>
      <w:r>
        <w:rPr>
          <w:b/>
        </w:rPr>
        <w:t xml:space="preserve">• </w:t>
      </w:r>
      <w:r>
        <w:t>uncertainty about whether the symptoms fit the expected recovery pattern</w:t>
      </w:r>
    </w:p>
    <w:p>
      <w:pPr/>
      <w:r>
        <w:t>When in doubt, document clearly and escalate early. Safe escalation is a marker of maturity, not weakness.</w:t>
      </w:r>
    </w:p>
    <w:p>
      <w:pPr>
        <w:pStyle w:val="Heading2"/>
      </w:pPr>
      <w:r>
        <w:t>Learning objectives</w:t>
      </w:r>
    </w:p>
    <w:p>
      <w:pPr>
        <w:ind w:left="317" w:hanging="259"/>
      </w:pPr>
      <w:r>
        <w:rPr>
          <w:b/>
        </w:rPr>
        <w:t xml:space="preserve">• </w:t>
      </w:r>
      <w:r>
        <w:t>Describe the broad normal course of post-operative recovery in patient-friendly language without overpromising individual outcomes.</w:t>
      </w:r>
    </w:p>
    <w:p>
      <w:pPr>
        <w:ind w:left="317" w:hanging="259"/>
      </w:pPr>
      <w:r>
        <w:rPr>
          <w:b/>
        </w:rPr>
        <w:t xml:space="preserve">• </w:t>
      </w:r>
      <w:r>
        <w:t>Use a structured follow-up approach that supports continuity and records interactions clearly.</w:t>
      </w:r>
    </w:p>
    <w:p>
      <w:pPr>
        <w:ind w:left="317" w:hanging="259"/>
      </w:pPr>
      <w:r>
        <w:rPr>
          <w:b/>
        </w:rPr>
        <w:t xml:space="preserve">• </w:t>
      </w:r>
      <w:r>
        <w:t>Manage dissatisfaction and emotionally charged conversations with professionalism and restraint.</w:t>
      </w:r>
    </w:p>
    <w:p>
      <w:pPr>
        <w:ind w:left="317" w:hanging="259"/>
      </w:pPr>
      <w:r>
        <w:rPr>
          <w:b/>
        </w:rPr>
        <w:t xml:space="preserve">• </w:t>
      </w:r>
      <w:r>
        <w:t>Recognise symptoms, behaviour patterns, or uncertainty that require urgent or prompt escalation.</w:t>
      </w:r>
    </w:p>
    <w:p>
      <w:pPr>
        <w:pStyle w:val="Heading2"/>
      </w:pPr>
      <w:r>
        <w:t>Practical application</w:t>
      </w:r>
    </w:p>
    <w:p>
      <w:pPr>
        <w:ind w:left="317" w:hanging="259"/>
      </w:pPr>
      <w:r>
        <w:rPr>
          <w:b/>
        </w:rPr>
        <w:t xml:space="preserve">• </w:t>
      </w:r>
      <w:r>
        <w:t>Respond to a series of simulated patient messages covering routine reassurance, anxiety, dissatisfaction, and urgent concern.</w:t>
      </w:r>
    </w:p>
    <w:p>
      <w:pPr>
        <w:ind w:left="317" w:hanging="259"/>
      </w:pPr>
      <w:r>
        <w:rPr>
          <w:b/>
        </w:rPr>
        <w:t xml:space="preserve">• </w:t>
      </w:r>
      <w:r>
        <w:t>Draft a follow-up note that documents the patient concern, response given, and escalation decision.</w:t>
      </w:r>
    </w:p>
    <w:tbl>
      <w:tblPr>
        <w:tblW w:type="auto" w:w="0"/>
        <w:jc w:val="center"/>
        <w:tblLayout w:type="fixed"/>
        <w:tblLook w:firstColumn="1" w:firstRow="1" w:lastColumn="0" w:lastRow="0" w:noHBand="0" w:noVBand="1" w:val="04A0"/>
      </w:tblPr>
      <w:tblGrid>
        <w:gridCol w:w="8928"/>
      </w:tblGrid>
      <w:tr>
        <w:tc>
          <w:tcPr>
            <w:tcW w:type="dxa" w:w="9936"/>
            <w:tcMar>
              <w:top w:w="110" w:type="dxa"/>
              <w:start w:w="140" w:type="dxa"/>
              <w:bottom w:w="110" w:type="dxa"/>
              <w:end w:w="140" w:type="dxa"/>
            </w:tcMar>
            <w:shd w:fill="F4F8FB"/>
          </w:tcPr>
          <w:p>
            <w:pPr>
              <w:spacing w:after="0"/>
            </w:pPr>
            <w:r>
              <w:rPr>
                <w:b/>
                <w:color w:val="1F3556"/>
                <w:sz w:val="21"/>
              </w:rPr>
              <w:t xml:space="preserve">Scenario-based exercise: </w:t>
            </w:r>
            <w:r>
              <w:rPr>
                <w:sz w:val="20"/>
              </w:rPr>
              <w:t>Present one case where the patient is medically routine but emotionally distressed, and another where the patient is calm but the symptoms are potentially abnormal. This helps learners separate emotional intensity from clinical urgency.</w:t>
            </w:r>
          </w:p>
        </w:tc>
      </w:tr>
    </w:tbl>
    <w:p/>
    <w:p>
      <w:pPr>
        <w:pStyle w:val="Heading2"/>
      </w:pPr>
      <w:r>
        <w:t>Assessment focus</w:t>
      </w:r>
    </w:p>
    <w:p>
      <w:pPr/>
      <w:r>
        <w:t>Communication judgement assessment. Tone, clarity, escalation logic, and note quality should all be evaluated.</w:t>
      </w:r>
    </w:p>
    <w:p>
      <w:r>
        <w:br w:type="page"/>
      </w:r>
    </w:p>
    <w:p>
      <w:pPr>
        <w:pStyle w:val="ModuleLabel"/>
      </w:pPr>
      <w:r>
        <w:t>Week 12</w:t>
      </w:r>
    </w:p>
    <w:p>
      <w:pPr>
        <w:pStyle w:val="Heading1"/>
      </w:pPr>
      <w:r>
        <w:t>Quality Assurance, Leadership, and Final Competency Integration</w:t>
      </w:r>
    </w:p>
    <w:p>
      <w:pPr/>
      <w:r>
        <w:rPr>
          <w:b/>
        </w:rPr>
        <w:t xml:space="preserve">Weekly theme: </w:t>
      </w:r>
      <w:r>
        <w:t>Connecting individual competence to clinic systems, audit thinking, and final certification readiness.</w:t>
      </w:r>
    </w:p>
    <w:p>
      <w:pPr>
        <w:pStyle w:val="Heading2"/>
      </w:pPr>
      <w:r>
        <w:t>Why this week matters</w:t>
      </w:r>
    </w:p>
    <w:p>
      <w:pPr/>
      <w:r>
        <w:t>Week 12 is about integration. By this stage, learners should see that consultation quality is not only interpersonal; it is structural. Better systems, clearer records, and more disciplined communication create a stronger clinic environment for everyone.</w:t>
      </w:r>
    </w:p>
    <w:p>
      <w:pPr/>
      <w:r>
        <w:t>This week also prepares the learner for final competency assessment by drawing together ethics, screening support, workflow execution, documentation quality, and reflective professionalism.</w:t>
      </w:r>
    </w:p>
    <w:p>
      <w:pPr>
        <w:pStyle w:val="Heading2"/>
      </w:pPr>
      <w:r>
        <w:t>Lecture sequence</w:t>
      </w:r>
    </w:p>
    <w:p>
      <w:pPr>
        <w:pStyle w:val="Heading3"/>
      </w:pPr>
      <w:r>
        <w:t>Lecture 1: What strong consultation systems look like</w:t>
      </w:r>
    </w:p>
    <w:p>
      <w:pPr/>
      <w:r>
        <w:t>Strong clinics do not rely entirely on individual charisma or memory. They build consultation quality into process.</w:t>
      </w:r>
    </w:p>
    <w:p>
      <w:pPr>
        <w:ind w:left="317" w:hanging="259"/>
      </w:pPr>
      <w:r>
        <w:rPr>
          <w:b/>
        </w:rPr>
        <w:t xml:space="preserve">• </w:t>
      </w:r>
      <w:r>
        <w:t>consistent intake structure</w:t>
      </w:r>
    </w:p>
    <w:p>
      <w:pPr>
        <w:ind w:left="317" w:hanging="259"/>
      </w:pPr>
      <w:r>
        <w:rPr>
          <w:b/>
        </w:rPr>
        <w:t xml:space="preserve">• </w:t>
      </w:r>
      <w:r>
        <w:t>clear handover pathways</w:t>
      </w:r>
    </w:p>
    <w:p>
      <w:pPr>
        <w:ind w:left="317" w:hanging="259"/>
      </w:pPr>
      <w:r>
        <w:rPr>
          <w:b/>
        </w:rPr>
        <w:t xml:space="preserve">• </w:t>
      </w:r>
      <w:r>
        <w:t>shared documentation standards</w:t>
      </w:r>
    </w:p>
    <w:p>
      <w:pPr>
        <w:ind w:left="317" w:hanging="259"/>
      </w:pPr>
      <w:r>
        <w:rPr>
          <w:b/>
        </w:rPr>
        <w:t xml:space="preserve">• </w:t>
      </w:r>
      <w:r>
        <w:t>defined escalation logic</w:t>
      </w:r>
    </w:p>
    <w:p>
      <w:pPr>
        <w:ind w:left="317" w:hanging="259"/>
      </w:pPr>
      <w:r>
        <w:rPr>
          <w:b/>
        </w:rPr>
        <w:t xml:space="preserve">• </w:t>
      </w:r>
      <w:r>
        <w:t>predictable follow-up communication</w:t>
      </w:r>
    </w:p>
    <w:p>
      <w:pPr>
        <w:ind w:left="317" w:hanging="259"/>
      </w:pPr>
      <w:r>
        <w:rPr>
          <w:b/>
        </w:rPr>
        <w:t xml:space="preserve">• </w:t>
      </w:r>
      <w:r>
        <w:t>feedback loops between doctors and patient-facing staff</w:t>
      </w:r>
    </w:p>
    <w:p>
      <w:pPr/>
      <w:r>
        <w:t>Systems reduce variation. Variation is often where misunderstanding and avoidable complaints emerge.</w:t>
      </w:r>
    </w:p>
    <w:p>
      <w:pPr>
        <w:pStyle w:val="Heading3"/>
      </w:pPr>
      <w:r>
        <w:t>Lecture 2: Consultation audit and quality improvement</w:t>
      </w:r>
    </w:p>
    <w:p>
      <w:pPr/>
      <w:r>
        <w:t>A quality culture depends on the ability to review work honestly.</w:t>
      </w:r>
    </w:p>
    <w:p>
      <w:pPr>
        <w:ind w:left="317" w:hanging="259"/>
      </w:pPr>
      <w:r>
        <w:rPr>
          <w:b/>
        </w:rPr>
        <w:t xml:space="preserve">• </w:t>
      </w:r>
      <w:r>
        <w:t>Audit can examine note quality, photo completeness, expectation-setting language, escalation behaviour, and patient communication patterns.</w:t>
      </w:r>
    </w:p>
    <w:p>
      <w:pPr>
        <w:ind w:left="317" w:hanging="259"/>
      </w:pPr>
      <w:r>
        <w:rPr>
          <w:b/>
        </w:rPr>
        <w:t xml:space="preserve">• </w:t>
      </w:r>
      <w:r>
        <w:t>Review should identify training needs, not just mistakes.</w:t>
      </w:r>
    </w:p>
    <w:p>
      <w:pPr>
        <w:ind w:left="317" w:hanging="259"/>
      </w:pPr>
      <w:r>
        <w:rPr>
          <w:b/>
        </w:rPr>
        <w:t xml:space="preserve">• </w:t>
      </w:r>
      <w:r>
        <w:t>A good audit mindset asks: what in the system made this error easier or this success repeatable?</w:t>
      </w:r>
    </w:p>
    <w:p>
      <w:pPr/>
      <w:r>
        <w:t>Learners should understand that quality improvement is continuous, not a one-off performance exercise.</w:t>
      </w:r>
    </w:p>
    <w:p>
      <w:pPr>
        <w:pStyle w:val="Heading3"/>
      </w:pPr>
      <w:r>
        <w:t>Lecture 3: Leadership in patient-facing roles</w:t>
      </w:r>
    </w:p>
    <w:p>
      <w:pPr/>
      <w:r>
        <w:t>Even learners who do not hold a formal title can demonstrate leadership through consistency, integrity, and professionalism.</w:t>
      </w:r>
    </w:p>
    <w:p>
      <w:pPr>
        <w:ind w:left="317" w:hanging="259"/>
      </w:pPr>
      <w:r>
        <w:rPr>
          <w:b/>
        </w:rPr>
        <w:t xml:space="preserve">• </w:t>
      </w:r>
      <w:r>
        <w:t>model accurate language and respectful boundaries</w:t>
      </w:r>
    </w:p>
    <w:p>
      <w:pPr>
        <w:ind w:left="317" w:hanging="259"/>
      </w:pPr>
      <w:r>
        <w:rPr>
          <w:b/>
        </w:rPr>
        <w:t xml:space="preserve">• </w:t>
      </w:r>
      <w:r>
        <w:t>help standardise tools and processes</w:t>
      </w:r>
    </w:p>
    <w:p>
      <w:pPr>
        <w:ind w:left="317" w:hanging="259"/>
      </w:pPr>
      <w:r>
        <w:rPr>
          <w:b/>
        </w:rPr>
        <w:t xml:space="preserve">• </w:t>
      </w:r>
      <w:r>
        <w:t>support junior colleagues without normalising poor habits</w:t>
      </w:r>
    </w:p>
    <w:p>
      <w:pPr>
        <w:ind w:left="317" w:hanging="259"/>
      </w:pPr>
      <w:r>
        <w:rPr>
          <w:b/>
        </w:rPr>
        <w:t xml:space="preserve">• </w:t>
      </w:r>
      <w:r>
        <w:t>encourage escalation when something does not feel right</w:t>
      </w:r>
    </w:p>
    <w:p>
      <w:pPr/>
      <w:r>
        <w:t>Leadership in this context is less about rank and more about raising the standard around you.</w:t>
      </w:r>
    </w:p>
    <w:p>
      <w:pPr>
        <w:pStyle w:val="Heading3"/>
      </w:pPr>
      <w:r>
        <w:t>Lecture 4: Preparing for final competency assessment</w:t>
      </w:r>
    </w:p>
    <w:p>
      <w:pPr/>
      <w:r>
        <w:t>Final assessment should test applied capability rather than simple recall.</w:t>
      </w:r>
    </w:p>
    <w:p>
      <w:pPr>
        <w:ind w:left="317" w:hanging="259"/>
      </w:pPr>
      <w:r>
        <w:rPr>
          <w:b/>
        </w:rPr>
        <w:t xml:space="preserve">• </w:t>
      </w:r>
      <w:r>
        <w:t>theory knowledge must connect to real patient scenarios</w:t>
      </w:r>
    </w:p>
    <w:p>
      <w:pPr>
        <w:ind w:left="317" w:hanging="259"/>
      </w:pPr>
      <w:r>
        <w:rPr>
          <w:b/>
        </w:rPr>
        <w:t xml:space="preserve">• </w:t>
      </w:r>
      <w:r>
        <w:t>documentation must be usable, not merely complete</w:t>
      </w:r>
    </w:p>
    <w:p>
      <w:pPr>
        <w:ind w:left="317" w:hanging="259"/>
      </w:pPr>
      <w:r>
        <w:rPr>
          <w:b/>
        </w:rPr>
        <w:t xml:space="preserve">• </w:t>
      </w:r>
      <w:r>
        <w:t>communication must sound mature, not memorised</w:t>
      </w:r>
    </w:p>
    <w:p>
      <w:pPr>
        <w:ind w:left="317" w:hanging="259"/>
      </w:pPr>
      <w:r>
        <w:rPr>
          <w:b/>
        </w:rPr>
        <w:t xml:space="preserve">• </w:t>
      </w:r>
      <w:r>
        <w:t>ethical judgement and scope awareness remain non-negotiable</w:t>
      </w:r>
    </w:p>
    <w:p>
      <w:pPr/>
      <w:r>
        <w:t>Learners should finish the course able to explain not only what they would do, but why it is the safest and most professional response.</w:t>
      </w:r>
    </w:p>
    <w:p>
      <w:pPr>
        <w:pStyle w:val="Heading2"/>
      </w:pPr>
      <w:r>
        <w:t>Learning objectives</w:t>
      </w:r>
    </w:p>
    <w:p>
      <w:pPr>
        <w:ind w:left="317" w:hanging="259"/>
      </w:pPr>
      <w:r>
        <w:rPr>
          <w:b/>
        </w:rPr>
        <w:t xml:space="preserve">• </w:t>
      </w:r>
      <w:r>
        <w:t>Explain what makes a consultation system consistent, safe, and scalable across a clinic or group.</w:t>
      </w:r>
    </w:p>
    <w:p>
      <w:pPr>
        <w:ind w:left="317" w:hanging="259"/>
      </w:pPr>
      <w:r>
        <w:rPr>
          <w:b/>
        </w:rPr>
        <w:t xml:space="preserve">• </w:t>
      </w:r>
      <w:r>
        <w:t>Identify how audit and feedback loops can improve training, documentation, and communication quality.</w:t>
      </w:r>
    </w:p>
    <w:p>
      <w:pPr>
        <w:ind w:left="317" w:hanging="259"/>
      </w:pPr>
      <w:r>
        <w:rPr>
          <w:b/>
        </w:rPr>
        <w:t xml:space="preserve">• </w:t>
      </w:r>
      <w:r>
        <w:t>Describe leadership behaviours that raise standards in patient-facing roles, even without formal title.</w:t>
      </w:r>
    </w:p>
    <w:p>
      <w:pPr>
        <w:ind w:left="317" w:hanging="259"/>
      </w:pPr>
      <w:r>
        <w:rPr>
          <w:b/>
        </w:rPr>
        <w:t xml:space="preserve">• </w:t>
      </w:r>
      <w:r>
        <w:t>Integrate knowledge from the full certificate into applied final-assessment thinking.</w:t>
      </w:r>
    </w:p>
    <w:p>
      <w:pPr>
        <w:pStyle w:val="Heading2"/>
      </w:pPr>
      <w:r>
        <w:t>Practical application</w:t>
      </w:r>
    </w:p>
    <w:p>
      <w:pPr>
        <w:ind w:left="317" w:hanging="259"/>
      </w:pPr>
      <w:r>
        <w:rPr>
          <w:b/>
        </w:rPr>
        <w:t xml:space="preserve">• </w:t>
      </w:r>
      <w:r>
        <w:t>Complete a mini quality-audit exercise using sample consultation notes, handover summaries, and follow-up messages.</w:t>
      </w:r>
    </w:p>
    <w:p>
      <w:pPr>
        <w:ind w:left="317" w:hanging="259"/>
      </w:pPr>
      <w:r>
        <w:rPr>
          <w:b/>
        </w:rPr>
        <w:t xml:space="preserve">• </w:t>
      </w:r>
      <w:r>
        <w:t>Write a short reflective statement on how the learner would improve consultation quality in their current or intended clinic setting.</w:t>
      </w:r>
    </w:p>
    <w:tbl>
      <w:tblPr>
        <w:tblW w:type="auto" w:w="0"/>
        <w:jc w:val="center"/>
        <w:tblLayout w:type="fixed"/>
        <w:tblLook w:firstColumn="1" w:firstRow="1" w:lastColumn="0" w:lastRow="0" w:noHBand="0" w:noVBand="1" w:val="04A0"/>
      </w:tblPr>
      <w:tblGrid>
        <w:gridCol w:w="8928"/>
      </w:tblGrid>
      <w:tr>
        <w:tc>
          <w:tcPr>
            <w:tcW w:type="dxa" w:w="9936"/>
            <w:tcMar>
              <w:top w:w="110" w:type="dxa"/>
              <w:start w:w="140" w:type="dxa"/>
              <w:bottom w:w="110" w:type="dxa"/>
              <w:end w:w="140" w:type="dxa"/>
            </w:tcMar>
            <w:shd w:fill="F4F8FB"/>
          </w:tcPr>
          <w:p>
            <w:pPr>
              <w:spacing w:after="0"/>
            </w:pPr>
            <w:r>
              <w:rPr>
                <w:b/>
                <w:color w:val="1F3556"/>
                <w:sz w:val="21"/>
              </w:rPr>
              <w:t xml:space="preserve">Capstone direction: </w:t>
            </w:r>
            <w:r>
              <w:rPr>
                <w:sz w:val="20"/>
              </w:rPr>
              <w:t>The final competency task should feel like a realistic clinic simulation: intake summary, case concerns, communication response, handover preparation, and a short justification for escalation or non-escalation decisions.</w:t>
            </w:r>
          </w:p>
        </w:tc>
      </w:tr>
    </w:tbl>
    <w:p/>
    <w:p>
      <w:pPr>
        <w:pStyle w:val="Heading2"/>
      </w:pPr>
      <w:r>
        <w:t>Assessment focus</w:t>
      </w:r>
    </w:p>
    <w:p>
      <w:pPr/>
      <w:r>
        <w:t>Integrated competency review. Final judgement should look for ethical maturity, structured reasoning, and professional coherence across the whole course.</w:t>
      </w:r>
    </w:p>
    <w:p>
      <w:r>
        <w:br w:type="page"/>
      </w:r>
    </w:p>
    <w:p>
      <w:pPr>
        <w:pStyle w:val="Heading1"/>
      </w:pPr>
      <w:r>
        <w:t>Volume 3 conclusion</w:t>
      </w:r>
    </w:p>
    <w:p>
      <w:pPr/>
      <w:r>
        <w:t>This volume completes the first certificate manual by moving from knowledge into disciplined operational practice. Learners should finish these chapters understanding that excellent patient-facing care in hair restoration depends on more than empathy or enthusiasm. It depends on evidence quality, workflow clarity, communication maturity, and timely escalation.</w:t>
      </w:r>
    </w:p>
    <w:p>
      <w:pPr/>
      <w:r>
        <w:t>Weeks 9–12 also provide the bridge between academy learning and measurable clinic standards. Better documentation, stronger pre-op support, safer follow-up, and a quality-improvement mindset all contribute directly to better patient experience and a more credible clinical culture.</w:t>
      </w:r>
    </w:p>
    <w:p>
      <w:pPr>
        <w:pStyle w:val="Heading2"/>
      </w:pPr>
      <w:r>
        <w:t>Recommended supporting resources for the LMS</w:t>
      </w:r>
    </w:p>
    <w:tbl>
      <w:tblPr>
        <w:tblW w:type="auto" w:w="0"/>
        <w:jc w:val="center"/>
        <w:tblLayout w:type="fixed"/>
        <w:tblLook w:firstColumn="1" w:firstRow="1" w:lastColumn="0" w:lastRow="0" w:noHBand="0" w:noVBand="1" w:val="04A0"/>
      </w:tblPr>
      <w:tblGrid>
        <w:gridCol w:w="3456"/>
        <w:gridCol w:w="5760"/>
      </w:tblGrid>
      <w:tr>
        <w:tc>
          <w:tcPr>
            <w:tcW w:type="dxa" w:w="4968"/>
            <w:shd w:fill="EAF4F4"/>
            <w:tcMar>
              <w:top w:w="90" w:type="dxa"/>
              <w:start w:w="110" w:type="dxa"/>
              <w:bottom w:w="90" w:type="dxa"/>
              <w:end w:w="110" w:type="dxa"/>
            </w:tcMar>
          </w:tcPr>
          <w:p>
            <w:pPr>
              <w:jc w:val="left"/>
            </w:pPr>
            <w:r>
              <w:rPr>
                <w:b/>
                <w:color w:val="1F3556"/>
              </w:rPr>
              <w:t>Resource type</w:t>
            </w:r>
          </w:p>
        </w:tc>
        <w:tc>
          <w:tcPr>
            <w:tcW w:type="dxa" w:w="4968"/>
            <w:shd w:fill="EAF4F4"/>
            <w:tcMar>
              <w:top w:w="90" w:type="dxa"/>
              <w:start w:w="110" w:type="dxa"/>
              <w:bottom w:w="90" w:type="dxa"/>
              <w:end w:w="110" w:type="dxa"/>
            </w:tcMar>
          </w:tcPr>
          <w:p>
            <w:pPr>
              <w:jc w:val="left"/>
            </w:pPr>
            <w:r>
              <w:rPr>
                <w:b/>
                <w:color w:val="1F3556"/>
              </w:rPr>
              <w:t>Suggested assets</w:t>
            </w:r>
          </w:p>
        </w:tc>
      </w:tr>
      <w:tr>
        <w:tc>
          <w:tcPr>
            <w:tcW w:type="dxa" w:w="3456"/>
            <w:tcMar>
              <w:top w:w="100" w:type="dxa"/>
              <w:start w:w="110" w:type="dxa"/>
              <w:bottom w:w="100" w:type="dxa"/>
              <w:end w:w="110" w:type="dxa"/>
            </w:tcMar>
            <w:vAlign w:val="center"/>
          </w:tcPr>
          <w:p>
            <w:pPr>
              <w:jc w:val="left"/>
            </w:pPr>
            <w:r>
              <w:rPr>
                <w:sz w:val="19"/>
              </w:rPr>
              <w:t>Photography &amp; documentation tools</w:t>
            </w:r>
          </w:p>
        </w:tc>
        <w:tc>
          <w:tcPr>
            <w:tcW w:type="dxa" w:w="5760"/>
            <w:tcMar>
              <w:top w:w="100" w:type="dxa"/>
              <w:start w:w="110" w:type="dxa"/>
              <w:bottom w:w="100" w:type="dxa"/>
              <w:end w:w="110" w:type="dxa"/>
            </w:tcMar>
            <w:vAlign w:val="center"/>
          </w:tcPr>
          <w:p>
            <w:pPr>
              <w:jc w:val="left"/>
            </w:pPr>
            <w:r>
              <w:rPr>
                <w:sz w:val="19"/>
              </w:rPr>
              <w:t>Standard photo checklist, image angle guide, doctor handover template, objective note-writing template.</w:t>
            </w:r>
          </w:p>
        </w:tc>
      </w:tr>
      <w:tr>
        <w:tc>
          <w:tcPr>
            <w:tcW w:type="dxa" w:w="3456"/>
            <w:tcMar>
              <w:top w:w="100" w:type="dxa"/>
              <w:start w:w="110" w:type="dxa"/>
              <w:bottom w:w="100" w:type="dxa"/>
              <w:end w:w="110" w:type="dxa"/>
            </w:tcMar>
            <w:vAlign w:val="center"/>
          </w:tcPr>
          <w:p>
            <w:pPr>
              <w:jc w:val="left"/>
            </w:pPr>
            <w:r>
              <w:rPr>
                <w:sz w:val="19"/>
              </w:rPr>
              <w:t>Pre-operative coordination tools</w:t>
            </w:r>
          </w:p>
        </w:tc>
        <w:tc>
          <w:tcPr>
            <w:tcW w:type="dxa" w:w="5760"/>
            <w:tcMar>
              <w:top w:w="100" w:type="dxa"/>
              <w:start w:w="110" w:type="dxa"/>
              <w:bottom w:w="100" w:type="dxa"/>
              <w:end w:w="110" w:type="dxa"/>
            </w:tcMar>
            <w:vAlign w:val="center"/>
          </w:tcPr>
          <w:p>
            <w:pPr>
              <w:jc w:val="left"/>
            </w:pPr>
            <w:r>
              <w:rPr>
                <w:sz w:val="19"/>
              </w:rPr>
              <w:t>Readiness checklist, reminder cadence map, common pre-op Q&amp;A sheet, issue-escalation prompt list.</w:t>
            </w:r>
          </w:p>
        </w:tc>
      </w:tr>
      <w:tr>
        <w:tc>
          <w:tcPr>
            <w:tcW w:type="dxa" w:w="3456"/>
            <w:tcMar>
              <w:top w:w="100" w:type="dxa"/>
              <w:start w:w="110" w:type="dxa"/>
              <w:bottom w:w="100" w:type="dxa"/>
              <w:end w:w="110" w:type="dxa"/>
            </w:tcMar>
            <w:vAlign w:val="center"/>
          </w:tcPr>
          <w:p>
            <w:pPr>
              <w:jc w:val="left"/>
            </w:pPr>
            <w:r>
              <w:rPr>
                <w:sz w:val="19"/>
              </w:rPr>
              <w:t>Follow-up and escalation tools</w:t>
            </w:r>
          </w:p>
        </w:tc>
        <w:tc>
          <w:tcPr>
            <w:tcW w:type="dxa" w:w="5760"/>
            <w:tcMar>
              <w:top w:w="100" w:type="dxa"/>
              <w:start w:w="110" w:type="dxa"/>
              <w:bottom w:w="100" w:type="dxa"/>
              <w:end w:w="110" w:type="dxa"/>
            </w:tcMar>
            <w:vAlign w:val="center"/>
          </w:tcPr>
          <w:p>
            <w:pPr>
              <w:jc w:val="left"/>
            </w:pPr>
            <w:r>
              <w:rPr>
                <w:sz w:val="19"/>
              </w:rPr>
              <w:t>Routine recovery guide, patient message response framework, dissatisfaction handling prompt sheet, escalation triggers chart.</w:t>
            </w:r>
          </w:p>
        </w:tc>
      </w:tr>
      <w:tr>
        <w:tc>
          <w:tcPr>
            <w:tcW w:type="dxa" w:w="3456"/>
            <w:tcMar>
              <w:top w:w="100" w:type="dxa"/>
              <w:start w:w="110" w:type="dxa"/>
              <w:bottom w:w="100" w:type="dxa"/>
              <w:end w:w="110" w:type="dxa"/>
            </w:tcMar>
            <w:vAlign w:val="center"/>
          </w:tcPr>
          <w:p>
            <w:pPr>
              <w:jc w:val="left"/>
            </w:pPr>
            <w:r>
              <w:rPr>
                <w:sz w:val="19"/>
              </w:rPr>
              <w:t>Quality assurance tools</w:t>
            </w:r>
          </w:p>
        </w:tc>
        <w:tc>
          <w:tcPr>
            <w:tcW w:type="dxa" w:w="5760"/>
            <w:tcMar>
              <w:top w:w="100" w:type="dxa"/>
              <w:start w:w="110" w:type="dxa"/>
              <w:bottom w:w="100" w:type="dxa"/>
              <w:end w:w="110" w:type="dxa"/>
            </w:tcMar>
            <w:vAlign w:val="center"/>
          </w:tcPr>
          <w:p>
            <w:pPr>
              <w:jc w:val="left"/>
            </w:pPr>
            <w:r>
              <w:rPr>
                <w:sz w:val="19"/>
              </w:rPr>
              <w:t>Consultation audit checklist, documentation quality rubric, communication quality examples, capstone assessment rubric.</w:t>
            </w:r>
          </w:p>
        </w:tc>
      </w:tr>
    </w:tbl>
    <w:p>
      <w:pPr>
        <w:pStyle w:val="SmallMuted"/>
        <w:jc w:val="center"/>
      </w:pPr>
      <w:r>
        <w:t>End of Volume 3</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069"/>
        <w:sz w:val="17"/>
      </w:rPr>
      <w:t>Teaching Manual — Volume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86069"/>
        <w:sz w:val="17"/>
      </w:rPr>
      <w:t>IIOHR Consultant &amp; Nurse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3030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355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717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B086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w:hAnsi="Aptos"/>
      <w:b/>
      <w:color w:val="1F35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Kicker"/>
    <w:basedOn w:val="Normal"/>
    <w:rPr>
      <w:rFonts w:ascii="Aptos" w:hAnsi="Aptos"/>
      <w:b/>
      <w:i w:val="0"/>
      <w:color w:val="B0862A"/>
      <w:sz w:val="19"/>
    </w:rPr>
  </w:style>
  <w:style w:type="paragraph" w:customStyle="1" w:styleId="CoverSub">
    <w:name w:val="CoverSub"/>
    <w:basedOn w:val="Normal"/>
    <w:rPr>
      <w:rFonts w:ascii="Aptos" w:hAnsi="Aptos"/>
      <w:b w:val="0"/>
      <w:i w:val="0"/>
      <w:color w:val="586069"/>
      <w:sz w:val="23"/>
    </w:rPr>
  </w:style>
  <w:style w:type="paragraph" w:customStyle="1" w:styleId="ModuleLabel">
    <w:name w:val="ModuleLabel"/>
    <w:basedOn w:val="Normal"/>
    <w:rPr>
      <w:rFonts w:ascii="Aptos" w:hAnsi="Aptos"/>
      <w:b/>
      <w:i w:val="0"/>
      <w:color w:val="B0862A"/>
      <w:sz w:val="20"/>
    </w:rPr>
  </w:style>
  <w:style w:type="paragraph" w:customStyle="1" w:styleId="Callout">
    <w:name w:val="Callout"/>
    <w:basedOn w:val="Normal"/>
    <w:rPr>
      <w:rFonts w:ascii="Aptos" w:hAnsi="Aptos"/>
      <w:b w:val="0"/>
      <w:i w:val="0"/>
      <w:color w:val="303030"/>
      <w:sz w:val="20"/>
    </w:rPr>
  </w:style>
  <w:style w:type="paragraph" w:customStyle="1" w:styleId="SmallMuted">
    <w:name w:val="SmallMuted"/>
    <w:basedOn w:val="Normal"/>
    <w:rPr>
      <w:rFonts w:ascii="Aptos" w:hAnsi="Aptos"/>
      <w:b w:val="0"/>
      <w:i w:val="0"/>
      <w:color w:val="5860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