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690D" w14:textId="77777777" w:rsidR="00F23E2F" w:rsidRPr="00F23E2F" w:rsidRDefault="00F23E2F" w:rsidP="00F23E2F">
      <w:pPr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Architecture de la partie Machine Learning — Agent IA de Maintenance Prédictive</w:t>
      </w:r>
    </w:p>
    <w:p w14:paraId="0D84C834" w14:textId="77777777" w:rsidR="00F23E2F" w:rsidRPr="00F23E2F" w:rsidRDefault="00F23E2F" w:rsidP="00F23E2F">
      <w:pPr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1. Pipeline ML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2591"/>
        <w:gridCol w:w="3415"/>
        <w:gridCol w:w="2894"/>
      </w:tblGrid>
      <w:tr w:rsidR="00F23E2F" w:rsidRPr="00F23E2F" w14:paraId="263512F7" w14:textId="77777777" w:rsidTr="0088100D">
        <w:tc>
          <w:tcPr>
            <w:tcW w:w="0" w:type="auto"/>
            <w:hideMark/>
          </w:tcPr>
          <w:p w14:paraId="3A013A5F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#</w:t>
            </w:r>
          </w:p>
        </w:tc>
        <w:tc>
          <w:tcPr>
            <w:tcW w:w="0" w:type="auto"/>
            <w:hideMark/>
          </w:tcPr>
          <w:p w14:paraId="5C29334A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Étape</w:t>
            </w:r>
          </w:p>
        </w:tc>
        <w:tc>
          <w:tcPr>
            <w:tcW w:w="0" w:type="auto"/>
            <w:hideMark/>
          </w:tcPr>
          <w:p w14:paraId="33A1837D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Ce qu'on y fait</w:t>
            </w:r>
          </w:p>
        </w:tc>
        <w:tc>
          <w:tcPr>
            <w:tcW w:w="0" w:type="auto"/>
            <w:hideMark/>
          </w:tcPr>
          <w:p w14:paraId="563E1193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Sigles/notions clés</w:t>
            </w:r>
          </w:p>
        </w:tc>
      </w:tr>
      <w:tr w:rsidR="00F23E2F" w:rsidRPr="00F23E2F" w14:paraId="70410374" w14:textId="77777777" w:rsidTr="0088100D">
        <w:tc>
          <w:tcPr>
            <w:tcW w:w="0" w:type="auto"/>
            <w:hideMark/>
          </w:tcPr>
          <w:p w14:paraId="5D254A0C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1</w:t>
            </w:r>
          </w:p>
        </w:tc>
        <w:tc>
          <w:tcPr>
            <w:tcW w:w="0" w:type="auto"/>
            <w:hideMark/>
          </w:tcPr>
          <w:p w14:paraId="7A9690A9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Ingestion &amp; audit des données</w:t>
            </w:r>
          </w:p>
        </w:tc>
        <w:tc>
          <w:tcPr>
            <w:tcW w:w="0" w:type="auto"/>
            <w:hideMark/>
          </w:tcPr>
          <w:p w14:paraId="7D38AF95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Charger le CSV, vérifier types, doublons, valeurs manquantes</w:t>
            </w:r>
          </w:p>
        </w:tc>
        <w:tc>
          <w:tcPr>
            <w:tcW w:w="0" w:type="auto"/>
            <w:hideMark/>
          </w:tcPr>
          <w:p w14:paraId="02B4E1A4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UDI (Unique Data Identifier)</w:t>
            </w:r>
          </w:p>
        </w:tc>
      </w:tr>
      <w:tr w:rsidR="00F23E2F" w:rsidRPr="00F23E2F" w14:paraId="0CA9652B" w14:textId="77777777" w:rsidTr="0088100D">
        <w:tc>
          <w:tcPr>
            <w:tcW w:w="0" w:type="auto"/>
            <w:hideMark/>
          </w:tcPr>
          <w:p w14:paraId="092E5FCC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2</w:t>
            </w:r>
          </w:p>
        </w:tc>
        <w:tc>
          <w:tcPr>
            <w:tcW w:w="0" w:type="auto"/>
            <w:hideMark/>
          </w:tcPr>
          <w:p w14:paraId="531DD9D1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Analyse statistique exploratoire (EDA)</w:t>
            </w:r>
          </w:p>
        </w:tc>
        <w:tc>
          <w:tcPr>
            <w:tcW w:w="0" w:type="auto"/>
            <w:hideMark/>
          </w:tcPr>
          <w:p w14:paraId="3B3A166B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Distribution des variables, corrélations, détection d'anomalies/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outliers</w:t>
            </w:r>
            <w:proofErr w:type="spellEnd"/>
          </w:p>
        </w:tc>
        <w:tc>
          <w:tcPr>
            <w:tcW w:w="0" w:type="auto"/>
            <w:hideMark/>
          </w:tcPr>
          <w:p w14:paraId="3E7AEB80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IQR,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skewness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, matrice de corrélation</w:t>
            </w:r>
          </w:p>
        </w:tc>
      </w:tr>
      <w:tr w:rsidR="00F23E2F" w:rsidRPr="00F23E2F" w14:paraId="1EA0F043" w14:textId="77777777" w:rsidTr="0088100D">
        <w:tc>
          <w:tcPr>
            <w:tcW w:w="0" w:type="auto"/>
            <w:hideMark/>
          </w:tcPr>
          <w:p w14:paraId="599AEA07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3</w:t>
            </w:r>
          </w:p>
        </w:tc>
        <w:tc>
          <w:tcPr>
            <w:tcW w:w="0" w:type="auto"/>
            <w:hideMark/>
          </w:tcPr>
          <w:p w14:paraId="2710EC5B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Analyse du déséquilibre de classes</w:t>
            </w:r>
          </w:p>
        </w:tc>
        <w:tc>
          <w:tcPr>
            <w:tcW w:w="0" w:type="auto"/>
            <w:hideMark/>
          </w:tcPr>
          <w:p w14:paraId="4F48226B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Comprendre la rareté des pannes, ses conséquences sur la modélisation</w:t>
            </w:r>
          </w:p>
        </w:tc>
        <w:tc>
          <w:tcPr>
            <w:tcW w:w="0" w:type="auto"/>
            <w:hideMark/>
          </w:tcPr>
          <w:p w14:paraId="1D5D4807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Classe minoritaire,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imbalanced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learning</w:t>
            </w:r>
            <w:proofErr w:type="spellEnd"/>
          </w:p>
        </w:tc>
      </w:tr>
      <w:tr w:rsidR="00F23E2F" w:rsidRPr="00F23E2F" w14:paraId="770D2D57" w14:textId="77777777" w:rsidTr="0088100D">
        <w:tc>
          <w:tcPr>
            <w:tcW w:w="0" w:type="auto"/>
            <w:hideMark/>
          </w:tcPr>
          <w:p w14:paraId="1F2E0B44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4</w:t>
            </w:r>
          </w:p>
        </w:tc>
        <w:tc>
          <w:tcPr>
            <w:tcW w:w="0" w:type="auto"/>
            <w:hideMark/>
          </w:tcPr>
          <w:p w14:paraId="4472E9C6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Feature</w:t>
            </w:r>
            <w:proofErr w:type="spellEnd"/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 xml:space="preserve"> engineering</w:t>
            </w:r>
          </w:p>
        </w:tc>
        <w:tc>
          <w:tcPr>
            <w:tcW w:w="0" w:type="auto"/>
            <w:hideMark/>
          </w:tcPr>
          <w:p w14:paraId="077F2202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Encodage, variables dérivées physiques</w:t>
            </w:r>
          </w:p>
        </w:tc>
        <w:tc>
          <w:tcPr>
            <w:tcW w:w="0" w:type="auto"/>
            <w:hideMark/>
          </w:tcPr>
          <w:p w14:paraId="3348485F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Data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leakage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, encodage ordinal/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one-hot</w:t>
            </w:r>
            <w:proofErr w:type="spellEnd"/>
          </w:p>
        </w:tc>
      </w:tr>
      <w:tr w:rsidR="00F23E2F" w:rsidRPr="00F23E2F" w14:paraId="5A33C2C4" w14:textId="77777777" w:rsidTr="0088100D">
        <w:tc>
          <w:tcPr>
            <w:tcW w:w="0" w:type="auto"/>
            <w:hideMark/>
          </w:tcPr>
          <w:p w14:paraId="4F9151B9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5</w:t>
            </w:r>
          </w:p>
        </w:tc>
        <w:tc>
          <w:tcPr>
            <w:tcW w:w="0" w:type="auto"/>
            <w:hideMark/>
          </w:tcPr>
          <w:p w14:paraId="14F90E6F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Split train/test</w:t>
            </w:r>
          </w:p>
        </w:tc>
        <w:tc>
          <w:tcPr>
            <w:tcW w:w="0" w:type="auto"/>
            <w:hideMark/>
          </w:tcPr>
          <w:p w14:paraId="31AB8534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Séparer proprement pour évaluer sans triche</w:t>
            </w:r>
          </w:p>
        </w:tc>
        <w:tc>
          <w:tcPr>
            <w:tcW w:w="0" w:type="auto"/>
            <w:hideMark/>
          </w:tcPr>
          <w:p w14:paraId="1C21DD4E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Stratified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 split</w:t>
            </w:r>
          </w:p>
        </w:tc>
      </w:tr>
      <w:tr w:rsidR="00F23E2F" w:rsidRPr="00F23E2F" w14:paraId="74864527" w14:textId="77777777" w:rsidTr="0088100D">
        <w:tc>
          <w:tcPr>
            <w:tcW w:w="0" w:type="auto"/>
            <w:hideMark/>
          </w:tcPr>
          <w:p w14:paraId="0EC3B358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6</w:t>
            </w:r>
          </w:p>
        </w:tc>
        <w:tc>
          <w:tcPr>
            <w:tcW w:w="0" w:type="auto"/>
            <w:hideMark/>
          </w:tcPr>
          <w:p w14:paraId="04C3FE28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Choix &amp; entraînement du(des) modèle(s)</w:t>
            </w:r>
          </w:p>
        </w:tc>
        <w:tc>
          <w:tcPr>
            <w:tcW w:w="0" w:type="auto"/>
            <w:hideMark/>
          </w:tcPr>
          <w:p w14:paraId="6DF9E712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Baseline puis modèle avancé</w:t>
            </w:r>
          </w:p>
        </w:tc>
        <w:tc>
          <w:tcPr>
            <w:tcW w:w="0" w:type="auto"/>
            <w:hideMark/>
          </w:tcPr>
          <w:p w14:paraId="272293A1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Régression Logistique, Random Forest, Gradient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Boosting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 (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XGBoost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)</w:t>
            </w:r>
          </w:p>
        </w:tc>
      </w:tr>
      <w:tr w:rsidR="00F23E2F" w:rsidRPr="00F23E2F" w14:paraId="18BC1B5B" w14:textId="77777777" w:rsidTr="0088100D">
        <w:tc>
          <w:tcPr>
            <w:tcW w:w="0" w:type="auto"/>
            <w:hideMark/>
          </w:tcPr>
          <w:p w14:paraId="5E17D5D0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7</w:t>
            </w:r>
          </w:p>
        </w:tc>
        <w:tc>
          <w:tcPr>
            <w:tcW w:w="0" w:type="auto"/>
            <w:hideMark/>
          </w:tcPr>
          <w:p w14:paraId="53727516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Gestion du déséquilibre au niveau modèle</w:t>
            </w:r>
          </w:p>
        </w:tc>
        <w:tc>
          <w:tcPr>
            <w:tcW w:w="0" w:type="auto"/>
            <w:hideMark/>
          </w:tcPr>
          <w:p w14:paraId="6902B5BD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Pondération ou rééchantillonnage</w:t>
            </w:r>
          </w:p>
        </w:tc>
        <w:tc>
          <w:tcPr>
            <w:tcW w:w="0" w:type="auto"/>
            <w:hideMark/>
          </w:tcPr>
          <w:p w14:paraId="28031151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proofErr w:type="gram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class</w:t>
            </w:r>
            <w:proofErr w:type="gram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_weight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, SMOTE</w:t>
            </w:r>
          </w:p>
        </w:tc>
      </w:tr>
      <w:tr w:rsidR="00F23E2F" w:rsidRPr="00F23E2F" w14:paraId="29530394" w14:textId="77777777" w:rsidTr="0088100D">
        <w:tc>
          <w:tcPr>
            <w:tcW w:w="0" w:type="auto"/>
            <w:hideMark/>
          </w:tcPr>
          <w:p w14:paraId="03723E1D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8</w:t>
            </w:r>
          </w:p>
        </w:tc>
        <w:tc>
          <w:tcPr>
            <w:tcW w:w="0" w:type="auto"/>
            <w:hideMark/>
          </w:tcPr>
          <w:p w14:paraId="50C5A006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Évaluation rigoureuse</w:t>
            </w:r>
          </w:p>
        </w:tc>
        <w:tc>
          <w:tcPr>
            <w:tcW w:w="0" w:type="auto"/>
            <w:hideMark/>
          </w:tcPr>
          <w:p w14:paraId="4898D694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Métriques adaptées à un problème rare</w:t>
            </w:r>
          </w:p>
        </w:tc>
        <w:tc>
          <w:tcPr>
            <w:tcW w:w="0" w:type="auto"/>
            <w:hideMark/>
          </w:tcPr>
          <w:p w14:paraId="2A6CC1C9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Precision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, </w:t>
            </w: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Recall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, F1, ROC-AUC, PR-AUC, matrice de confusion</w:t>
            </w:r>
          </w:p>
        </w:tc>
      </w:tr>
      <w:tr w:rsidR="00F23E2F" w:rsidRPr="00F23E2F" w14:paraId="47AB6665" w14:textId="77777777" w:rsidTr="0088100D">
        <w:tc>
          <w:tcPr>
            <w:tcW w:w="0" w:type="auto"/>
            <w:hideMark/>
          </w:tcPr>
          <w:p w14:paraId="70BD0A26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9</w:t>
            </w:r>
          </w:p>
        </w:tc>
        <w:tc>
          <w:tcPr>
            <w:tcW w:w="0" w:type="auto"/>
            <w:hideMark/>
          </w:tcPr>
          <w:p w14:paraId="1F3B354A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Interprétabilité</w:t>
            </w:r>
          </w:p>
        </w:tc>
        <w:tc>
          <w:tcPr>
            <w:tcW w:w="0" w:type="auto"/>
            <w:hideMark/>
          </w:tcPr>
          <w:p w14:paraId="3D78177F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Comprendre </w:t>
            </w:r>
            <w:r w:rsidRPr="00F23E2F">
              <w:rPr>
                <w:rFonts w:ascii="Times New Roman" w:hAnsi="Times New Roman" w:cs="Times New Roman"/>
                <w:i/>
                <w:iCs/>
                <w:sz w:val="28"/>
                <w:szCs w:val="28"/>
                <w:lang w:val="fr-BJ"/>
              </w:rPr>
              <w:t>pourquoi</w:t>
            </w: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 le modèle décide</w:t>
            </w:r>
          </w:p>
        </w:tc>
        <w:tc>
          <w:tcPr>
            <w:tcW w:w="0" w:type="auto"/>
            <w:hideMark/>
          </w:tcPr>
          <w:p w14:paraId="432A4525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Feature</w:t>
            </w:r>
            <w:proofErr w:type="spell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 xml:space="preserve"> importance, SHAP (optionnel)</w:t>
            </w:r>
          </w:p>
        </w:tc>
      </w:tr>
      <w:tr w:rsidR="00F23E2F" w:rsidRPr="00F23E2F" w14:paraId="5A35ED7F" w14:textId="77777777" w:rsidTr="0088100D">
        <w:tc>
          <w:tcPr>
            <w:tcW w:w="0" w:type="auto"/>
            <w:hideMark/>
          </w:tcPr>
          <w:p w14:paraId="15841540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10</w:t>
            </w:r>
          </w:p>
        </w:tc>
        <w:tc>
          <w:tcPr>
            <w:tcW w:w="0" w:type="auto"/>
            <w:hideMark/>
          </w:tcPr>
          <w:p w14:paraId="072FE297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BJ"/>
              </w:rPr>
              <w:t>Sérialisation &amp; export</w:t>
            </w:r>
          </w:p>
        </w:tc>
        <w:tc>
          <w:tcPr>
            <w:tcW w:w="0" w:type="auto"/>
            <w:hideMark/>
          </w:tcPr>
          <w:p w14:paraId="53146005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Sauver le modèle pour l'API</w:t>
            </w:r>
          </w:p>
        </w:tc>
        <w:tc>
          <w:tcPr>
            <w:tcW w:w="0" w:type="auto"/>
            <w:hideMark/>
          </w:tcPr>
          <w:p w14:paraId="4FB47D40" w14:textId="77777777" w:rsidR="00F23E2F" w:rsidRPr="00F23E2F" w:rsidRDefault="00F23E2F" w:rsidP="00F23E2F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fr-BJ"/>
              </w:rPr>
            </w:pPr>
            <w:proofErr w:type="spellStart"/>
            <w:proofErr w:type="gramStart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joblib</w:t>
            </w:r>
            <w:proofErr w:type="spellEnd"/>
            <w:proofErr w:type="gramEnd"/>
            <w:r w:rsidRPr="00F23E2F">
              <w:rPr>
                <w:rFonts w:ascii="Times New Roman" w:hAnsi="Times New Roman" w:cs="Times New Roman"/>
                <w:sz w:val="28"/>
                <w:szCs w:val="28"/>
                <w:lang w:val="fr-BJ"/>
              </w:rPr>
              <w:t>/pickle, versioning</w:t>
            </w:r>
          </w:p>
        </w:tc>
      </w:tr>
    </w:tbl>
    <w:p w14:paraId="61E4F488" w14:textId="77777777" w:rsidR="00F23E2F" w:rsidRPr="00F23E2F" w:rsidRDefault="00F23E2F" w:rsidP="00F23E2F">
      <w:pPr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lastRenderedPageBreak/>
        <w:t>2. Explications détaillées de chaque étape</w:t>
      </w:r>
    </w:p>
    <w:p w14:paraId="2785E59E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1 — Ingestion &amp; audit des données</w:t>
      </w:r>
    </w:p>
    <w:p w14:paraId="56C69A91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>On charge le fichier ai4i2020.csv et on vérifie systématiquement, avant toute modélisation : la présence de valeurs manquantes, de doublons, la cohérence des types de colonnes, et le sens de chaque variable. Un modèle n'est jamais meilleur que les données sur lesquelles il s'entraîne — cette étape évite de bâtir sur des fondations bancales. UDI est un identifiant unique de ligne, sans valeur prédictive.</w:t>
      </w:r>
    </w:p>
    <w:p w14:paraId="1C24810C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2 — Analyse statistique exploratoire (EDA)</w:t>
      </w:r>
    </w:p>
    <w:p w14:paraId="3F777111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calcule les statistiques descriptives (moyenne, écart-type, quartiles), la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skewness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(asymétrie de la distribution) et le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kurtosis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(poids des valeurs extrêmes), puis on détecte les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outliers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via la méthode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IQR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(Interquartile Range : Q1 - 1.5×IQR à Q3 + 1.5×IQR). On croise systématiquement chaque anomalie avec le taux de panne réel avant de décider de la garder ou de la retirer — en maintenance prédictive, un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outlier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est souvent un signal précurseur, pas une erreur de mesure.</w:t>
      </w:r>
    </w:p>
    <w:p w14:paraId="64396C7F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3 — Analyse du déséquilibre de classes</w:t>
      </w:r>
    </w:p>
    <w:p w14:paraId="0A041D61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mesure la proportion de pannes réelles (ici 3,39 %). Ce déséquilibre conditionne tout le reste : une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accuracy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élevée peut être trompeuse (un modèle </w:t>
      </w:r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qui prédit toujours "pas</w:t>
      </w:r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de panne" aurait ~96,6 % d'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accuracy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sans être utile). On identifie ce problème tôt pour choisir les bonnes métriques et les bonnes techniques de correction plus loin.</w:t>
      </w:r>
    </w:p>
    <w:p w14:paraId="5AE7D287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 xml:space="preserve">Étape 4 —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Feature</w:t>
      </w:r>
      <w:proofErr w:type="spellEnd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 xml:space="preserve"> engineering</w:t>
      </w:r>
    </w:p>
    <w:p w14:paraId="0A84590B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encode les variables catégorielles (Type : L/M/H) et on construit des variables dérivées à partir de la physique du procédé (écart de température, puissance, contrainte mécanique). On exclut explicitement les colonnes TWF, HDF, PWF, OSF, RNF du jeu de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features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: ce sont les sous-causes qui </w:t>
      </w:r>
      <w:r w:rsidRPr="00F23E2F">
        <w:rPr>
          <w:rFonts w:ascii="Times New Roman" w:hAnsi="Times New Roman" w:cs="Times New Roman"/>
          <w:i/>
          <w:iCs/>
          <w:sz w:val="28"/>
          <w:szCs w:val="28"/>
          <w:lang w:val="fr-BJ"/>
        </w:rPr>
        <w:t>composent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la cible Machine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failure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(data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leakage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), les utiliser donnerait un modèle artificiellement parfait mais inutilisable en conditions réelles.</w:t>
      </w:r>
    </w:p>
    <w:p w14:paraId="12589FDD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5 — Split train/test</w:t>
      </w:r>
    </w:p>
    <w:p w14:paraId="6CF9A2D8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sépare les données en un ensemble d'entraînement et un ensemble de test, en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stratifiant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sur la cible (Machine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failure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) pour garantir que la faible proportion de pannes (3,39 %) est respectée dans les deux sous-ensembles. Sans stratification, un split aléatoire pourrait par malchance placer très peu de pannes dans le test, rendant l'évaluation instable.</w:t>
      </w:r>
    </w:p>
    <w:p w14:paraId="3FE93633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lastRenderedPageBreak/>
        <w:t>Étape 6 — Choix &amp; entraînement du(des) modèle(s)</w:t>
      </w:r>
    </w:p>
    <w:p w14:paraId="70D11492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commence par une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baseline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simple (Régression Logistique) pour avoir un point de comparaison, puis on entraîne un modèle plus puissant capable de capturer les interactions non-linéaires entre variables (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Random Forest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ou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 xml:space="preserve">Gradient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Boosting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). Le choix est justifié par l'EDA : les corrélations individuelles sont faibles, la panne résulte de combinaisons de facteurs.</w:t>
      </w:r>
    </w:p>
    <w:p w14:paraId="200F2146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7 — Gestion du déséquilibre au niveau modèle</w:t>
      </w:r>
    </w:p>
    <w:p w14:paraId="7F7C3432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Deux approches complémentaires :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class_weight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='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balanced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' (le modèle pénalise davantage les erreurs sur la classe minoritaire pendant l'entraînement) et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SMOTE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Synthetic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Minority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Oversampling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Technique — génère des exemples synthétiques de la classe minoritaire). On testera les deux pour comparer.</w:t>
      </w:r>
    </w:p>
    <w:p w14:paraId="5AEB6417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8 — Évaluation rigoureuse</w:t>
      </w:r>
    </w:p>
    <w:p w14:paraId="136B9F00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On évalue avec des métriques adaptées à un problème déséquilibré plutôt que la seule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accuracy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: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Precision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(parmi les alertes de panne, combien sont réelles), </w:t>
      </w:r>
      <w:proofErr w:type="spellStart"/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Recall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(parmi les vraies pannes, combien sont détectées — le plus critique ici),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F1-score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(équilibre des deux),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matrice de confusion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,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ROC-AUC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et </w:t>
      </w: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PR-AUC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(plus informative que ROC-AUC sur données très déséquilibrées).</w:t>
      </w:r>
    </w:p>
    <w:p w14:paraId="22BF71E8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9 — Interprétabilité</w:t>
      </w:r>
    </w:p>
    <w:p w14:paraId="25819FE2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>On extrait l'importance de chaque variable dans la décision du modèle (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feature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importance native des modèles d'arbres, éventuellement SHAP pour une explication plus fine par prédiction individuelle). Essentiel dans un contexte industriel : un technicien doit comprendre </w:t>
      </w:r>
      <w:r w:rsidRPr="00F23E2F">
        <w:rPr>
          <w:rFonts w:ascii="Times New Roman" w:hAnsi="Times New Roman" w:cs="Times New Roman"/>
          <w:i/>
          <w:iCs/>
          <w:sz w:val="28"/>
          <w:szCs w:val="28"/>
          <w:lang w:val="fr-BJ"/>
        </w:rPr>
        <w:t>pourquoi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une alerte est déclenchée.</w:t>
      </w:r>
    </w:p>
    <w:p w14:paraId="78DF6954" w14:textId="77777777" w:rsidR="00F23E2F" w:rsidRPr="00F23E2F" w:rsidRDefault="00F23E2F" w:rsidP="00F23E2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Étape 10 — Sérialisation &amp; export</w:t>
      </w:r>
    </w:p>
    <w:p w14:paraId="2DD8BF9E" w14:textId="77777777" w:rsidR="00F23E2F" w:rsidRPr="00F23E2F" w:rsidRDefault="00F23E2F" w:rsidP="00F23E2F">
      <w:pPr>
        <w:jc w:val="both"/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Le modèle entraîné est sauvegardé au </w:t>
      </w:r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format .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joblib</w:t>
      </w:r>
      <w:proofErr w:type="spellEnd"/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avec le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scaler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et l'encodeur associés, prêt à être chargé par le backend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FastAPI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(/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predict_failure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) sans avoir à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ré-entraîner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à chaque appel.</w:t>
      </w:r>
    </w:p>
    <w:p w14:paraId="6F3BCCDD" w14:textId="77777777" w:rsidR="00F23E2F" w:rsidRPr="00F23E2F" w:rsidRDefault="00F23E2F" w:rsidP="00F23E2F">
      <w:pPr>
        <w:rPr>
          <w:rFonts w:ascii="Times New Roman" w:hAnsi="Times New Roman" w:cs="Times New Roman"/>
          <w:b/>
          <w:bCs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3. Structure du projet — Partie Machine Learning</w:t>
      </w:r>
    </w:p>
    <w:p w14:paraId="642F2A87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maintenance</w:t>
      </w:r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>-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predictive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-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ia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</w:t>
      </w:r>
    </w:p>
    <w:p w14:paraId="007F5AC8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>└── ml/</w:t>
      </w:r>
    </w:p>
    <w:p w14:paraId="30CA670D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├── data/</w:t>
      </w:r>
    </w:p>
    <w:p w14:paraId="5FE020A2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raw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</w:t>
      </w:r>
    </w:p>
    <w:p w14:paraId="3450D410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lastRenderedPageBreak/>
        <w:t xml:space="preserve">    │   │   └── ai4i2020.csv               #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Dataset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brut, jamais modifié</w:t>
      </w:r>
    </w:p>
    <w:p w14:paraId="1BE42682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└──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processed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</w:t>
      </w:r>
    </w:p>
    <w:p w14:paraId="1AA601A6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    └── ai4i2020_featured.csv      #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Dataset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après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feature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engineering</w:t>
      </w:r>
    </w:p>
    <w:p w14:paraId="6D9A0E86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</w:t>
      </w:r>
    </w:p>
    <w:p w14:paraId="4A2C26FC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├── src/</w:t>
      </w:r>
    </w:p>
    <w:p w14:paraId="1AE07893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data_audit.py                  # Étapes 1-2 : audit + EDA statistique</w:t>
      </w:r>
    </w:p>
    <w:p w14:paraId="307E6FE0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visualize_eda.py               # Étape 2 (suite) : visualisations</w:t>
      </w:r>
    </w:p>
    <w:p w14:paraId="7D96C15C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feature_engineering.py         # Étape 4 : encodage +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features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dérivées</w:t>
      </w:r>
    </w:p>
    <w:p w14:paraId="1B84D039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train_model.py                 # Étapes 5-7 : split, entraînement,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class_weight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/SMOTE</w:t>
      </w:r>
    </w:p>
    <w:p w14:paraId="5134E077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evaluate_model.py              # Étape 8 : métriques + matrice de confusion</w:t>
      </w:r>
    </w:p>
    <w:p w14:paraId="74941330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interpret_model.py             # Étape 9 :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feature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importance</w:t>
      </w:r>
    </w:p>
    <w:p w14:paraId="6FB11018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└── predict.py                     # Fonction de prédiction réutilisée par l'API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FastAPI</w:t>
      </w:r>
      <w:proofErr w:type="spellEnd"/>
    </w:p>
    <w:p w14:paraId="76C36C11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</w:t>
      </w:r>
    </w:p>
    <w:p w14:paraId="4215B20D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├──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models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</w:t>
      </w:r>
    </w:p>
    <w:p w14:paraId="555C6986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├──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failure_</w:t>
      </w:r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predictor.joblib</w:t>
      </w:r>
      <w:proofErr w:type="spellEnd"/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   # Modèle entraîné (sérialisé)</w:t>
      </w:r>
    </w:p>
    <w:p w14:paraId="55491A7C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└── </w:t>
      </w:r>
      <w:proofErr w:type="spellStart"/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scaler.joblib</w:t>
      </w:r>
      <w:proofErr w:type="spellEnd"/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              #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Scaler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associé (si utilisé)</w:t>
      </w:r>
    </w:p>
    <w:p w14:paraId="7089FAF5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</w:t>
      </w:r>
    </w:p>
    <w:p w14:paraId="786D8921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├── notebooks/</w:t>
      </w:r>
    </w:p>
    <w:p w14:paraId="1D32A835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   └── </w:t>
      </w:r>
      <w:proofErr w:type="spellStart"/>
      <w:proofErr w:type="gramStart"/>
      <w:r w:rsidRPr="00F23E2F">
        <w:rPr>
          <w:rFonts w:ascii="Times New Roman" w:hAnsi="Times New Roman" w:cs="Times New Roman"/>
          <w:sz w:val="28"/>
          <w:szCs w:val="28"/>
          <w:lang w:val="fr-BJ"/>
        </w:rPr>
        <w:t>exploration.ipynb</w:t>
      </w:r>
      <w:proofErr w:type="spellEnd"/>
      <w:proofErr w:type="gram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          # Espace d'expérimentation libre (optionnel)</w:t>
      </w:r>
    </w:p>
    <w:p w14:paraId="3B6BBE6A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│</w:t>
      </w:r>
    </w:p>
    <w:p w14:paraId="2F74B516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   └── requirements.txt                   # pandas,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scikit-learn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imbalanced-learn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joblib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matplotlib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seaborn</w:t>
      </w:r>
      <w:proofErr w:type="spellEnd"/>
    </w:p>
    <w:p w14:paraId="2B53D8E5" w14:textId="77777777" w:rsidR="00F23E2F" w:rsidRPr="00F23E2F" w:rsidRDefault="00F23E2F" w:rsidP="00F23E2F">
      <w:pPr>
        <w:rPr>
          <w:rFonts w:ascii="Times New Roman" w:hAnsi="Times New Roman" w:cs="Times New Roman"/>
          <w:sz w:val="28"/>
          <w:szCs w:val="28"/>
          <w:lang w:val="fr-BJ"/>
        </w:rPr>
      </w:pPr>
      <w:r w:rsidRPr="00F23E2F">
        <w:rPr>
          <w:rFonts w:ascii="Times New Roman" w:hAnsi="Times New Roman" w:cs="Times New Roman"/>
          <w:b/>
          <w:bCs/>
          <w:sz w:val="28"/>
          <w:szCs w:val="28"/>
          <w:lang w:val="fr-BJ"/>
        </w:rPr>
        <w:t>Logique de la structure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: data/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raw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 xml:space="preserve"> n'est jamais écrasé (traçabilité), chaque script dans src/ correspond à une étape précise et unique du pipeline (un script = une </w:t>
      </w:r>
      <w:r w:rsidRPr="00F23E2F">
        <w:rPr>
          <w:rFonts w:ascii="Times New Roman" w:hAnsi="Times New Roman" w:cs="Times New Roman"/>
          <w:sz w:val="28"/>
          <w:szCs w:val="28"/>
          <w:lang w:val="fr-BJ"/>
        </w:rPr>
        <w:lastRenderedPageBreak/>
        <w:t xml:space="preserve">responsabilité), </w:t>
      </w:r>
      <w:proofErr w:type="spellStart"/>
      <w:r w:rsidRPr="00F23E2F">
        <w:rPr>
          <w:rFonts w:ascii="Times New Roman" w:hAnsi="Times New Roman" w:cs="Times New Roman"/>
          <w:sz w:val="28"/>
          <w:szCs w:val="28"/>
          <w:lang w:val="fr-BJ"/>
        </w:rPr>
        <w:t>models</w:t>
      </w:r>
      <w:proofErr w:type="spellEnd"/>
      <w:r w:rsidRPr="00F23E2F">
        <w:rPr>
          <w:rFonts w:ascii="Times New Roman" w:hAnsi="Times New Roman" w:cs="Times New Roman"/>
          <w:sz w:val="28"/>
          <w:szCs w:val="28"/>
          <w:lang w:val="fr-BJ"/>
        </w:rPr>
        <w:t>/ contient les artefacts finaux consommés par l'API, et notebooks/ reste un espace de brouillon séparé du code de production.</w:t>
      </w:r>
    </w:p>
    <w:p w14:paraId="0E5D05BA" w14:textId="77777777" w:rsidR="00425757" w:rsidRPr="00F23E2F" w:rsidRDefault="00425757">
      <w:pPr>
        <w:rPr>
          <w:rFonts w:ascii="Times New Roman" w:hAnsi="Times New Roman" w:cs="Times New Roman"/>
          <w:sz w:val="28"/>
          <w:szCs w:val="28"/>
          <w:lang w:val="fr-BJ"/>
        </w:rPr>
      </w:pPr>
    </w:p>
    <w:sectPr w:rsidR="00425757" w:rsidRPr="00F23E2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E2F"/>
    <w:rsid w:val="001718F1"/>
    <w:rsid w:val="00425757"/>
    <w:rsid w:val="00607F6F"/>
    <w:rsid w:val="0088100D"/>
    <w:rsid w:val="00EF3B0C"/>
    <w:rsid w:val="00F23E2F"/>
    <w:rsid w:val="00FB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8EEA1"/>
  <w15:chartTrackingRefBased/>
  <w15:docId w15:val="{FD1776EB-485A-42D8-BB61-61E1DC8A4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23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3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3E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3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3E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3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3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3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3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3E2F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23E2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F23E2F"/>
    <w:rPr>
      <w:rFonts w:eastAsiaTheme="majorEastAsia" w:cstheme="majorBidi"/>
      <w:color w:val="2E74B5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F23E2F"/>
    <w:rPr>
      <w:rFonts w:eastAsiaTheme="majorEastAsia" w:cstheme="majorBidi"/>
      <w:i/>
      <w:iCs/>
      <w:color w:val="2E74B5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F23E2F"/>
    <w:rPr>
      <w:rFonts w:eastAsiaTheme="majorEastAsia" w:cstheme="majorBidi"/>
      <w:color w:val="2E74B5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F23E2F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F23E2F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F23E2F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F23E2F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F23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3E2F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3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3E2F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F23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3E2F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F23E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3E2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3E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3E2F"/>
    <w:rPr>
      <w:i/>
      <w:iCs/>
      <w:color w:val="2E74B5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F23E2F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81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allodjijunior157@gmail.com</dc:creator>
  <cp:keywords/>
  <dc:description/>
  <cp:lastModifiedBy>allodjijunior157@gmail.com</cp:lastModifiedBy>
  <cp:revision>1</cp:revision>
  <dcterms:created xsi:type="dcterms:W3CDTF">2026-08-10T03:54:00Z</dcterms:created>
  <dcterms:modified xsi:type="dcterms:W3CDTF">2026-08-10T07:14:00Z</dcterms:modified>
</cp:coreProperties>
</file>