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Sakamuri, Rohit Michael</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falls inside a window 3.2e-04 wide. A gradient-boosted tree fitted to the very same arrays does not notice: its AUC moves by at most 0.0002 across all three normalisation settings, and it reports the task as almost perfectly separable while the network cannot separate it at all. So the usual instinct — check a simple baseline before blaming the data —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 pooling across timesteps is survivable, pooling across groups is not —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rather than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 TESS, for one, used a large dispersion campaign to drive its trajectory design </w:t>
      </w:r>
      <w:r>
        <w:rPr>
          <w:sz w:val="19"/>
        </w:rPr>
        <w:t>[1]</w:t>
      </w:r>
      <w:r>
        <w:rPr>
          <w:sz w:val="19"/>
        </w:rPr>
        <w:t xml:space="preserve"> — and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 invariance to how the features are scaled —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 it cannot reach a rare class that is recoverable from its own input —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 batch, layer, group and instance normalisation — all address some version of the problem </w:t>
      </w:r>
      <w:r>
        <w:rPr>
          <w:sz w:val="19"/>
        </w:rPr>
        <w:t>[7, 8, 9, 10]</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[11]</w:t>
      </w:r>
      <w:r>
        <w:rPr>
          <w:sz w:val="19"/>
        </w:rPr>
        <w:t>. What we add is a controlled decomposition showing that pooling across groups, not pooling in general, is what does the damage, plus the observation that the resulting model is a constant rather than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[12, 13]</w:t>
      </w:r>
      <w:r>
        <w:rPr>
          <w:sz w:val="19"/>
        </w:rPr>
        <w:t xml:space="preserve">. Related work on Clever-Hans behaviour shows models scoring well for reasons that have nothing to do with the task </w:t>
      </w:r>
      <w:r>
        <w:rPr>
          <w:sz w:val="19"/>
        </w:rPr>
        <w:t>[14]</w:t>
      </w:r>
      <w:r>
        <w:rPr>
          <w:sz w:val="19"/>
        </w:rPr>
        <w:t>.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 the spread of the predictions within a group — that separates this case from ordinary underfitting and needs no labels.</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15]</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[16, 17, 18]</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almost perfectly. The evidence in the space domain runs the same way — the ESA anomaly benchmark reports that current sequence models still struggle on rare but operationally important events in real satellite telemetry </w:t>
      </w:r>
      <w:r>
        <w:rPr>
          <w:sz w:val="19"/>
        </w:rPr>
        <w:t>[19]</w:t>
      </w:r>
      <w:r>
        <w:rPr>
          <w:sz w:val="19"/>
        </w:rPr>
        <w:t xml:space="preserve">, and it is worth noting that carefully engineered LSTM pipelines do work on this kind of data when the per-channel handling is right </w:t>
      </w:r>
      <w:r>
        <w:rPr>
          <w:sz w:val="19"/>
        </w:rPr>
        <w:t>[20]</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[21, 22]</w:t>
      </w:r>
      <w:r>
        <w:rPr>
          <w:sz w:val="19"/>
        </w:rPr>
        <w:t xml:space="preserve">, including networks that approximate optimal control directly </w:t>
      </w:r>
      <w:r>
        <w:rPr>
          <w:sz w:val="19"/>
        </w:rPr>
        <w:t>[23]</w:t>
      </w:r>
      <w:r>
        <w:rPr>
          <w:sz w:val="19"/>
        </w:rPr>
        <w:t xml:space="preserve">, predict transfer costs without full propagation </w:t>
      </w:r>
      <w:r>
        <w:rPr>
          <w:sz w:val="19"/>
        </w:rPr>
        <w:t>[24, 25]</w:t>
      </w:r>
      <w:r>
        <w:rPr>
          <w:sz w:val="19"/>
        </w:rPr>
        <w:t xml:space="preserve">, and learn robust low-thrust policies that are then certified by Monte Carlo </w:t>
      </w:r>
      <w:r>
        <w:rPr>
          <w:sz w:val="19"/>
        </w:rPr>
        <w:t>[26]</w:t>
      </w:r>
      <w:r>
        <w:rPr>
          <w:sz w:val="19"/>
        </w:rPr>
        <w:t xml:space="preserve">. Screening specifically — using a learned model to decide which of a very large number of candidate cases deserve full analysis — is established in conjunction assessment, both as an ESA competition on real conjunction data </w:t>
      </w:r>
      <w:r>
        <w:rPr>
          <w:sz w:val="19"/>
        </w:rPr>
        <w:t>[27, 28]</w:t>
      </w:r>
      <w:r>
        <w:rPr>
          <w:sz w:val="19"/>
        </w:rPr>
        <w:t xml:space="preserve"> and as a benchmark of deep approaches against the classical filters they would replace </w:t>
      </w:r>
      <w:r>
        <w:rPr>
          <w:sz w:val="19"/>
        </w:rPr>
        <w:t>[29]</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[30, 31]</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 Mercury, Venus, Mars, Jupiter, Saturn, Uranus and Neptune — with 10,000 missions each, generated with a deterministic two/three-body propagator in NASA's General Mission Analysis Tool, which is itself an extensively verified piece of software </w:t>
      </w:r>
      <w:r>
        <w:rPr>
          <w:sz w:val="19"/>
        </w:rPr>
        <w:t>[32]</w:t>
      </w:r>
      <w:r>
        <w:rPr>
          <w:sz w:val="19"/>
        </w:rPr>
        <w:t>. Each mission is described by six injection offsets: three components of the trans-orbit-insertion burn (dv_V, dv_N, dv_B) and three parking-orbit angles (RAAN, AOP, INC). Each is labelled success or failure, and failures are further typed by physical mode —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rather than only at the 40% mark. The baseline is XGBoost with 300 trees at depth 5, fitted to the same normalised prefix, flattened. Throughout this paper, 'the same input' means literally the same array —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 each feature is standardised against its distribution at that timestep index, across the missions of one target. This is the configuration the working system uses.</w:t>
      </w:r>
    </w:p>
    <w:p>
      <w:pPr>
        <w:pStyle w:val="ListBullet"/>
        <w:spacing w:after="40"/>
        <w:ind w:firstLine="0"/>
      </w:pPr>
      <w:r>
        <w:rPr>
          <w:sz w:val="18"/>
        </w:rPr>
        <w:t>global — one RobustScaler (median and IQR) per target, pooled across all of that target's timesteps.</w:t>
      </w:r>
    </w:p>
    <w:p>
      <w:pPr>
        <w:pStyle w:val="ListBullet"/>
        <w:spacing w:after="40"/>
        <w:ind w:firstLine="0"/>
      </w:pPr>
      <w:r>
        <w:rPr>
          <w:sz w:val="18"/>
        </w:rPr>
        <w:t>grouped —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 failing trajectories have physically diverged by then —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 it is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this rather than only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 the target where the network has collapsed to a constant at AUC 0.6037. Across all targets the tree's AUC moves by at most 0.0002 between settings, so for practical purposes it cannot see the choice at all. Someone who runs it to check whether the features carry signal — the standard move, and the correct instinct —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 normally an excellent reason to reach for a tree as a diagnostic —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 rather than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 a spread of 5% against the 335x compression itself —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 60 fitted trees in total — the tree's AUC never leaves the range 0.9989 to 1.0000, and within any one seed and target it moves by at most 0.0003 between settings. There is no seed on which the baseline notices. That matters more than the collapse count: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are worth stating, because this number is easy to quote misleadingly. Relative to the majority failure mode the rare mode is oversampled by roughly 45x at the strongest setting. Relative to uniform sampling over the training set — which is what the sampler actually applies — the factor is 19.23x. We report the latter, because it describes what the optimiser saw.</w:t>
      </w:r>
    </w:p>
    <w:p>
      <w:r>
        <w:rPr>
          <w:sz w:val="19"/>
        </w:rPr>
        <w:t>The sweep was repeated across 5 seeds, each of which redraws the split and therefore the rare mode itself. The gap replicates and the extremes do not: sequence recall on the rare mode ranges 0.0000 to 0.1429 across every seed and sampling weight, against a tree on the identical window at recall 0.9333 to 1.0000 and AUC 0.9997 to 1.0000. On every seed the sampling weight makes no difference whatsoever — recall is identical at all three settings within a seed, so the flat line in the figure is not a property of one run.</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 chance —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[26]</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rather than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rather than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[19, 20]</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 check a simple baseline —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Reproduction</w:t>
      </w:r>
    </w:p>
    <w:p>
      <w:pPr>
        <w:ind w:firstLine="0" w:left="160"/>
      </w:pPr>
      <w:r>
        <w:rPr>
          <w:rFonts w:ascii="Consolas" w:hAnsi="Consolas"/>
          <w:sz w:val="15"/>
        </w:rPr>
        <w:t>export ORBITGUARD_DATA=/path/to/dataset</w:t>
        <w:br/>
        <w:br/>
        <w:t># Primary results, seed 42</w:t>
        <w:br/>
        <w:t>python -m src.ml.norm_ablation          # Table I</w:t>
        <w:br/>
        <w:t>python -m src.ml.baseline_invariance    # Table II</w:t>
        <w:br/>
        <w:t>python -m src.ml.rare_mode_sweep        # Table IV</w:t>
        <w:br/>
        <w:t>python -m src.ml.prune_economics        # Table V</w:t>
        <w:br/>
        <w:br/>
        <w:t># Replication, one pass per seed (Table III, Section V)</w:t>
        <w:br/>
        <w:t>for S in 0 1 2 3; do</w:t>
        <w:br/>
        <w:t xml:space="preserve">  python -m src.ml.norm_ablation --seed $S \</w:t>
        <w:br/>
        <w:t xml:space="preserve">      --out reports/multiseed_paper/normalisation_ablation_seed$S.json</w:t>
        <w:br/>
        <w:t xml:space="preserve">  python -m src.ml.baseline_invariance --seed $S \</w:t>
        <w:br/>
        <w:t xml:space="preserve">      --out reports/multiseed_paper/baseline_invariance_seed$S.json</w:t>
        <w:br/>
        <w:t xml:space="preserve">  python -m src.ml.rare_mode_sweep --seed $S \</w:t>
        <w:br/>
        <w:t xml:space="preserve">      --out reports/multiseed_paper/rare_mode_sweep_seed$S.json</w:t>
        <w:br/>
        <w:t>done</w:t>
        <w:br/>
        <w:br/>
        <w:t># The document</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[12] R. Geirhos et al., "Shortcut Learning in Deep Neural Networks," Nature Machine Intelligence, vol. 2, no. 11, pp. 665–673, 2020. doi: 10.1038/s42256-020-00257-0.</w:t>
      </w:r>
    </w:p>
    <w:p>
      <w:pPr>
        <w:spacing w:after="40"/>
        <w:ind w:firstLine="0" w:left="317"/>
      </w:pPr>
      <w:r>
        <w:rPr>
          <w:sz w:val="16"/>
        </w:rPr>
        <w:t>[13] H. Shah, K. Tamuly, A. Raghunathan, P. Jain, P. Netrapalli, "The Pitfalls of Simplicity Bias in Neural Networks," in Advances in Neural Information Processing Systems (NeurIPS), vol. 33, pp. 9573–9585, 2020.</w:t>
      </w:r>
    </w:p>
    <w:p>
      <w:pPr>
        <w:spacing w:after="40"/>
        <w:ind w:firstLine="0" w:left="317"/>
      </w:pPr>
      <w:r>
        <w:rPr>
          <w:sz w:val="16"/>
        </w:rPr>
        <w:t>[14]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[15] G. Ke et al., "LightGBM: A Highly Efficient Gradient Boosting Decision Tree," in Advances in Neural Information Processing Systems (NeurIPS), vol. 30, pp. 3146–3154, 2017.</w:t>
      </w:r>
    </w:p>
    <w:p>
      <w:pPr>
        <w:spacing w:after="40"/>
        <w:ind w:firstLine="0" w:left="317"/>
      </w:pPr>
      <w:r>
        <w:rPr>
          <w:sz w:val="16"/>
        </w:rPr>
        <w:t>[16] M. Buda, A. Maki, M. A. Mazurowski, "A systematic study of the class imbalance problem in convolutional neural networks," Neural Networks, vol. 106, pp. 249–259, 2018. doi: 10.1016/j.neunet.2018.07.011.</w:t>
      </w:r>
    </w:p>
    <w:p>
      <w:pPr>
        <w:spacing w:after="40"/>
        <w:ind w:firstLine="0" w:left="317"/>
      </w:pPr>
      <w:r>
        <w:rPr>
          <w:sz w:val="16"/>
        </w:rPr>
        <w:t>[17]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[18]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[19] K. Kotowski et al., "European Space Agency Benchmark for Anomaly Detection in Satellite Telemetry," arXiv preprint arXiv:2406.17826, 2024. doi: 10.48550/arXiv.2406.17826.</w:t>
      </w:r>
    </w:p>
    <w:p>
      <w:pPr>
        <w:spacing w:after="40"/>
        <w:ind w:firstLine="0" w:left="317"/>
      </w:pPr>
      <w:r>
        <w:rPr>
          <w:sz w:val="16"/>
        </w:rPr>
        <w:t>[20]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[21] D. Izzo, M. Märtens, B. Pan, "A survey on artificial intelligence trends in spacecraft guidance dynamics and control," Astrodynamics, vol. 3, no. 4, pp. 287–299, 2019. doi: 10.1007/s42064-018-0053-6.</w:t>
      </w:r>
    </w:p>
    <w:p>
      <w:pPr>
        <w:spacing w:after="40"/>
        <w:ind w:firstLine="0" w:left="317"/>
      </w:pPr>
      <w:r>
        <w:rPr>
          <w:sz w:val="16"/>
        </w:rPr>
        <w:t>[22]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[23]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[24] H. Li, S. Chen, D. Izzo, H. Baoyin, "Deep networks as approximators of optimal transfers solutions in multitarget missions," Acta Astronautica, 2019.</w:t>
      </w:r>
    </w:p>
    <w:p>
      <w:pPr>
        <w:spacing w:after="40"/>
        <w:ind w:firstLine="0" w:left="317"/>
      </w:pPr>
      <w:r>
        <w:rPr>
          <w:sz w:val="16"/>
        </w:rPr>
        <w:t>[25] D. Izzo, C. Sprague, D. Tailor, "Machine learning and evolutionary techniques in interplanetary trajectory design," in Optimization in Space Engineering, 2019. doi: 10.1007/978-3-030-10501-3_8.</w:t>
      </w:r>
    </w:p>
    <w:p>
      <w:pPr>
        <w:spacing w:after="40"/>
        <w:ind w:firstLine="0" w:left="317"/>
      </w:pPr>
      <w:r>
        <w:rPr>
          <w:sz w:val="16"/>
        </w:rPr>
        <w:t>[26]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[27] T. Uriot et al., "Spacecraft Collision Avoidance Challenge: design and results of a machine learning competition," arXiv preprint arXiv:2008.03069, 2020. doi: 10.48550/arXiv.2008.03069.</w:t>
      </w:r>
    </w:p>
    <w:p>
      <w:pPr>
        <w:spacing w:after="40"/>
        <w:ind w:firstLine="0" w:left="317"/>
      </w:pPr>
      <w:r>
        <w:rPr>
          <w:sz w:val="16"/>
        </w:rPr>
        <w:t>[28] G. Acciarini et al., "Kessler: A Machine Learning Library for Spacecraft Collision Avoidance," in 8th European Conference on Space Debris, 2021.</w:t>
      </w:r>
    </w:p>
    <w:p>
      <w:pPr>
        <w:spacing w:after="40"/>
        <w:ind w:firstLine="0" w:left="317"/>
      </w:pPr>
      <w:r>
        <w:rPr>
          <w:sz w:val="16"/>
        </w:rPr>
        <w:t>[29]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[30]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[31]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[32]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