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Vardan M Sakamuri, Rohit Michael, Valarmathi Sudhakar</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falls inside a window 3.2e-04 wide. A gradient-boosted tree fitted to the very same arrays does not notice: its AUC moves by at most 0.0002 across all three normalisation settings, and it reports the task as almost perfectly separable while the network cannot separate it at all. So the usual instinct (check a simple baseline before blaming the data)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(pooling across timesteps is survivable, pooling across groups is not),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rather than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TESS, for one, used a large dispersion campaign to drive its trajectory design </w:t>
      </w:r>
      <w:r>
        <w:rPr>
          <w:sz w:val="19"/>
        </w:rPr>
        <w:t>[1]</w:t>
      </w:r>
      <w:r>
        <w:rPr>
          <w:sz w:val="19"/>
        </w:rPr>
        <w:t xml:space="preserve">.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(invariance to how the features are scaled)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it cannot reach a rare class that is recoverable from its own input,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(batch, layer, group and instance normalisation) all address some version of the problem </w:t>
      </w:r>
      <w:r>
        <w:rPr>
          <w:sz w:val="19"/>
        </w:rPr>
        <w:t>[7, 8, 9, 10, 11]</w:t>
      </w:r>
      <w:r>
        <w:rPr>
          <w:sz w:val="19"/>
        </w:rPr>
        <w:t xml:space="preserve">. That how the inputs are scaled decides whether a network trains at all, rather than merely how fast, has been known since well before any of those layers existed </w:t>
      </w:r>
      <w:r>
        <w:rPr>
          <w:sz w:val="19"/>
        </w:rPr>
        <w:t>[12]</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[13]</w:t>
      </w:r>
      <w:r>
        <w:rPr>
          <w:sz w:val="19"/>
        </w:rPr>
        <w:t>. What we add is a controlled decomposition showing that pooling across groups, not pooling in general, is what does the damage, plus the observation that the resulting model is a constant rather than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[14, 15]</w:t>
      </w:r>
      <w:r>
        <w:rPr>
          <w:sz w:val="19"/>
        </w:rPr>
        <w:t xml:space="preserve">. Related work on Clever-Hans behaviour shows models scoring well for reasons that have nothing to do with the task </w:t>
      </w:r>
      <w:r>
        <w:rPr>
          <w:sz w:val="19"/>
        </w:rPr>
        <w:t>[16]</w:t>
      </w:r>
      <w:r>
        <w:rPr>
          <w:sz w:val="19"/>
        </w:rPr>
        <w:t xml:space="preserve">.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(the spread of the predictions within a group) that separates this case from ordinary underfitting and needs no labels. It is also a pipeline-level problem rather than a modelling one, of the kind that accumulates in the shared preprocessing code that no single model owns </w:t>
      </w:r>
      <w:r>
        <w:rPr>
          <w:sz w:val="19"/>
        </w:rPr>
        <w:t>[17]</w:t>
      </w:r>
      <w:r>
        <w:rPr>
          <w:sz w:val="19"/>
        </w:rPr>
        <w:t>.</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18, 19]</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[20, 21, 22]</w:t>
      </w:r>
      <w:r>
        <w:rPr>
          <w:sz w:val="19"/>
        </w:rPr>
        <w:t xml:space="preserve">, and the effect of imbalance on what a deep classifier actually learns is surveyed at length </w:t>
      </w:r>
      <w:r>
        <w:rPr>
          <w:sz w:val="19"/>
        </w:rPr>
        <w:t>[23]</w:t>
      </w:r>
      <w:r>
        <w:rPr>
          <w:sz w:val="19"/>
        </w:rPr>
        <w:t xml:space="preserve">. The two model families do not respond to it the same way, which is part of why the comparison below is worth making at all </w:t>
      </w:r>
      <w:r>
        <w:rPr>
          <w:sz w:val="19"/>
        </w:rPr>
        <w:t>[24]</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almost perfectly. The evidence in the space domain runs the same way. The ESA anomaly benchmark reports that current sequence models still struggle on rare but operationally important events in real satellite telemetry </w:t>
      </w:r>
      <w:r>
        <w:rPr>
          <w:sz w:val="19"/>
        </w:rPr>
        <w:t>[25]</w:t>
      </w:r>
      <w:r>
        <w:rPr>
          <w:sz w:val="19"/>
        </w:rPr>
        <w:t xml:space="preserve">, and rare-anomaly detection on satellite telemetry is an active enough problem to have its own uncertainty-aware methods </w:t>
      </w:r>
      <w:r>
        <w:rPr>
          <w:sz w:val="19"/>
        </w:rPr>
        <w:t>[26]</w:t>
      </w:r>
      <w:r>
        <w:rPr>
          <w:sz w:val="19"/>
        </w:rPr>
        <w:t xml:space="preserve">. Carefully engineered LSTM pipelines do work on this kind of data when the per-channel handling is right </w:t>
      </w:r>
      <w:r>
        <w:rPr>
          <w:sz w:val="19"/>
        </w:rPr>
        <w:t>[27]</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[28, 29]</w:t>
      </w:r>
      <w:r>
        <w:rPr>
          <w:sz w:val="19"/>
        </w:rPr>
        <w:t xml:space="preserve">, including networks that approximate optimal control directly </w:t>
      </w:r>
      <w:r>
        <w:rPr>
          <w:sz w:val="19"/>
        </w:rPr>
        <w:t>[30]</w:t>
      </w:r>
      <w:r>
        <w:rPr>
          <w:sz w:val="19"/>
        </w:rPr>
        <w:t xml:space="preserve">, predict transfer costs without full propagation </w:t>
      </w:r>
      <w:r>
        <w:rPr>
          <w:sz w:val="19"/>
        </w:rPr>
        <w:t>[31, 32]</w:t>
      </w:r>
      <w:r>
        <w:rPr>
          <w:sz w:val="19"/>
        </w:rPr>
        <w:t xml:space="preserve">, and learn robust low-thrust policies that are then certified by Monte Carlo </w:t>
      </w:r>
      <w:r>
        <w:rPr>
          <w:sz w:val="19"/>
        </w:rPr>
        <w:t>[33]</w:t>
      </w:r>
      <w:r>
        <w:rPr>
          <w:sz w:val="19"/>
        </w:rPr>
        <w:t xml:space="preserve">. Closer to the data this paper uses, learned models correct orbit predictions from sparse tracking </w:t>
      </w:r>
      <w:r>
        <w:rPr>
          <w:sz w:val="19"/>
        </w:rPr>
        <w:t>[34]</w:t>
      </w:r>
      <w:r>
        <w:rPr>
          <w:sz w:val="19"/>
        </w:rPr>
        <w:t xml:space="preserve"> and stand in for Monte Carlo when propagating orbit uncertainty forward </w:t>
      </w:r>
      <w:r>
        <w:rPr>
          <w:sz w:val="19"/>
        </w:rPr>
        <w:t>[35]</w:t>
      </w:r>
      <w:r>
        <w:rPr>
          <w:sz w:val="19"/>
        </w:rPr>
        <w:t xml:space="preserve">, and a substantial line of work applies machine learning to spacecraft telemetry for anomaly and fault detection </w:t>
      </w:r>
      <w:r>
        <w:rPr>
          <w:sz w:val="19"/>
        </w:rPr>
        <w:t>[36, 37]</w:t>
      </w:r>
      <w:r>
        <w:rPr>
          <w:sz w:val="19"/>
        </w:rPr>
        <w:t xml:space="preserve">, including with the same attention-based architecture family used here </w:t>
      </w:r>
      <w:r>
        <w:rPr>
          <w:sz w:val="19"/>
        </w:rPr>
        <w:t>[38]</w:t>
      </w:r>
      <w:r>
        <w:rPr>
          <w:sz w:val="19"/>
        </w:rPr>
        <w:t xml:space="preserve">. Screening specifically, using a learned model to decide which of a very large number of candidate cases deserve full analysis, is established in conjunction assessment, both as an ESA competition on real conjunction data </w:t>
      </w:r>
      <w:r>
        <w:rPr>
          <w:sz w:val="19"/>
        </w:rPr>
        <w:t>[39, 40]</w:t>
      </w:r>
      <w:r>
        <w:rPr>
          <w:sz w:val="19"/>
        </w:rPr>
        <w:t xml:space="preserve"> and as a benchmark of deep approaches against the classical filters they would replace </w:t>
      </w:r>
      <w:r>
        <w:rPr>
          <w:sz w:val="19"/>
        </w:rPr>
        <w:t>[41]</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[42, 43, 44]</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(Mercury, Venus, Mars, Jupiter, Saturn, Uranus and Neptune), with 10,000 missions each, generated with a deterministic two/three-body propagator in NASA's General Mission Analysis Tool, which is itself an extensively verified piece of software </w:t>
      </w:r>
      <w:r>
        <w:rPr>
          <w:sz w:val="19"/>
        </w:rPr>
        <w:t>[45]</w:t>
      </w:r>
      <w:r>
        <w:rPr>
          <w:sz w:val="19"/>
        </w:rPr>
        <w:t>. Each mission is described by six injection offsets: three components of the trans-orbit-insertion burn (dv_V, dv_N, dv_B) and three parking-orbit angles (RAAN, AOP, INC). Each is labelled success or failure, and failures are further typed by physical mode: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rather than only at the 40% mark. The baseline is XGBoost with 300 trees at depth 5, fitted to the same normalised prefix, flattened. Throughout this paper, 'the same input' means literally the same array: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each feature is standardised against its distribution at that timestep index, across the missions of one target. This is the configuration the working system uses.</w:t>
      </w:r>
    </w:p>
    <w:p>
      <w:pPr>
        <w:pStyle w:val="ListBullet"/>
        <w:spacing w:after="40"/>
        <w:ind w:firstLine="0"/>
      </w:pPr>
      <w:r>
        <w:rPr>
          <w:sz w:val="18"/>
        </w:rPr>
        <w:t>global: one RobustScaler (median and IQR) per target, pooled across all of that target's timesteps.</w:t>
      </w:r>
    </w:p>
    <w:p>
      <w:pPr>
        <w:pStyle w:val="ListBullet"/>
        <w:spacing w:after="40"/>
        <w:ind w:firstLine="0"/>
      </w:pPr>
      <w:r>
        <w:rPr>
          <w:sz w:val="18"/>
        </w:rPr>
        <w:t>grouped: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because failing trajectories have physically diverged by then,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it is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this rather than only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the target where the network has collapsed to a constant at AUC 0.6037. Across all targets the tree's AUC moves by at most 0.0002 between settings, so for practical purposes it cannot see the choice at all. Someone who runs it to check whether the features carry signal, which is the standard move and the correct instinct,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normally an excellent reason to reach for a tree as a diagnostic,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rather than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a spread of 5% against the 335x compression itself,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60 fitted trees in total, the tree's AUC never leaves the range 0.9989 to 1.0000, and within any one seed and target it moves by at most 0.0003 between settings. There is no seed on which the baseline notices. That matters more than the collapse count: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are worth stating, because this number is easy to quote misleadingly. Relative to the majority failure mode the rare mode is oversampled by roughly 45x at the strongest setting. Relative to uniform sampling over the training set, which is what the sampler actually applies, the factor is 19.23x. We report the latter, because it describes what the optimiser saw.</w:t>
      </w:r>
    </w:p>
    <w:p>
      <w:r>
        <w:rPr>
          <w:sz w:val="19"/>
        </w:rPr>
        <w:t>The sweep was repeated across 5 seeds, each of which redraws the split and therefore the rare mode itself. The gap replicates and the extremes do not: sequence recall on the rare mode ranges 0.0000 to 0.1429 across every seed and sampling weight, against a tree on the identical window at recall 0.9333 to 1.0000 and AUC 0.9997 to 1.0000. On every seed the sampling weight makes no difference whatsoever: recall is identical at all three settings within a seed, so the flat line in the figure is not a property of one run.</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(chance)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[33]</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rather than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rather than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[25, 27]</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(check a simple baseline)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Code and Data Availability</w:t>
      </w:r>
    </w:p>
    <w:p>
      <w:r>
        <w:rPr>
          <w:sz w:val="19"/>
        </w:rPr>
        <w:t>Everything in this paper (the experiment scripts, the JSON artifacts every number is read from, the figure code, and the source of this document) is at https://github.com/Haise-727/gmat-pred. A short map of where things are:</w:t>
      </w:r>
    </w:p>
    <w:p>
      <w:pPr>
        <w:pStyle w:val="ListBullet"/>
        <w:spacing w:after="40"/>
        <w:ind w:firstLine="0"/>
      </w:pPr>
      <w:r>
        <w:rPr>
          <w:sz w:val="18"/>
        </w:rPr>
        <w:t>src/ml/ holds the experiments. norm_ablation.py produces Table I, baseline_invariance.py Table II, rare_mode_sweep.py Table IV, prune_economics.py Table V. splits.py is the single definition of the train/validation/test partition that all of them share.</w:t>
      </w:r>
    </w:p>
    <w:p>
      <w:pPr>
        <w:pStyle w:val="ListBullet"/>
        <w:spacing w:after="40"/>
        <w:ind w:firstLine="0"/>
      </w:pPr>
      <w:r>
        <w:rPr>
          <w:sz w:val="18"/>
        </w:rPr>
        <w:t>src/ml/model.py is the Transformer, and planet_config.py the target list, cadences and the recorded reason the Moon is excluded.</w:t>
      </w:r>
    </w:p>
    <w:p>
      <w:pPr>
        <w:pStyle w:val="ListBullet"/>
        <w:spacing w:after="40"/>
        <w:ind w:firstLine="0"/>
      </w:pPr>
      <w:r>
        <w:rPr>
          <w:sz w:val="18"/>
        </w:rPr>
        <w:t>reports/ holds the measured artifacts. Every table and figure here is read from one of these JSON files; multiseed_paper/ holds the per-seed runs behind Table III.</w:t>
      </w:r>
    </w:p>
    <w:p>
      <w:pPr>
        <w:pStyle w:val="ListBullet"/>
        <w:spacing w:after="40"/>
        <w:ind w:firstLine="0"/>
      </w:pPr>
      <w:r>
        <w:rPr>
          <w:sz w:val="18"/>
        </w:rPr>
        <w:t>docs/paper/ builds this document. content.py holds the prose and makes the tables from the artifacts; figures.py draws every figure from the same artifacts; render_latex.py and build_paper.py render the LaTeX and Word versions. No number in the paper is typed in by hand.</w:t>
      </w:r>
    </w:p>
    <w:p>
      <w:pPr>
        <w:pStyle w:val="ListBullet"/>
        <w:spacing w:after="40"/>
        <w:ind w:firstLine="0"/>
      </w:pPr>
      <w:r>
        <w:rPr>
          <w:sz w:val="18"/>
        </w:rPr>
        <w:t>docs/RESEARCH_LEDGER.md is the full decision history, including two analyses that were invalidated by a positional join and the corrections that replaced them. docs/LIMITATIONS.md states what the results do not support.</w:t>
      </w:r>
    </w:p>
    <w:p>
      <w:r>
        <w:rPr>
          <w:sz w:val="19"/>
        </w:rPr>
        <w:t>The per-target .npz extracts the experiments read (roughly 70 MB each) are derived from a 71 GB mission table that is too large to host in the repository. The scripts below regenerate the artifacts from those extracts; ORBITGUARD_DATA points at the full table for the economics analysis, which is the only experiment that needs it.</w:t>
      </w:r>
    </w:p>
    <w:p>
      <w:pPr>
        <w:ind w:firstLine="0" w:left="160"/>
      </w:pPr>
      <w:r>
        <w:rPr>
          <w:rFonts w:ascii="Consolas" w:hAnsi="Consolas"/>
          <w:sz w:val="15"/>
        </w:rPr>
        <w:t>export ORBITGUARD_DATA=/path/to/dataset</w:t>
        <w:br/>
        <w:br/>
        <w:t># Primary results, seed 42</w:t>
        <w:br/>
        <w:t>python -m src.ml.norm_ablation          # Table I</w:t>
        <w:br/>
        <w:t>python -m src.ml.baseline_invariance    # Table II</w:t>
        <w:br/>
        <w:t>python -m src.ml.rare_mode_sweep        # Table IV</w:t>
        <w:br/>
        <w:t>python -m src.ml.prune_economics        # Table V</w:t>
        <w:br/>
        <w:br/>
        <w:t># Replication, one pass per seed (Table III, Section V)</w:t>
        <w:br/>
        <w:t>for S in 0 1 2 3; do</w:t>
        <w:br/>
        <w:t xml:space="preserve">  python -m src.ml.norm_ablation --seed $S \</w:t>
        <w:br/>
        <w:t xml:space="preserve">      --out reports/multiseed_paper/normalisation_ablation_seed$S.json</w:t>
        <w:br/>
        <w:t xml:space="preserve">  python -m src.ml.baseline_invariance --seed $S \</w:t>
        <w:br/>
        <w:t xml:space="preserve">      --out reports/multiseed_paper/baseline_invariance_seed$S.json</w:t>
        <w:br/>
        <w:t xml:space="preserve">  python -m src.ml.rare_mode_sweep --seed $S \</w:t>
        <w:br/>
        <w:t xml:space="preserve">      --out reports/multiseed_paper/rare_mode_sweep_seed$S.json</w:t>
        <w:br/>
        <w:t>done</w:t>
        <w:br/>
        <w:br/>
        <w:t># The document</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L. Huang, J. Qin, Y. Zhou, F. Zhu, L. Liu, L. Shao, "Normalization Techniques in Training DNNs: Methodology, Analysis and Application," IEEE Transactions on Pattern Analysis and Machine Intelligence, vol. 45, no. 8, pp. 10173–10196, 2023. doi: 10.1109/TPAMI.2023.3250241.</w:t>
      </w:r>
    </w:p>
    <w:p>
      <w:pPr>
        <w:spacing w:after="40"/>
        <w:ind w:firstLine="0" w:left="317"/>
      </w:pPr>
      <w:r>
        <w:rPr>
          <w:sz w:val="16"/>
        </w:rPr>
        <w:t>[12] J. Sola, J. Sevilla, "Importance of input data normalization for the application of neural networks to complex industrial problems," IEEE Transactions on Nuclear Science, vol. 44, no. 3, pp. 1464–1468, 1997. doi: 10.1109/23.589532.</w:t>
      </w:r>
    </w:p>
    <w:p>
      <w:pPr>
        <w:spacing w:after="40"/>
        <w:ind w:firstLine="0" w:left="317"/>
      </w:pPr>
      <w:r>
        <w:rPr>
          <w:sz w:val="16"/>
        </w:rPr>
        <w:t>[13]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[14] R. Geirhos et al., "Shortcut Learning in Deep Neural Networks," Nature Machine Intelligence, vol. 2, no. 11, pp. 665–673, 2020. doi: 10.1038/s42256-020-00257-0.</w:t>
      </w:r>
    </w:p>
    <w:p>
      <w:pPr>
        <w:spacing w:after="40"/>
        <w:ind w:firstLine="0" w:left="317"/>
      </w:pPr>
      <w:r>
        <w:rPr>
          <w:sz w:val="16"/>
        </w:rPr>
        <w:t>[15] H. Shah, K. Tamuly, A. Raghunathan, P. Jain, P. Netrapalli, "The Pitfalls of Simplicity Bias in Neural Networks," in Advances in Neural Information Processing Systems (NeurIPS), vol. 33, pp. 9573–9585, 2020.</w:t>
      </w:r>
    </w:p>
    <w:p>
      <w:pPr>
        <w:spacing w:after="40"/>
        <w:ind w:firstLine="0" w:left="317"/>
      </w:pPr>
      <w:r>
        <w:rPr>
          <w:sz w:val="16"/>
        </w:rPr>
        <w:t>[16]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[17] D. K. Chaudhary, S. Srivastava, V. Kumar, "A Review on Hidden Debts in Machine Learning Systems," in Second International Conference on Green Computing and Internet of Things (ICGCIoT), 2018. doi: 10.1109/ICGCIOT.2018.8753081.</w:t>
      </w:r>
    </w:p>
    <w:p>
      <w:pPr>
        <w:spacing w:after="40"/>
        <w:ind w:firstLine="0" w:left="317"/>
      </w:pPr>
      <w:r>
        <w:rPr>
          <w:sz w:val="16"/>
        </w:rPr>
        <w:t>[18] G. Ke et al., "LightGBM: A Highly Efficient Gradient Boosting Decision Tree," in Advances in Neural Information Processing Systems (NeurIPS), vol. 30, pp. 3146–3154, 2017.</w:t>
      </w:r>
    </w:p>
    <w:p>
      <w:pPr>
        <w:spacing w:after="40"/>
        <w:ind w:firstLine="0" w:left="317"/>
      </w:pPr>
      <w:r>
        <w:rPr>
          <w:sz w:val="16"/>
        </w:rPr>
        <w:t>[19] J. Pasaribu, N. Yudistira, W. F. Mahmudy, "Tabular Data Classification and Regression: XGBoost or Deep Learning With Retrieval-Augmented Generation," IEEE Access, vol. 12, pp. 191719–191732, 2024. doi: 10.1109/ACCESS.2024.3518205.</w:t>
      </w:r>
    </w:p>
    <w:p>
      <w:pPr>
        <w:spacing w:after="40"/>
        <w:ind w:firstLine="0" w:left="317"/>
      </w:pPr>
      <w:r>
        <w:rPr>
          <w:sz w:val="16"/>
        </w:rPr>
        <w:t>[20] M. Buda, A. Maki, M. A. Mazurowski, "A systematic study of the class imbalance problem in convolutional neural networks," Neural Networks, vol. 106, pp. 249–259, 2018. doi: 10.1016/j.neunet.2018.07.011.</w:t>
      </w:r>
    </w:p>
    <w:p>
      <w:pPr>
        <w:spacing w:after="40"/>
        <w:ind w:firstLine="0" w:left="317"/>
      </w:pPr>
      <w:r>
        <w:rPr>
          <w:sz w:val="16"/>
        </w:rPr>
        <w:t>[21]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[22]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[23] J. Dong et al., "A Survey on Confidence Calibration of Deep Learning-Based Classification Models Under Class Imbalance Data," IEEE Transactions on Neural Networks and Learning Systems, vol. 36, no. 9, pp. 15664–15684, 2025. doi: 10.1109/TNNLS.2025.3565159.</w:t>
      </w:r>
    </w:p>
    <w:p>
      <w:pPr>
        <w:spacing w:after="40"/>
        <w:ind w:firstLine="0" w:left="317"/>
      </w:pPr>
      <w:r>
        <w:rPr>
          <w:sz w:val="16"/>
        </w:rPr>
        <w:t>[24] J. Wu, Y. Li, Y. Ma, "Comparison of XGBoost and the Neural Network Model on the Class-Balanced Datasets," in IEEE 3rd International Conference on Frontiers Technology of Information and Computer (ICFTIC), 2021. doi: 10.1109/ICFTIC54370.2021.9647373.</w:t>
      </w:r>
    </w:p>
    <w:p>
      <w:pPr>
        <w:spacing w:after="40"/>
        <w:ind w:firstLine="0" w:left="317"/>
      </w:pPr>
      <w:r>
        <w:rPr>
          <w:sz w:val="16"/>
        </w:rPr>
        <w:t>[25] K. Kotowski et al., "European Space Agency Benchmark for Anomaly Detection in Satellite Telemetry," arXiv preprint arXiv:2406.17826, 2024. doi: 10.48550/arXiv.2406.17826.</w:t>
      </w:r>
    </w:p>
    <w:p>
      <w:pPr>
        <w:spacing w:after="40"/>
        <w:ind w:firstLine="0" w:left="317"/>
      </w:pPr>
      <w:r>
        <w:rPr>
          <w:sz w:val="16"/>
        </w:rPr>
        <w:t>[26] M. A. M. Sadr, Y. Zhu, P. Hu, "An Anomaly Detection Method for Satellites Using Monte Carlo Dropout," IEEE Transactions on Aerospace and Electronic Systems, vol. 59, pp. 2044–2052, 2022. doi: 10.1109/TAES.2022.3206257.</w:t>
      </w:r>
    </w:p>
    <w:p>
      <w:pPr>
        <w:spacing w:after="40"/>
        <w:ind w:firstLine="0" w:left="317"/>
      </w:pPr>
      <w:r>
        <w:rPr>
          <w:sz w:val="16"/>
        </w:rPr>
        <w:t>[27]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[28] D. Izzo, M. Märtens, B. Pan, "A survey on artificial intelligence trends in spacecraft guidance dynamics and control," Astrodynamics, vol. 3, no. 4, pp. 287–299, 2019. doi: 10.1007/s42064-018-0053-6.</w:t>
      </w:r>
    </w:p>
    <w:p>
      <w:pPr>
        <w:spacing w:after="40"/>
        <w:ind w:firstLine="0" w:left="317"/>
      </w:pPr>
      <w:r>
        <w:rPr>
          <w:sz w:val="16"/>
        </w:rPr>
        <w:t>[29]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[30]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[31] H. Li, S. Chen, D. Izzo, H. Baoyin, "Deep networks as approximators of optimal transfers solutions in multitarget missions," Acta Astronautica, 2019.</w:t>
      </w:r>
    </w:p>
    <w:p>
      <w:pPr>
        <w:spacing w:after="40"/>
        <w:ind w:firstLine="0" w:left="317"/>
      </w:pPr>
      <w:r>
        <w:rPr>
          <w:sz w:val="16"/>
        </w:rPr>
        <w:t>[32] D. Izzo, C. Sprague, D. Tailor, "Machine learning and evolutionary techniques in interplanetary trajectory design," in Optimization in Space Engineering, 2019. doi: 10.1007/978-3-030-10501-3_8.</w:t>
      </w:r>
    </w:p>
    <w:p>
      <w:pPr>
        <w:spacing w:after="40"/>
        <w:ind w:firstLine="0" w:left="317"/>
      </w:pPr>
      <w:r>
        <w:rPr>
          <w:sz w:val="16"/>
        </w:rPr>
        <w:t>[33]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[34] B. Li, J. Huang, Y. Feng, F. Wang, J. Sang, "A Machine Learning-Based Approach for Improved Orbit Predictions of LEO Space Debris With Sparse Tracking Data From a Single Station," IEEE Transactions on Aerospace and Electronic Systems, vol. 56, no. 6, pp. 4253–4268, 2020. doi: 10.1109/TAES.2020.2989067.</w:t>
      </w:r>
    </w:p>
    <w:p>
      <w:pPr>
        <w:spacing w:after="40"/>
        <w:ind w:firstLine="0" w:left="317"/>
      </w:pPr>
      <w:r>
        <w:rPr>
          <w:sz w:val="16"/>
        </w:rPr>
        <w:t>[35] X. Zhou, D. Qiao, X. Li, "Neural Network-Based Method for Orbit Uncertainty Propagation and Estimation," IEEE Transactions on Aerospace and Electronic Systems, vol. 60, no. 1, pp. 1176–1193, 2024. doi: 10.1109/TAES.2023.3332566.</w:t>
      </w:r>
    </w:p>
    <w:p>
      <w:pPr>
        <w:spacing w:after="40"/>
        <w:ind w:firstLine="0" w:left="317"/>
      </w:pPr>
      <w:r>
        <w:rPr>
          <w:sz w:val="16"/>
        </w:rPr>
        <w:t>[36] S. K. Ibrahim, A. Ahmed, M. A. E. Zeidan, I. E. Ziedan, "Machine Learning Methods for Spacecraft Telemetry Mining," IEEE Transactions on Aerospace and Electronic Systems, vol. 55, no. 4, pp. 1816–1827, 2019. doi: 10.1109/TAES.2018.2876586.</w:t>
      </w:r>
    </w:p>
    <w:p>
      <w:pPr>
        <w:spacing w:after="40"/>
        <w:ind w:firstLine="0" w:left="317"/>
      </w:pPr>
      <w:r>
        <w:rPr>
          <w:sz w:val="16"/>
        </w:rPr>
        <w:t>[37] K. R. Naik, A. Holmgren, J. Kenworthy, "Using Machine Learning to Automatically Detect Anomalous Spacecraft Behavior from Telemetry Data," in IEEE Aerospace Conference, 2020. doi: 10.1109/AERO47225.2020.9172726.</w:t>
      </w:r>
    </w:p>
    <w:p>
      <w:pPr>
        <w:spacing w:after="40"/>
        <w:ind w:firstLine="0" w:left="317"/>
      </w:pPr>
      <w:r>
        <w:rPr>
          <w:sz w:val="16"/>
        </w:rPr>
        <w:t>[38] S. Jiang, Y. Jiang, Y. Wang, X. Zhang, Z. Zhang, "Anomaly Detection in Spacecraft Telemetry Data Based on Transformer-LSTM," in International Conference on Intelligent Communication and Networking (ICN), 2023. doi: 10.1109/ICN60549.2023.10426290.</w:t>
      </w:r>
    </w:p>
    <w:p>
      <w:pPr>
        <w:spacing w:after="40"/>
        <w:ind w:firstLine="0" w:left="317"/>
      </w:pPr>
      <w:r>
        <w:rPr>
          <w:sz w:val="16"/>
        </w:rPr>
        <w:t>[39] T. Uriot et al., "Spacecraft Collision Avoidance Challenge: design and results of a machine learning competition," arXiv preprint arXiv:2008.03069, 2020. doi: 10.48550/arXiv.2008.03069.</w:t>
      </w:r>
    </w:p>
    <w:p>
      <w:pPr>
        <w:spacing w:after="40"/>
        <w:ind w:firstLine="0" w:left="317"/>
      </w:pPr>
      <w:r>
        <w:rPr>
          <w:sz w:val="16"/>
        </w:rPr>
        <w:t>[40] G. Acciarini et al., "Kessler: A Machine Learning Library for Spacecraft Collision Avoidance," in 8th European Conference on Space Debris, 2021.</w:t>
      </w:r>
    </w:p>
    <w:p>
      <w:pPr>
        <w:spacing w:after="40"/>
        <w:ind w:firstLine="0" w:left="317"/>
      </w:pPr>
      <w:r>
        <w:rPr>
          <w:sz w:val="16"/>
        </w:rPr>
        <w:t>[41]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[42]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[43]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[44] J. Yin, F. Wang, M. Shankar, "Strategies for Integrating Deep Learning Surrogate Models with HPC Simulation Applications," in IEEE International Parallel and Distributed Processing Symposium Workshops (IPDPSW), 2022. doi: 10.1109/IPDPSW55747.2022.00222.</w:t>
      </w:r>
    </w:p>
    <w:p>
      <w:pPr>
        <w:spacing w:after="40"/>
        <w:ind w:firstLine="0" w:left="317"/>
      </w:pPr>
      <w:r>
        <w:rPr>
          <w:sz w:val="16"/>
        </w:rPr>
        <w:t>[45]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