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b/>
          <w:bCs/>
          <w:sz w:val="32"/>
          <w:szCs w:val="32"/>
        </w:rPr>
        <w:t xml:space="preserve">Modern Intelligent Systems: A Graduate Companion</w:t>
      </w:r>
    </w:p>
    <w:p>
      <w:pPr>
        <w:spacing w:before="0" w:after="80"/>
        <w:jc w:val="center"/>
      </w:pPr>
      <w:r>
        <w:rPr>
          <w:i/>
          <w:iCs/>
          <w:sz w:val="24"/>
          <w:szCs w:val="24"/>
        </w:rPr>
        <w:t xml:space="preserve">Comprehensive Review Report — Second Pass (Post-Revision)</w:t>
      </w:r>
    </w:p>
    <w:p>
      <w:pPr>
        <w:spacing w:before="0" w:after="360"/>
        <w:jc w:val="center"/>
      </w:pPr>
      <w:r>
        <w:rPr>
          <w:sz w:val="20"/>
          <w:szCs w:val="20"/>
        </w:rPr>
        <w:t xml:space="preserve">Reviewer: Claude Sonnet 4.6  |  Date: 4 March 2026</w:t>
      </w:r>
    </w:p>
    <w:p>
      <w:pPr>
        <w:pStyle w:val="Heading1"/>
        <w:spacing w:before="360" w:after="120"/>
      </w:pPr>
      <w:r>
        <w:t xml:space="preserve">0. Revision Audit: What Has Been Fixed</w:t>
      </w:r>
    </w:p>
    <w:p>
      <w:pPr>
        <w:spacing w:before="80" w:after="80"/>
      </w:pPr>
      <w:r>
        <w:rPr>
          <w:sz w:val="22"/>
          <w:szCs w:val="22"/>
        </w:rPr>
        <w:t xml:space="preserve">This second-pass review was conducted after the author applied a set of revisions. The table below tracks every issue raised in the first-pass review against its current resolution status.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shd w:fill="D9E2F3" w:val="clear"/>
          </w:tcPr>
          <w:p>
            <w:r>
              <w:rPr>
                <w:b/>
                <w:bCs/>
                <w:sz w:val="20"/>
                <w:szCs w:val="20"/>
              </w:rPr>
              <w:t xml:space="preserve">Issue (first-pass)</w:t>
            </w:r>
          </w:p>
        </w:tc>
        <w:tc>
          <w:tcPr>
            <w:tcW w:type="pct" w:w="20%"/>
            <w:shd w:fill="D9E2F3" w:val="clear"/>
          </w:tcPr>
          <w:p>
            <w:r>
              <w:rPr>
                <w:b/>
                <w:bCs/>
                <w:sz w:val="20"/>
                <w:szCs w:val="20"/>
              </w:rPr>
              <w:t xml:space="preserve">File(s)</w:t>
            </w:r>
          </w:p>
        </w:tc>
        <w:tc>
          <w:tcPr>
            <w:tcW w:type="pct" w:w="10%"/>
            <w:shd w:fill="D9E2F3" w:val="clear"/>
          </w:tcPr>
          <w:p>
            <w:r>
              <w:rPr>
                <w:b/>
                <w:bCs/>
                <w:sz w:val="20"/>
                <w:szCs w:val="20"/>
              </w:rPr>
              <w:t xml:space="preserve">Severity</w:t>
            </w:r>
          </w:p>
        </w:tc>
        <w:tc>
          <w:tcPr>
            <w:tcW w:type="pct" w:w="40%"/>
            <w:shd w:fill="D9E2F3" w:val="clear"/>
          </w:tcPr>
          <w:p>
            <w:r>
              <w:rPr>
                <w:b/>
                <w:bCs/>
                <w:sz w:val="20"/>
                <w:szCs w:val="20"/>
              </w:rPr>
              <w:t xml:space="preserve">Resolution</w:t>
            </w:r>
          </w:p>
        </w:tc>
      </w:tr>
      <w:tr>
        <w:tc>
          <w:tcPr>
            <w:tcW w:type="pct" w:w="30%"/>
          </w:tcPr>
          <w:p>
            <w:r>
              <w:rPr>
                <w:sz w:val="20"/>
                <w:szCs w:val="20"/>
              </w:rPr>
              <w:t xml:space="preserve">fl-intro.tex (Beamer slide file with personal emails) present in source directory</w:t>
            </w:r>
          </w:p>
        </w:tc>
        <w:tc>
          <w:tcPr>
            <w:tcW w:type="pct" w:w="20%"/>
          </w:tcPr>
          <w:p>
            <w:r>
              <w:rPr>
                <w:sz w:val="20"/>
                <w:szCs w:val="20"/>
              </w:rPr>
              <w:t xml:space="preserve">fl-intro.tex</w:t>
            </w:r>
          </w:p>
        </w:tc>
        <w:tc>
          <w:tcPr>
            <w:tcW w:type="pct" w:w="10%"/>
          </w:tcPr>
          <w:p>
            <w:r>
              <w:rPr>
                <w:sz w:val="20"/>
                <w:szCs w:val="20"/>
              </w:rPr>
              <w:t xml:space="preserve">CRITICAL</w:t>
            </w:r>
          </w:p>
        </w:tc>
        <w:tc>
          <w:tcPr>
            <w:tcW w:type="pct" w:w="40%"/>
          </w:tcPr>
          <w:p>
            <w:r>
              <w:rPr>
                <w:sz w:val="20"/>
                <w:szCs w:val="20"/>
              </w:rPr>
              <w:t xml:space="preserve">RESOLVED — file removed</w:t>
            </w:r>
          </w:p>
        </w:tc>
      </w:tr>
      <w:tr>
        <w:tc>
          <w:tcPr>
            <w:tcW w:type="pct" w:w="30%"/>
          </w:tcPr>
          <w:p>
            <w:r>
              <w:rPr>
                <w:sz w:val="20"/>
                <w:szCs w:val="20"/>
              </w:rPr>
              <w:t xml:space="preserve">Pre-activation naming collision: p/y (Ch.6) vs z/a (Ch.7)</w:t>
            </w:r>
          </w:p>
        </w:tc>
        <w:tc>
          <w:tcPr>
            <w:tcW w:type="pct" w:w="20%"/>
          </w:tcPr>
          <w:p>
            <w:r>
              <w:rPr>
                <w:sz w:val="20"/>
                <w:szCs w:val="20"/>
              </w:rPr>
              <w:t xml:space="preserve">lecture_3_part_ii.tex, lecture_4_part_i.tex</w:t>
            </w:r>
          </w:p>
        </w:tc>
        <w:tc>
          <w:tcPr>
            <w:tcW w:type="pct" w:w="10%"/>
          </w:tcPr>
          <w:p>
            <w:r>
              <w:rPr>
                <w:sz w:val="20"/>
                <w:szCs w:val="20"/>
              </w:rPr>
              <w:t xml:space="preserve">CRITICAL</w:t>
            </w:r>
          </w:p>
        </w:tc>
        <w:tc>
          <w:tcPr>
            <w:tcW w:type="pct" w:w="40%"/>
          </w:tcPr>
          <w:p>
            <w:r>
              <w:rPr>
                <w:sz w:val="20"/>
                <w:szCs w:val="20"/>
              </w:rPr>
              <w:t xml:space="preserve">RESOLVED — explicit p&lt;-&gt;z/y&lt;-&gt;a bridge added at lecture_4_part_i.tex line 94</w:t>
            </w:r>
          </w:p>
        </w:tc>
      </w:tr>
      <w:tr>
        <w:tc>
          <w:tcPr>
            <w:tcW w:type="pct" w:w="30%"/>
          </w:tcPr>
          <w:p>
            <w:r>
              <w:rPr>
                <w:sz w:val="20"/>
                <w:szCs w:val="20"/>
              </w:rPr>
              <w:t xml:space="preserve">QC markers left in source (% QC-BEGIN / % QC-END)</w:t>
            </w:r>
          </w:p>
        </w:tc>
        <w:tc>
          <w:tcPr>
            <w:tcW w:type="pct" w:w="20%"/>
          </w:tcPr>
          <w:p>
            <w:r>
              <w:rPr>
                <w:sz w:val="20"/>
                <w:szCs w:val="20"/>
              </w:rPr>
              <w:t xml:space="preserve">lecture_3_part_i.tex</w:t>
            </w:r>
          </w:p>
        </w:tc>
        <w:tc>
          <w:tcPr>
            <w:tcW w:type="pct" w:w="10%"/>
          </w:tcPr>
          <w:p>
            <w:r>
              <w:rPr>
                <w:sz w:val="20"/>
                <w:szCs w:val="20"/>
              </w:rPr>
              <w:t xml:space="preserve">HIGH</w:t>
            </w:r>
          </w:p>
        </w:tc>
        <w:tc>
          <w:tcPr>
            <w:tcW w:type="pct" w:w="40%"/>
          </w:tcPr>
          <w:p>
            <w:r>
              <w:rPr>
                <w:sz w:val="20"/>
                <w:szCs w:val="20"/>
              </w:rPr>
              <w:t xml:space="preserve">RESOLVED — markers removed</w:t>
            </w:r>
          </w:p>
        </w:tc>
      </w:tr>
      <w:tr>
        <w:tc>
          <w:tcPr>
            <w:tcW w:type="pct" w:w="30%"/>
          </w:tcPr>
          <w:p>
            <w:r>
              <w:rPr>
                <w:sz w:val="20"/>
                <w:szCs w:val="20"/>
              </w:rPr>
              <w:t xml:space="preserve">Auto-generated equation labels (eq:auto_...)</w:t>
            </w:r>
          </w:p>
        </w:tc>
        <w:tc>
          <w:tcPr>
            <w:tcW w:type="pct" w:w="20%"/>
          </w:tcPr>
          <w:p>
            <w:r>
              <w:rPr>
                <w:sz w:val="20"/>
                <w:szCs w:val="20"/>
              </w:rPr>
              <w:t xml:space="preserve">lecture_6.tex</w:t>
            </w:r>
          </w:p>
        </w:tc>
        <w:tc>
          <w:tcPr>
            <w:tcW w:type="pct" w:w="10%"/>
          </w:tcPr>
          <w:p>
            <w:r>
              <w:rPr>
                <w:sz w:val="20"/>
                <w:szCs w:val="20"/>
              </w:rPr>
              <w:t xml:space="preserve">HIGH</w:t>
            </w:r>
          </w:p>
        </w:tc>
        <w:tc>
          <w:tcPr>
            <w:tcW w:type="pct" w:w="40%"/>
          </w:tcPr>
          <w:p>
            <w:r>
              <w:rPr>
                <w:sz w:val="20"/>
                <w:szCs w:val="20"/>
              </w:rPr>
              <w:t xml:space="preserve">RESOLVED — labels removed</w:t>
            </w:r>
          </w:p>
        </w:tc>
      </w:tr>
      <w:tr>
        <w:tc>
          <w:tcPr>
            <w:tcW w:type="pct" w:w="30%"/>
          </w:tcPr>
          <w:p>
            <w:r>
              <w:rPr>
                <w:sz w:val="20"/>
                <w:szCs w:val="20"/>
              </w:rPr>
              <w:t xml:space="preserve">Missing Transformers node in roadmap figure</w:t>
            </w:r>
          </w:p>
        </w:tc>
        <w:tc>
          <w:tcPr>
            <w:tcW w:type="pct" w:w="20%"/>
          </w:tcPr>
          <w:p>
            <w:r>
              <w:rPr>
                <w:sz w:val="20"/>
                <w:szCs w:val="20"/>
              </w:rPr>
              <w:t xml:space="preserve">lecture_1_intro.tex</w:t>
            </w:r>
          </w:p>
        </w:tc>
        <w:tc>
          <w:tcPr>
            <w:tcW w:type="pct" w:w="10%"/>
          </w:tcPr>
          <w:p>
            <w:r>
              <w:rPr>
                <w:sz w:val="20"/>
                <w:szCs w:val="20"/>
              </w:rPr>
              <w:t xml:space="preserve">HIGH</w:t>
            </w:r>
          </w:p>
        </w:tc>
        <w:tc>
          <w:tcPr>
            <w:tcW w:type="pct" w:w="40%"/>
          </w:tcPr>
          <w:p>
            <w:r>
              <w:rPr>
                <w:sz w:val="20"/>
                <w:szCs w:val="20"/>
              </w:rPr>
              <w:t xml:space="preserve">RESOLVED — Transformers node added; lecture_transformers.tex referenced in ML-focused path</w:t>
            </w:r>
          </w:p>
        </w:tc>
      </w:tr>
      <w:tr>
        <w:tc>
          <w:tcPr>
            <w:tcW w:type="pct" w:w="30%"/>
          </w:tcPr>
          <w:p>
            <w:r>
              <w:rPr>
                <w:sz w:val="20"/>
                <w:szCs w:val="20"/>
              </w:rPr>
              <w:t xml:space="preserve">Prof. Karray not credited in Acknowledgments</w:t>
            </w:r>
          </w:p>
        </w:tc>
        <w:tc>
          <w:tcPr>
            <w:tcW w:type="pct" w:w="20%"/>
          </w:tcPr>
          <w:p>
            <w:r>
              <w:rPr>
                <w:sz w:val="20"/>
                <w:szCs w:val="20"/>
              </w:rPr>
              <w:t xml:space="preserve">acknowledgments.tex</w:t>
            </w:r>
          </w:p>
        </w:tc>
        <w:tc>
          <w:tcPr>
            <w:tcW w:type="pct" w:w="10%"/>
          </w:tcPr>
          <w:p>
            <w:r>
              <w:rPr>
                <w:sz w:val="20"/>
                <w:szCs w:val="20"/>
              </w:rPr>
              <w:t xml:space="preserve">HIGH</w:t>
            </w:r>
          </w:p>
        </w:tc>
        <w:tc>
          <w:tcPr>
            <w:tcW w:type="pct" w:w="40%"/>
          </w:tcPr>
          <w:p>
            <w:r>
              <w:rPr>
                <w:sz w:val="20"/>
                <w:szCs w:val="20"/>
              </w:rPr>
              <w:t xml:space="preserve">RESOLVED — explicit credit added at line 10</w:t>
            </w:r>
          </w:p>
        </w:tc>
      </w:tr>
      <w:tr>
        <w:tc>
          <w:tcPr>
            <w:tcW w:type="pct" w:w="30%"/>
          </w:tcPr>
          <w:p>
            <w:r>
              <w:rPr>
                <w:sz w:val="20"/>
                <w:szCs w:val="20"/>
              </w:rPr>
              <w:t xml:space="preserve">No subject index</w:t>
            </w:r>
          </w:p>
        </w:tc>
        <w:tc>
          <w:tcPr>
            <w:tcW w:type="pct" w:w="20%"/>
          </w:tcPr>
          <w:p>
            <w:r>
              <w:rPr>
                <w:sz w:val="20"/>
                <w:szCs w:val="20"/>
              </w:rPr>
              <w:t xml:space="preserve">ece657_notes.tex</w:t>
            </w:r>
          </w:p>
        </w:tc>
        <w:tc>
          <w:tcPr>
            <w:tcW w:type="pct" w:w="10%"/>
          </w:tcPr>
          <w:p>
            <w:r>
              <w:rPr>
                <w:sz w:val="20"/>
                <w:szCs w:val="20"/>
              </w:rPr>
              <w:t xml:space="preserve">HIGH</w:t>
            </w:r>
          </w:p>
        </w:tc>
        <w:tc>
          <w:tcPr>
            <w:tcW w:type="pct" w:w="40%"/>
          </w:tcPr>
          <w:p>
            <w:r>
              <w:rPr>
                <w:sz w:val="20"/>
                <w:szCs w:val="20"/>
              </w:rPr>
              <w:t xml:space="preserve">RESOLVED — \usepackage{makeidx}, \makeindex, \printindex added; \index{} markers present in chapter files</w:t>
            </w:r>
          </w:p>
        </w:tc>
      </w:tr>
      <w:tr>
        <w:tc>
          <w:tcPr>
            <w:tcW w:type="pct" w:w="30%"/>
          </w:tcPr>
          <w:p>
            <w:r>
              <w:rPr>
                <w:sz w:val="20"/>
                <w:szCs w:val="20"/>
              </w:rPr>
              <w:t xml:space="preserve">LSTM/GRU equations absent from RNN chapter</w:t>
            </w:r>
          </w:p>
        </w:tc>
        <w:tc>
          <w:tcPr>
            <w:tcW w:type="pct" w:w="20%"/>
          </w:tcPr>
          <w:p>
            <w:r>
              <w:rPr>
                <w:sz w:val="20"/>
                <w:szCs w:val="20"/>
              </w:rPr>
              <w:t xml:space="preserve">lecture_7.tex</w:t>
            </w:r>
          </w:p>
        </w:tc>
        <w:tc>
          <w:tcPr>
            <w:tcW w:type="pct" w:w="10%"/>
          </w:tcPr>
          <w:p>
            <w:r>
              <w:rPr>
                <w:sz w:val="20"/>
                <w:szCs w:val="20"/>
              </w:rPr>
              <w:t xml:space="preserve">HIGH</w:t>
            </w:r>
          </w:p>
        </w:tc>
        <w:tc>
          <w:tcPr>
            <w:tcW w:type="pct" w:w="40%"/>
          </w:tcPr>
          <w:p>
            <w:r>
              <w:rPr>
                <w:sz w:val="20"/>
                <w:szCs w:val="20"/>
              </w:rPr>
              <w:t xml:space="preserve">RESOLVED — full LSTM/GRU gate equations with citations added (line 606+)</w:t>
            </w:r>
          </w:p>
        </w:tc>
      </w:tr>
      <w:tr>
        <w:tc>
          <w:tcPr>
            <w:tcW w:type="pct" w:w="30%"/>
          </w:tcPr>
          <w:p>
            <w:r>
              <w:rPr>
                <w:sz w:val="20"/>
                <w:szCs w:val="20"/>
              </w:rPr>
              <w:t xml:space="preserve">YOLOv8 cited without bibliography entry</w:t>
            </w:r>
          </w:p>
        </w:tc>
        <w:tc>
          <w:tcPr>
            <w:tcW w:type="pct" w:w="20%"/>
          </w:tcPr>
          <w:p>
            <w:r>
              <w:rPr>
                <w:sz w:val="20"/>
                <w:szCs w:val="20"/>
              </w:rPr>
              <w:t xml:space="preserve">lecture_1_intro.tex, refs.bib</w:t>
            </w:r>
          </w:p>
        </w:tc>
        <w:tc>
          <w:tcPr>
            <w:tcW w:type="pct" w:w="10%"/>
          </w:tcPr>
          <w:p>
            <w:r>
              <w:rPr>
                <w:sz w:val="20"/>
                <w:szCs w:val="20"/>
              </w:rPr>
              <w:t xml:space="preserve">MEDIUM</w:t>
            </w:r>
          </w:p>
        </w:tc>
        <w:tc>
          <w:tcPr>
            <w:tcW w:type="pct" w:w="40%"/>
          </w:tcPr>
          <w:p>
            <w:r>
              <w:rPr>
                <w:sz w:val="20"/>
                <w:szCs w:val="20"/>
              </w:rPr>
              <w:t xml:space="preserve">RESOLVED — \citep{Jocher2023UltralyticsYOLOv8} added; bib entry at refs.bib line 1377</w:t>
            </w:r>
          </w:p>
        </w:tc>
      </w:tr>
      <w:tr>
        <w:tc>
          <w:tcPr>
            <w:tcW w:type="pct" w:w="30%"/>
          </w:tcPr>
          <w:p>
            <w:r>
              <w:rPr>
                <w:sz w:val="20"/>
                <w:szCs w:val="20"/>
              </w:rPr>
              <w:t xml:space="preserve">notation.tex read-order problem (text before table)</w:t>
            </w:r>
          </w:p>
        </w:tc>
        <w:tc>
          <w:tcPr>
            <w:tcW w:type="pct" w:w="20%"/>
          </w:tcPr>
          <w:p>
            <w:r>
              <w:rPr>
                <w:sz w:val="20"/>
                <w:szCs w:val="20"/>
              </w:rPr>
              <w:t xml:space="preserve">notation.tex</w:t>
            </w:r>
          </w:p>
        </w:tc>
        <w:tc>
          <w:tcPr>
            <w:tcW w:type="pct" w:w="10%"/>
          </w:tcPr>
          <w:p>
            <w:r>
              <w:rPr>
                <w:sz w:val="20"/>
                <w:szCs w:val="20"/>
              </w:rPr>
              <w:t xml:space="preserve">MEDIUM</w:t>
            </w:r>
          </w:p>
        </w:tc>
        <w:tc>
          <w:tcPr>
            <w:tcW w:type="pct" w:w="40%"/>
          </w:tcPr>
          <w:p>
            <w:r>
              <w:rPr>
                <w:sz w:val="20"/>
                <w:szCs w:val="20"/>
              </w:rPr>
              <w:t xml:space="preserve">RESOLVED — reordered: symbol table appears first</w:t>
            </w:r>
          </w:p>
        </w:tc>
      </w:tr>
      <w:tr>
        <w:tc>
          <w:tcPr>
            <w:tcW w:type="pct" w:w="30%"/>
          </w:tcPr>
          <w:p>
            <w:r>
              <w:rPr>
                <w:sz w:val="20"/>
                <w:szCs w:val="20"/>
              </w:rPr>
              <w:t xml:space="preserve">appendix_notation_collisions.tex missing n, d, phi vs varphi, W</w:t>
            </w:r>
          </w:p>
        </w:tc>
        <w:tc>
          <w:tcPr>
            <w:tcW w:type="pct" w:w="20%"/>
          </w:tcPr>
          <w:p>
            <w:r>
              <w:rPr>
                <w:sz w:val="20"/>
                <w:szCs w:val="20"/>
              </w:rPr>
              <w:t xml:space="preserve">appendix_notation_collisions.tex</w:t>
            </w:r>
          </w:p>
        </w:tc>
        <w:tc>
          <w:tcPr>
            <w:tcW w:type="pct" w:w="10%"/>
          </w:tcPr>
          <w:p>
            <w:r>
              <w:rPr>
                <w:sz w:val="20"/>
                <w:szCs w:val="20"/>
              </w:rPr>
              <w:t xml:space="preserve">MEDIUM</w:t>
            </w:r>
          </w:p>
        </w:tc>
        <w:tc>
          <w:tcPr>
            <w:tcW w:type="pct" w:w="40%"/>
          </w:tcPr>
          <w:p>
            <w:r>
              <w:rPr>
                <w:sz w:val="20"/>
                <w:szCs w:val="20"/>
              </w:rPr>
              <w:t xml:space="preserve">RESOLVED — n, d, t, h, phi/varphi/Phi entries added</w:t>
            </w:r>
          </w:p>
        </w:tc>
      </w:tr>
      <w:tr>
        <w:tc>
          <w:tcPr>
            <w:tcW w:type="pct" w:w="30%"/>
          </w:tcPr>
          <w:p>
            <w:r>
              <w:rPr>
                <w:sz w:val="20"/>
                <w:szCs w:val="20"/>
              </w:rPr>
              <w:t xml:space="preserve">\setcounter{secnumdepth}3 missing braces</w:t>
            </w:r>
          </w:p>
        </w:tc>
        <w:tc>
          <w:tcPr>
            <w:tcW w:type="pct" w:w="20%"/>
          </w:tcPr>
          <w:p>
            <w:r>
              <w:rPr>
                <w:sz w:val="20"/>
                <w:szCs w:val="20"/>
              </w:rPr>
              <w:t xml:space="preserve">ece657_notes.tex</w:t>
            </w:r>
          </w:p>
        </w:tc>
        <w:tc>
          <w:tcPr>
            <w:tcW w:type="pct" w:w="10%"/>
          </w:tcPr>
          <w:p>
            <w:r>
              <w:rPr>
                <w:sz w:val="20"/>
                <w:szCs w:val="20"/>
              </w:rPr>
              <w:t xml:space="preserve">MEDIUM</w:t>
            </w:r>
          </w:p>
        </w:tc>
        <w:tc>
          <w:tcPr>
            <w:tcW w:type="pct" w:w="40%"/>
          </w:tcPr>
          <w:p>
            <w:r>
              <w:rPr>
                <w:sz w:val="20"/>
                <w:szCs w:val="20"/>
              </w:rPr>
              <w:t xml:space="preserve">RESOLVED — corrected to \setcounter{secnumdepth}{3} (line 193)</w:t>
            </w:r>
          </w:p>
        </w:tc>
      </w:tr>
      <w:tr>
        <w:tc>
          <w:tcPr>
            <w:tcW w:type="pct" w:w="30%"/>
          </w:tcPr>
          <w:p>
            <w:r>
              <w:rPr>
                <w:sz w:val="20"/>
                <w:szCs w:val="20"/>
              </w:rPr>
              <w:t xml:space="preserve">Running headers show section number only (no title)</w:t>
            </w:r>
          </w:p>
        </w:tc>
        <w:tc>
          <w:tcPr>
            <w:tcW w:type="pct" w:w="20%"/>
          </w:tcPr>
          <w:p>
            <w:r>
              <w:rPr>
                <w:sz w:val="20"/>
                <w:szCs w:val="20"/>
              </w:rPr>
              <w:t xml:space="preserve">ece657_notes.tex</w:t>
            </w:r>
          </w:p>
        </w:tc>
        <w:tc>
          <w:tcPr>
            <w:tcW w:type="pct" w:w="10%"/>
          </w:tcPr>
          <w:p>
            <w:r>
              <w:rPr>
                <w:sz w:val="20"/>
                <w:szCs w:val="20"/>
              </w:rPr>
              <w:t xml:space="preserve">MEDIUM</w:t>
            </w:r>
          </w:p>
        </w:tc>
        <w:tc>
          <w:tcPr>
            <w:tcW w:type="pct" w:w="40%"/>
          </w:tcPr>
          <w:p>
            <w:r>
              <w:rPr>
                <w:sz w:val="20"/>
                <w:szCs w:val="20"/>
              </w:rPr>
              <w:t xml:space="preserve">RESOLVED — header updated to show truncated section title (lines 67-68)</w:t>
            </w:r>
          </w:p>
        </w:tc>
      </w:tr>
      <w:tr>
        <w:tc>
          <w:tcPr>
            <w:tcW w:type="pct" w:w="30%"/>
          </w:tcPr>
          <w:p>
            <w:r>
              <w:rPr>
                <w:sz w:val="20"/>
                <w:szCs w:val="20"/>
              </w:rPr>
              <w:t xml:space="preserve">Manual \markboth override in fuzzy inference chapter</w:t>
            </w:r>
          </w:p>
        </w:tc>
        <w:tc>
          <w:tcPr>
            <w:tcW w:type="pct" w:w="20%"/>
          </w:tcPr>
          <w:p>
            <w:r>
              <w:rPr>
                <w:sz w:val="20"/>
                <w:szCs w:val="20"/>
              </w:rPr>
              <w:t xml:space="preserve">lecture_10_part_ii.tex</w:t>
            </w:r>
          </w:p>
        </w:tc>
        <w:tc>
          <w:tcPr>
            <w:tcW w:type="pct" w:w="10%"/>
          </w:tcPr>
          <w:p>
            <w:r>
              <w:rPr>
                <w:sz w:val="20"/>
                <w:szCs w:val="20"/>
              </w:rPr>
              <w:t xml:space="preserve">MEDIUM</w:t>
            </w:r>
          </w:p>
        </w:tc>
        <w:tc>
          <w:tcPr>
            <w:tcW w:type="pct" w:w="40%"/>
          </w:tcPr>
          <w:p>
            <w:r>
              <w:rPr>
                <w:sz w:val="20"/>
                <w:szCs w:val="20"/>
              </w:rPr>
              <w:t xml:space="preserve">RESOLVED — manual override removed</w:t>
            </w:r>
          </w:p>
        </w:tc>
      </w:tr>
      <w:tr>
        <w:tc>
          <w:tcPr>
            <w:tcW w:type="pct" w:w="30%"/>
          </w:tcPr>
          <w:p>
            <w:r>
              <w:rPr>
                <w:sz w:val="20"/>
                <w:szCs w:val="20"/>
              </w:rPr>
              <w:t xml:space="preserve">appendix_logistics.tex (course-specific) included in published build</w:t>
            </w:r>
          </w:p>
        </w:tc>
        <w:tc>
          <w:tcPr>
            <w:tcW w:type="pct" w:w="20%"/>
          </w:tcPr>
          <w:p>
            <w:r>
              <w:rPr>
                <w:sz w:val="20"/>
                <w:szCs w:val="20"/>
              </w:rPr>
              <w:t xml:space="preserve">book_appendices.tex / ece657_notes.tex</w:t>
            </w:r>
          </w:p>
        </w:tc>
        <w:tc>
          <w:tcPr>
            <w:tcW w:type="pct" w:w="10%"/>
          </w:tcPr>
          <w:p>
            <w:r>
              <w:rPr>
                <w:sz w:val="20"/>
                <w:szCs w:val="20"/>
              </w:rPr>
              <w:t xml:space="preserve">MEDIUM</w:t>
            </w:r>
          </w:p>
        </w:tc>
        <w:tc>
          <w:tcPr>
            <w:tcW w:type="pct" w:w="40%"/>
          </w:tcPr>
          <w:p>
            <w:r>
              <w:rPr>
                <w:sz w:val="20"/>
                <w:szCs w:val="20"/>
              </w:rPr>
              <w:t xml:space="preserve">RESOLVED — file removed from all include lists</w:t>
            </w:r>
          </w:p>
        </w:tc>
      </w:tr>
      <w:tr>
        <w:tc>
          <w:tcPr>
            <w:tcW w:type="pct" w:w="30%"/>
          </w:tcPr>
          <w:p>
            <w:r>
              <w:rPr>
                <w:sz w:val="20"/>
                <w:szCs w:val="20"/>
              </w:rPr>
              <w:t xml:space="preserve">Row vs. column notation conflict (w^T x vs x W)</w:t>
            </w:r>
          </w:p>
        </w:tc>
        <w:tc>
          <w:tcPr>
            <w:tcW w:type="pct" w:w="20%"/>
          </w:tcPr>
          <w:p>
            <w:r>
              <w:rPr>
                <w:sz w:val="20"/>
                <w:szCs w:val="20"/>
              </w:rPr>
              <w:t xml:space="preserve">lecture_3_part_i.tex</w:t>
            </w:r>
          </w:p>
        </w:tc>
        <w:tc>
          <w:tcPr>
            <w:tcW w:type="pct" w:w="10%"/>
          </w:tcPr>
          <w:p>
            <w:r>
              <w:rPr>
                <w:sz w:val="20"/>
                <w:szCs w:val="20"/>
              </w:rPr>
              <w:t xml:space="preserve">HIGH</w:t>
            </w:r>
          </w:p>
        </w:tc>
        <w:tc>
          <w:tcPr>
            <w:tcW w:type="pct" w:w="40%"/>
          </w:tcPr>
          <w:p>
            <w:r>
              <w:rPr>
                <w:sz w:val="20"/>
                <w:szCs w:val="20"/>
              </w:rPr>
              <w:t xml:space="preserve">RESOLVED — explicit reconciliation note added at line 334</w:t>
            </w:r>
          </w:p>
        </w:tc>
      </w:tr>
      <w:tr>
        <w:tc>
          <w:tcPr>
            <w:tcW w:type="pct" w:w="30%"/>
          </w:tcPr>
          <w:p>
            <w:r>
              <w:rPr>
                <w:sz w:val="20"/>
                <w:szCs w:val="20"/>
              </w:rPr>
              <w:t xml:space="preserve">No formal exercises in any chapter</w:t>
            </w:r>
          </w:p>
        </w:tc>
        <w:tc>
          <w:tcPr>
            <w:tcW w:type="pct" w:w="20%"/>
          </w:tcPr>
          <w:p>
            <w:r>
              <w:rPr>
                <w:sz w:val="20"/>
                <w:szCs w:val="20"/>
              </w:rPr>
              <w:t xml:space="preserve">All lecture files</w:t>
            </w:r>
          </w:p>
        </w:tc>
        <w:tc>
          <w:tcPr>
            <w:tcW w:type="pct" w:w="10%"/>
          </w:tcPr>
          <w:p>
            <w:r>
              <w:rPr>
                <w:sz w:val="20"/>
                <w:szCs w:val="20"/>
              </w:rPr>
              <w:t xml:space="preserve">MEDIUM</w:t>
            </w:r>
          </w:p>
        </w:tc>
        <w:tc>
          <w:tcPr>
            <w:tcW w:type="pct" w:w="40%"/>
          </w:tcPr>
          <w:p>
            <w:r>
              <w:rPr>
                <w:sz w:val="20"/>
                <w:szCs w:val="20"/>
              </w:rPr>
              <w:t xml:space="preserve">PARTIAL — exercises added to 3 chapters; 16 of 19 still have no exercises</w:t>
            </w:r>
          </w:p>
        </w:tc>
      </w:tr>
      <w:tr>
        <w:tc>
          <w:tcPr>
            <w:tcW w:type="pct" w:w="30%"/>
          </w:tcPr>
          <w:p>
            <w:r>
              <w:rPr>
                <w:sz w:val="20"/>
                <w:szCs w:val="20"/>
              </w:rPr>
              <w:t xml:space="preserve">No copyright page</w:t>
            </w:r>
          </w:p>
        </w:tc>
        <w:tc>
          <w:tcPr>
            <w:tcW w:type="pct" w:w="20%"/>
          </w:tcPr>
          <w:p>
            <w:r>
              <w:rPr>
                <w:sz w:val="20"/>
                <w:szCs w:val="20"/>
              </w:rPr>
              <w:t xml:space="preserve">ece657_notes.tex</w:t>
            </w:r>
          </w:p>
        </w:tc>
        <w:tc>
          <w:tcPr>
            <w:tcW w:type="pct" w:w="10%"/>
          </w:tcPr>
          <w:p>
            <w:r>
              <w:rPr>
                <w:sz w:val="20"/>
                <w:szCs w:val="20"/>
              </w:rPr>
              <w:t xml:space="preserve">MEDIUM</w:t>
            </w:r>
          </w:p>
        </w:tc>
        <w:tc>
          <w:tcPr>
            <w:tcW w:type="pct" w:w="40%"/>
          </w:tcPr>
          <w:p>
            <w:r>
              <w:rPr>
                <w:sz w:val="20"/>
                <w:szCs w:val="20"/>
              </w:rPr>
              <w:t xml:space="preserve">RESOLVED — copyright.tex added with proper notice (2026, Haitham Amar)</w:t>
            </w:r>
          </w:p>
        </w:tc>
      </w:tr>
      <w:tr>
        <w:tc>
          <w:tcPr>
            <w:tcW w:type="pct" w:w="30%"/>
          </w:tcPr>
          <w:p>
            <w:r>
              <w:rPr>
                <w:sz w:val="20"/>
                <w:szCs w:val="20"/>
              </w:rPr>
              <w:t xml:space="preserve">$&lt;200$\, ms not using siunitx</w:t>
            </w:r>
          </w:p>
        </w:tc>
        <w:tc>
          <w:tcPr>
            <w:tcW w:type="pct" w:w="20%"/>
          </w:tcPr>
          <w:p>
            <w:r>
              <w:rPr>
                <w:sz w:val="20"/>
                <w:szCs w:val="20"/>
              </w:rPr>
              <w:t xml:space="preserve">lecture_1_intro.tex line 179</w:t>
            </w:r>
          </w:p>
        </w:tc>
        <w:tc>
          <w:tcPr>
            <w:tcW w:type="pct" w:w="10%"/>
          </w:tcPr>
          <w:p>
            <w:r>
              <w:rPr>
                <w:sz w:val="20"/>
                <w:szCs w:val="20"/>
              </w:rPr>
              <w:t xml:space="preserve">LOW</w:t>
            </w:r>
          </w:p>
        </w:tc>
        <w:tc>
          <w:tcPr>
            <w:tcW w:type="pct" w:w="40%"/>
          </w:tcPr>
          <w:p>
            <w:r>
              <w:rPr>
                <w:sz w:val="20"/>
                <w:szCs w:val="20"/>
              </w:rPr>
              <w:t xml:space="preserve">OPEN — still uses raw $&lt;200$\, ms instead of \qty{200}{\milli\second}</w:t>
            </w:r>
          </w:p>
        </w:tc>
      </w:tr>
      <w:tr>
        <w:tc>
          <w:tcPr>
            <w:tcW w:type="pct" w:w="30%"/>
          </w:tcPr>
          <w:p>
            <w:r>
              <w:rPr>
                <w:sz w:val="20"/>
                <w:szCs w:val="20"/>
              </w:rPr>
              <w:t xml:space="preserve">No Part-level structure</w:t>
            </w:r>
          </w:p>
        </w:tc>
        <w:tc>
          <w:tcPr>
            <w:tcW w:type="pct" w:w="20%"/>
          </w:tcPr>
          <w:p>
            <w:r>
              <w:rPr>
                <w:sz w:val="20"/>
                <w:szCs w:val="20"/>
              </w:rPr>
              <w:t xml:space="preserve">ece657_notes.tex</w:t>
            </w:r>
          </w:p>
        </w:tc>
        <w:tc>
          <w:tcPr>
            <w:tcW w:type="pct" w:w="10%"/>
          </w:tcPr>
          <w:p>
            <w:r>
              <w:rPr>
                <w:sz w:val="20"/>
                <w:szCs w:val="20"/>
              </w:rPr>
              <w:t xml:space="preserve">MEDIUM</w:t>
            </w:r>
          </w:p>
        </w:tc>
        <w:tc>
          <w:tcPr>
            <w:tcW w:type="pct" w:w="40%"/>
          </w:tcPr>
          <w:p>
            <w:r>
              <w:rPr>
                <w:sz w:val="20"/>
                <w:szCs w:val="20"/>
              </w:rPr>
              <w:t xml:space="preserve">RESOLVED — book_chapters.tex introduces Parts I-IV with bridge boxes and takeaways</w:t>
            </w:r>
          </w:p>
        </w:tc>
      </w:tr>
      <w:tr>
        <w:tc>
          <w:tcPr>
            <w:tcW w:type="pct" w:w="30%"/>
          </w:tcPr>
          <w:p>
            <w:r>
              <w:rPr>
                <w:sz w:val="20"/>
                <w:szCs w:val="20"/>
              </w:rPr>
              <w:t xml:space="preserve">No ebook build path</w:t>
            </w:r>
          </w:p>
        </w:tc>
        <w:tc>
          <w:tcPr>
            <w:tcW w:type="pct" w:w="20%"/>
          </w:tcPr>
          <w:p>
            <w:r>
              <w:rPr>
                <w:sz w:val="20"/>
                <w:szCs w:val="20"/>
              </w:rPr>
              <w:t xml:space="preserve">(new)</w:t>
            </w:r>
          </w:p>
        </w:tc>
        <w:tc>
          <w:tcPr>
            <w:tcW w:type="pct" w:w="10%"/>
          </w:tcPr>
          <w:p>
            <w:r>
              <w:rPr>
                <w:sz w:val="20"/>
                <w:szCs w:val="20"/>
              </w:rPr>
              <w:t xml:space="preserve">LOW</w:t>
            </w:r>
          </w:p>
        </w:tc>
        <w:tc>
          <w:tcPr>
            <w:tcW w:type="pct" w:w="40%"/>
          </w:tcPr>
          <w:p>
            <w:r>
              <w:rPr>
                <w:sz w:val="20"/>
                <w:szCs w:val="20"/>
              </w:rPr>
              <w:t xml:space="preserve">NEW — ece657_ebook.tex added as dedicated TeX4ht/EPUB entrypoint</w:t>
            </w:r>
          </w:p>
        </w:tc>
      </w:tr>
    </w:tbl>
    <w:p/>
    <w:p>
      <w:pPr>
        <w:spacing w:before="80" w:after="80"/>
      </w:pPr>
      <w:r>
        <w:rPr>
          <w:sz w:val="22"/>
          <w:szCs w:val="22"/>
        </w:rPr>
        <w:t xml:space="preserve">Summary: 19 of 21 tracked issues are fully resolved. Two items remain open or partially addressed.</w:t>
      </w:r>
    </w:p>
    <w:p>
      <w:pPr>
        <w:pStyle w:val="Heading1"/>
        <w:spacing w:before="360" w:after="120"/>
      </w:pPr>
      <w:r>
        <w:t xml:space="preserve">1. Remaining Open Issues</w:t>
      </w:r>
    </w:p>
    <w:p>
      <w:pPr>
        <w:pStyle w:val="Heading2"/>
        <w:spacing w:before="240" w:after="80"/>
      </w:pPr>
      <w:r>
        <w:t xml:space="preserve">1.1  LOW — lecture_1_intro.tex line 179: bare $&lt;200$, ms</w:t>
      </w:r>
    </w:p>
    <w:p>
      <w:pPr>
        <w:spacing w:before="80" w:after="80"/>
      </w:pPr>
      <w:r>
        <w:rPr>
          <w:sz w:val="22"/>
          <w:szCs w:val="22"/>
        </w:rPr>
        <w:t xml:space="preserve">The latency constraint is written using plain-math mode rather than the siunitx package already loaded in the preamble. This is a cosmetic consistency issue.</w:t>
      </w:r>
    </w:p>
    <w:p>
      <w:pPr>
        <w:spacing w:before="80" w:after="80"/>
      </w:pPr>
      <w:r>
        <w:rPr>
          <w:sz w:val="22"/>
          <w:szCs w:val="22"/>
        </w:rPr>
        <w:t xml:space="preserve">File: lecture_1_intro.tex</w:t>
      </w:r>
    </w:p>
    <w:p>
      <w:pPr>
        <w:spacing w:before="80" w:after="80"/>
      </w:pPr>
      <w:r>
        <w:rPr>
          <w:sz w:val="22"/>
          <w:szCs w:val="22"/>
        </w:rPr>
        <w:t xml:space="preserve">Line: 179</w:t>
      </w:r>
    </w:p>
    <w:p>
      <w:pPr>
        <w:spacing w:before="80" w:after="80"/>
      </w:pPr>
      <w:r>
        <w:rPr>
          <w:sz w:val="22"/>
          <w:szCs w:val="22"/>
        </w:rPr>
        <w:t xml:space="preserve">Current:  $&lt;200$\, ms end-to-end latency</w:t>
      </w:r>
    </w:p>
    <w:p>
      <w:pPr>
        <w:spacing w:before="80" w:after="80"/>
      </w:pPr>
      <w:r>
        <w:rPr>
          <w:sz w:val="22"/>
          <w:szCs w:val="22"/>
        </w:rPr>
        <w:t xml:space="preserve">Recommended:  $&lt; \qty{200}{\milli\second}$ end-to-end latency</w:t>
      </w:r>
    </w:p>
    <w:p/>
    <w:p>
      <w:pPr>
        <w:pStyle w:val="Heading2"/>
        <w:spacing w:before="240" w:after="80"/>
      </w:pPr>
      <w:r>
        <w:t xml:space="preserve">1.2  MEDIUM — Exercises present in only 3 of 19 chapters</w:t>
      </w:r>
    </w:p>
    <w:p>
      <w:pPr>
        <w:spacing w:before="80" w:after="80"/>
      </w:pPr>
      <w:r>
        <w:rPr>
          <w:sz w:val="22"/>
          <w:szCs w:val="22"/>
        </w:rPr>
        <w:t xml:space="preserve">The revision added exercises to lecture_supervised.tex, lecture_2_part_i.tex, and lecture_3_part_i.tex (3 exercises each with Easy/Medium leveling). This is a meaningful first step. However, 16 chapters still have no exercises. The highest-priority gaps are:</w:t>
      </w:r>
    </w:p>
    <w:p>
      <w:pPr>
        <w:pStyle w:val="ListParagraph"/>
        <w:numPr>
          <w:ilvl w:val="0"/>
          <w:numId w:val="1"/>
        </w:numPr>
        <w:spacing w:before="40" w:after="40"/>
      </w:pPr>
      <w:r>
        <w:t xml:space="preserve">lecture_4_part_i.tex (Ch.7: Backpropagation) — the most computation-heavy chapter; an implement-and-gradient-check exercise is essential</w:t>
      </w:r>
    </w:p>
    <w:p>
      <w:pPr>
        <w:pStyle w:val="ListParagraph"/>
        <w:numPr>
          <w:ilvl w:val="0"/>
          <w:numId w:val="1"/>
        </w:numPr>
        <w:spacing w:before="40" w:after="40"/>
      </w:pPr>
      <w:r>
        <w:t xml:space="preserve">lecture_transformers.tex (Ch.14: Transformers) — attention masking and positional encoding exercises would reinforce the most complex chapter</w:t>
      </w:r>
    </w:p>
    <w:p>
      <w:pPr>
        <w:pStyle w:val="ListParagraph"/>
        <w:numPr>
          <w:ilvl w:val="0"/>
          <w:numId w:val="1"/>
        </w:numPr>
        <w:spacing w:before="40" w:after="40"/>
      </w:pPr>
      <w:r>
        <w:t xml:space="preserve">lecture_10_part_ii.tex (Ch.18: Fuzzy Inference) — numerical defuzzification trace exercises align with the book's worked-example style</w:t>
      </w:r>
    </w:p>
    <w:p>
      <w:pPr>
        <w:pStyle w:val="ListParagraph"/>
        <w:numPr>
          <w:ilvl w:val="0"/>
          <w:numId w:val="1"/>
        </w:numPr>
        <w:spacing w:before="40" w:after="40"/>
      </w:pPr>
      <w:r>
        <w:t xml:space="preserve">lecture_11.tex (Ch.19: Evolutionary Computing) — a one-generation GA trace (selection + crossover + mutation) is a natural counterpart to the perceptron OR trace in Ch.5</w:t>
      </w:r>
    </w:p>
    <w:p>
      <w:pPr>
        <w:spacing w:before="80" w:after="80"/>
      </w:pPr>
      <w:r>
        <w:rPr>
          <w:sz w:val="22"/>
          <w:szCs w:val="22"/>
        </w:rPr>
        <w:t xml:space="preserve">Recommendation: add a minimum of 2-3 exercises per remaining chapter. The leveling pattern (Easy/Medium) already established is good; extend it consistently.</w:t>
      </w:r>
    </w:p>
    <w:p>
      <w:pPr>
        <w:pStyle w:val="Heading1"/>
        <w:spacing w:before="360" w:after="120"/>
      </w:pPr>
      <w:r>
        <w:t xml:space="preserve">2. New Strengths Introduced in This Revision</w:t>
      </w:r>
    </w:p>
    <w:p>
      <w:pPr>
        <w:pStyle w:val="Heading2"/>
        <w:spacing w:before="240" w:after="80"/>
      </w:pPr>
      <w:r>
        <w:t xml:space="preserve">2.1  Parts structure with bridge boxes (book_chapters.tex)</w:t>
      </w:r>
    </w:p>
    <w:p>
      <w:pPr>
        <w:spacing w:before="80" w:after="80"/>
      </w:pPr>
      <w:r>
        <w:rPr>
          <w:sz w:val="22"/>
          <w:szCs w:val="22"/>
        </w:rPr>
        <w:t xml:space="preserve">The addition of four named Parts with rolling-window orientation boxes and Part-level takeaways is a significant structural improvement. A reader who enters mid-book now has immediate context for the conceptual journey. The bridge boxes connect each Part's theme to the preceding one without redundancy.</w:t>
      </w:r>
    </w:p>
    <w:p>
      <w:pPr>
        <w:pStyle w:val="Heading2"/>
        <w:spacing w:before="240" w:after="80"/>
      </w:pPr>
      <w:r>
        <w:t xml:space="preserve">2.2  Notation bridge in backpropagation chapter (lecture_4_part_i.tex line 94)</w:t>
      </w:r>
    </w:p>
    <w:p>
      <w:pPr>
        <w:spacing w:before="80" w:after="80"/>
      </w:pPr>
      <w:r>
        <w:rPr>
          <w:sz w:val="22"/>
          <w:szCs w:val="22"/>
        </w:rPr>
        <w:t xml:space="preserve">The sentence "In this chapter we use the standard deep-learning pair a=f(z): p&lt;-&gt;z and y&lt;-&gt;a. The calculus is unchanged; the notation just scales cleanly to many layers." elegantly resolves what was a silent notation switch. The forward reference to appendix_notation_collisions.tex further anchors it for the out-of-order reader.</w:t>
      </w:r>
    </w:p>
    <w:p>
      <w:pPr>
        <w:pStyle w:val="Heading2"/>
        <w:spacing w:before="240" w:after="80"/>
      </w:pPr>
      <w:r>
        <w:t xml:space="preserve">2.3  Complete LSTM/GRU gate equations (lecture_7.tex line 606+)</w:t>
      </w:r>
    </w:p>
    <w:p>
      <w:pPr>
        <w:spacing w:before="80" w:after="80"/>
      </w:pPr>
      <w:r>
        <w:rPr>
          <w:sz w:val="22"/>
          <w:szCs w:val="22"/>
        </w:rPr>
        <w:t xml:space="preserve">The revised RNN chapter now includes full LSTM state-update equations (c_t = f_t o c_{t-1} + i_t o c~_t; h_t = o_t o tanh(c_t)) and GRU update equations (h_t = (1-z_t) o h_{t-1} + z_t o h~_t), cell diagrams, and citations to Hochreiter1997, Gers2000, and Cho2014. This was the most significant scientific gap in the first version and is now fully addressed.</w:t>
      </w:r>
    </w:p>
    <w:p>
      <w:pPr>
        <w:pStyle w:val="Heading2"/>
        <w:spacing w:before="240" w:after="80"/>
      </w:pPr>
      <w:r>
        <w:t xml:space="preserve">2.4  Expanded notation collision appendix</w:t>
      </w:r>
    </w:p>
    <w:p>
      <w:pPr>
        <w:spacing w:before="80" w:after="80"/>
      </w:pPr>
      <w:r>
        <w:rPr>
          <w:sz w:val="22"/>
          <w:szCs w:val="22"/>
        </w:rPr>
        <w:t xml:space="preserve">The appendix now covers nine collision categories including the new entries for n, d, t, h, and phi/varphi/Phi. The phi/varphi/Phi entry is especially valuable: it explicitly assigns phi(.) to kernel feature maps, varphi(.) to RBF basis functions, and Phi to the design matrix — a three-way disambiguation that frequently causes confusion in the machine learning literature.</w:t>
      </w:r>
    </w:p>
    <w:p>
      <w:pPr>
        <w:pStyle w:val="Heading2"/>
        <w:spacing w:before="240" w:after="80"/>
      </w:pPr>
      <w:r>
        <w:t xml:space="preserve">2.5  Copyright page and ebook entrypoint</w:t>
      </w:r>
    </w:p>
    <w:p>
      <w:pPr>
        <w:spacing w:before="80" w:after="80"/>
      </w:pPr>
      <w:r>
        <w:rPr>
          <w:sz w:val="22"/>
          <w:szCs w:val="22"/>
        </w:rPr>
        <w:t xml:space="preserve">copyright.tex provides proper legal boilerplate. ece657_ebook.tex is a production-grade TeX4ht entrypoint with \ifdefined\HCode guards for active &lt; and &gt; characters in math, adjustbox compatibility, raster image extension preferences, and microtype bypass. This level of care is uncommon for a self-published technical book and will prevent fragile build failures in alternative format targets.</w:t>
      </w:r>
    </w:p>
    <w:p>
      <w:pPr>
        <w:pStyle w:val="Heading2"/>
        <w:spacing w:before="240" w:after="80"/>
      </w:pPr>
      <w:r>
        <w:t xml:space="preserve">2.6  Running header now includes truncated section title</w:t>
      </w:r>
    </w:p>
    <w:p>
      <w:pPr>
        <w:spacing w:before="80" w:after="80"/>
      </w:pPr>
      <w:r>
        <w:rPr>
          <w:sz w:val="22"/>
          <w:szCs w:val="22"/>
        </w:rPr>
        <w:t xml:space="preserve">The updated header (ece657_notes.tex lines 67-68) prints the chapter number followed by a gracefully truncated title using the truncate package, preventing long headings from overflowing the margin while keeping the reader oriented on every page spread.</w:t>
      </w:r>
    </w:p>
    <w:p>
      <w:pPr>
        <w:pStyle w:val="Heading2"/>
        <w:spacing w:before="240" w:after="80"/>
      </w:pPr>
      <w:r>
        <w:t xml:space="preserve">2.7  Subject index infrastructure</w:t>
      </w:r>
    </w:p>
    <w:p>
      <w:pPr>
        <w:spacing w:before="80" w:after="80"/>
      </w:pPr>
      <w:r>
        <w:rPr>
          <w:sz w:val="22"/>
          <w:szCs w:val="22"/>
        </w:rPr>
        <w:t xml:space="preserve">The makeidx package, \makeindex call, and \printindex invocation are now in ece657_notes.tex, and \index{} markers are present throughout the chapter files (verified in lecture_3_part_ii.tex and others). Running makeindex will produce a full subject index. This was a high-severity gap in the first version.</w:t>
      </w:r>
    </w:p>
    <w:p>
      <w:pPr>
        <w:pStyle w:val="Heading1"/>
        <w:spacing w:before="360" w:after="120"/>
      </w:pPr>
      <w:r>
        <w:t xml:space="preserve">3. Minor Observations (informational)</w:t>
      </w:r>
    </w:p>
    <w:p>
      <w:pPr>
        <w:pStyle w:val="Heading2"/>
        <w:spacing w:before="240" w:after="80"/>
      </w:pPr>
      <w:r>
        <w:t xml:space="preserve">3.1  Exercises leveling scheme is consistent but solutions are not signposted</w:t>
      </w:r>
    </w:p>
    <w:p>
      <w:pPr>
        <w:spacing w:before="80" w:after="80"/>
      </w:pPr>
      <w:r>
        <w:rPr>
          <w:sz w:val="22"/>
          <w:szCs w:val="22"/>
        </w:rPr>
        <w:t xml:space="preserve">The Easy/Medium leveling pattern is good. There is no statement about where solutions are available (instructor package, companion website, or absent). For a graduate companion, a brief note managing expectations would be helpful.</w:t>
      </w:r>
    </w:p>
    <w:p>
      <w:pPr>
        <w:pStyle w:val="Heading2"/>
        <w:spacing w:before="240" w:after="80"/>
      </w:pPr>
      <w:r>
        <w:t xml:space="preserve">3.2  No dedicated Further Reading in most chapters</w:t>
      </w:r>
    </w:p>
    <w:p>
      <w:pPr>
        <w:spacing w:before="80" w:after="80"/>
      </w:pPr>
      <w:r>
        <w:rPr>
          <w:sz w:val="22"/>
          <w:szCs w:val="22"/>
        </w:rPr>
        <w:t xml:space="preserve">Most chapters end with summary boxes but no Further Reading pointer. This is not a gap per se given the strong bibliography, but a one-paragraph section in the deeper chapters (RNN, Transformers, Fuzzy Inference) would increase utility as a research stepping-stone.</w:t>
      </w:r>
    </w:p>
    <w:p>
      <w:pPr>
        <w:pStyle w:val="Heading2"/>
        <w:spacing w:before="240" w:after="80"/>
      </w:pPr>
      <w:r>
        <w:t xml:space="preserve">3.3  appendix_logistics.tex is orphaned on disk</w:t>
      </w:r>
    </w:p>
    <w:p>
      <w:pPr>
        <w:spacing w:before="80" w:after="80"/>
      </w:pPr>
      <w:r>
        <w:rPr>
          <w:sz w:val="22"/>
          <w:szCs w:val="22"/>
        </w:rPr>
        <w:t xml:space="preserve">The file is no longer in any include chain (confirmed correct). It still exists on disk. While harmless to the build, archiving it prevents future confusion about whether it is an active appendix.</w:t>
      </w:r>
    </w:p>
    <w:p>
      <w:pPr>
        <w:pStyle w:val="Heading2"/>
        <w:spacing w:before="240" w:after="80"/>
      </w:pPr>
      <w:r>
        <w:t xml:space="preserve">3.4  Part IV unifying-lens refrain is technically inaccurate</w:t>
      </w:r>
    </w:p>
    <w:p>
      <w:pPr>
        <w:spacing w:before="80" w:after="80"/>
      </w:pPr>
      <w:r>
        <w:rPr>
          <w:sz w:val="22"/>
          <w:szCs w:val="22"/>
        </w:rPr>
        <w:t xml:space="preserve">All four Part takeaways boxes end with the identical sentence: "Unifying lens: this Part fixes the representation and feedback signal, and the rest is choosing an update rule plus audits that prevent silent failure." By Part IV (Evolutionary Computing) the sentence is slightly misleading because evolutionary algorithms explicitly do not use a fixed-representation gradient update loop. Suggested Part IV variant: "Unifying lens: this Part removes the gradient and asks what discipline is needed when the feedback signal is noisy, sparse, or available only as a fitness rank."</w:t>
      </w:r>
    </w:p>
    <w:p>
      <w:pPr>
        <w:pStyle w:val="Heading2"/>
        <w:spacing w:before="240" w:after="80"/>
      </w:pPr>
      <w:r>
        <w:t xml:space="preserve">3.5  ece657_ebook.tex does not include copyright.tex</w:t>
      </w:r>
    </w:p>
    <w:p>
      <w:pPr>
        <w:spacing w:before="80" w:after="80"/>
      </w:pPr>
      <w:r>
        <w:rPr>
          <w:sz w:val="22"/>
          <w:szCs w:val="22"/>
        </w:rPr>
        <w:t xml:space="preserve">ece657_notes.tex includes \input{copyright.tex} after \maketitle (confirmed). ece657_ebook.tex does not. Ebook consumers should see the copyright notice. Recommended fix: add \input{copyright.tex} immediately after \maketitle in ece657_ebook.tex (currently line ~207).</w:t>
      </w:r>
    </w:p>
    <w:p>
      <w:pPr>
        <w:pStyle w:val="Heading1"/>
        <w:spacing w:before="360" w:after="120"/>
      </w:pPr>
      <w:r>
        <w:t xml:space="preserve">4. Priority Action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8%"/>
            <w:shd w:fill="D9E2F3" w:val="clear"/>
          </w:tcPr>
          <w:p>
            <w:r>
              <w:rPr>
                <w:b/>
                <w:bCs/>
                <w:sz w:val="20"/>
                <w:szCs w:val="20"/>
              </w:rPr>
              <w:t xml:space="preserve">Priority</w:t>
            </w:r>
          </w:p>
        </w:tc>
        <w:tc>
          <w:tcPr>
            <w:tcW w:type="pct" w:w="20%"/>
            <w:shd w:fill="D9E2F3" w:val="clear"/>
          </w:tcPr>
          <w:p>
            <w:r>
              <w:rPr>
                <w:b/>
                <w:bCs/>
                <w:sz w:val="20"/>
                <w:szCs w:val="20"/>
              </w:rPr>
              <w:t xml:space="preserve">File</w:t>
            </w:r>
          </w:p>
        </w:tc>
        <w:tc>
          <w:tcPr>
            <w:tcW w:type="pct" w:w="6%"/>
            <w:shd w:fill="D9E2F3" w:val="clear"/>
          </w:tcPr>
          <w:p>
            <w:r>
              <w:rPr>
                <w:b/>
                <w:bCs/>
                <w:sz w:val="20"/>
                <w:szCs w:val="20"/>
              </w:rPr>
              <w:t xml:space="preserve">Line</w:t>
            </w:r>
          </w:p>
        </w:tc>
        <w:tc>
          <w:tcPr>
            <w:tcW w:type="pct" w:w="30%"/>
            <w:shd w:fill="D9E2F3" w:val="clear"/>
          </w:tcPr>
          <w:p>
            <w:r>
              <w:rPr>
                <w:b/>
                <w:bCs/>
                <w:sz w:val="20"/>
                <w:szCs w:val="20"/>
              </w:rPr>
              <w:t xml:space="preserve">Issue</w:t>
            </w:r>
          </w:p>
        </w:tc>
        <w:tc>
          <w:tcPr>
            <w:tcW w:type="pct" w:w="36%"/>
            <w:shd w:fill="D9E2F3" w:val="clear"/>
          </w:tcPr>
          <w:p>
            <w:r>
              <w:rPr>
                <w:b/>
                <w:bCs/>
                <w:sz w:val="20"/>
                <w:szCs w:val="20"/>
              </w:rPr>
              <w:t xml:space="preserve">Action</w:t>
            </w:r>
          </w:p>
        </w:tc>
      </w:tr>
      <w:tr>
        <w:tc>
          <w:tcPr>
            <w:tcW w:type="pct" w:w="8%"/>
          </w:tcPr>
          <w:p>
            <w:r>
              <w:rPr>
                <w:sz w:val="20"/>
                <w:szCs w:val="20"/>
              </w:rPr>
              <w:t xml:space="preserve">HIGH</w:t>
            </w:r>
          </w:p>
        </w:tc>
        <w:tc>
          <w:tcPr>
            <w:tcW w:type="pct" w:w="20%"/>
          </w:tcPr>
          <w:p>
            <w:r>
              <w:rPr>
                <w:sz w:val="20"/>
                <w:szCs w:val="20"/>
              </w:rPr>
              <w:t xml:space="preserve">All lecture files except 3</w:t>
            </w:r>
          </w:p>
        </w:tc>
        <w:tc>
          <w:tcPr>
            <w:tcW w:type="pct" w:w="6%"/>
          </w:tcPr>
          <w:p>
            <w:r>
              <w:rPr>
                <w:sz w:val="20"/>
                <w:szCs w:val="20"/>
              </w:rPr>
              <w:t xml:space="preserve">—</w:t>
            </w:r>
          </w:p>
        </w:tc>
        <w:tc>
          <w:tcPr>
            <w:tcW w:type="pct" w:w="30%"/>
          </w:tcPr>
          <w:p>
            <w:r>
              <w:rPr>
                <w:sz w:val="20"/>
                <w:szCs w:val="20"/>
              </w:rPr>
              <w:t xml:space="preserve">Exercises missing from 16/19 chapters</w:t>
            </w:r>
          </w:p>
        </w:tc>
        <w:tc>
          <w:tcPr>
            <w:tcW w:type="pct" w:w="36%"/>
          </w:tcPr>
          <w:p>
            <w:r>
              <w:rPr>
                <w:sz w:val="20"/>
                <w:szCs w:val="20"/>
              </w:rPr>
              <w:t xml:space="preserve">Add 2-3 exercises per chapter; prioritize Ch.7 (Backprop), Ch.14 (Transformers), Ch.18 (Fuzzy Inference)</w:t>
            </w:r>
          </w:p>
        </w:tc>
      </w:tr>
      <w:tr>
        <w:tc>
          <w:tcPr>
            <w:tcW w:type="pct" w:w="8%"/>
          </w:tcPr>
          <w:p>
            <w:r>
              <w:rPr>
                <w:sz w:val="20"/>
                <w:szCs w:val="20"/>
              </w:rPr>
              <w:t xml:space="preserve">MEDIUM</w:t>
            </w:r>
          </w:p>
        </w:tc>
        <w:tc>
          <w:tcPr>
            <w:tcW w:type="pct" w:w="20%"/>
          </w:tcPr>
          <w:p>
            <w:r>
              <w:rPr>
                <w:sz w:val="20"/>
                <w:szCs w:val="20"/>
              </w:rPr>
              <w:t xml:space="preserve">ece657_ebook.tex</w:t>
            </w:r>
          </w:p>
        </w:tc>
        <w:tc>
          <w:tcPr>
            <w:tcW w:type="pct" w:w="6%"/>
          </w:tcPr>
          <w:p>
            <w:r>
              <w:rPr>
                <w:sz w:val="20"/>
                <w:szCs w:val="20"/>
              </w:rPr>
              <w:t xml:space="preserve">207</w:t>
            </w:r>
          </w:p>
        </w:tc>
        <w:tc>
          <w:tcPr>
            <w:tcW w:type="pct" w:w="30%"/>
          </w:tcPr>
          <w:p>
            <w:r>
              <w:rPr>
                <w:sz w:val="20"/>
                <w:szCs w:val="20"/>
              </w:rPr>
              <w:t xml:space="preserve">copyright.tex not included in ebook build</w:t>
            </w:r>
          </w:p>
        </w:tc>
        <w:tc>
          <w:tcPr>
            <w:tcW w:type="pct" w:w="36%"/>
          </w:tcPr>
          <w:p>
            <w:r>
              <w:rPr>
                <w:sz w:val="20"/>
                <w:szCs w:val="20"/>
              </w:rPr>
              <w:t xml:space="preserve">Add \input{copyright.tex} after \maketitle</w:t>
            </w:r>
          </w:p>
        </w:tc>
      </w:tr>
      <w:tr>
        <w:tc>
          <w:tcPr>
            <w:tcW w:type="pct" w:w="8%"/>
          </w:tcPr>
          <w:p>
            <w:r>
              <w:rPr>
                <w:sz w:val="20"/>
                <w:szCs w:val="20"/>
              </w:rPr>
              <w:t xml:space="preserve">LOW</w:t>
            </w:r>
          </w:p>
        </w:tc>
        <w:tc>
          <w:tcPr>
            <w:tcW w:type="pct" w:w="20%"/>
          </w:tcPr>
          <w:p>
            <w:r>
              <w:rPr>
                <w:sz w:val="20"/>
                <w:szCs w:val="20"/>
              </w:rPr>
              <w:t xml:space="preserve">lecture_1_intro.tex</w:t>
            </w:r>
          </w:p>
        </w:tc>
        <w:tc>
          <w:tcPr>
            <w:tcW w:type="pct" w:w="6%"/>
          </w:tcPr>
          <w:p>
            <w:r>
              <w:rPr>
                <w:sz w:val="20"/>
                <w:szCs w:val="20"/>
              </w:rPr>
              <w:t xml:space="preserve">179</w:t>
            </w:r>
          </w:p>
        </w:tc>
        <w:tc>
          <w:tcPr>
            <w:tcW w:type="pct" w:w="30%"/>
          </w:tcPr>
          <w:p>
            <w:r>
              <w:rPr>
                <w:sz w:val="20"/>
                <w:szCs w:val="20"/>
              </w:rPr>
              <w:t xml:space="preserve">$&lt;200$\, ms — inconsistent with siunitx style</w:t>
            </w:r>
          </w:p>
        </w:tc>
        <w:tc>
          <w:tcPr>
            <w:tcW w:type="pct" w:w="36%"/>
          </w:tcPr>
          <w:p>
            <w:r>
              <w:rPr>
                <w:sz w:val="20"/>
                <w:szCs w:val="20"/>
              </w:rPr>
              <w:t xml:space="preserve">Replace with $&lt; \qty{200}{\milli\second}$</w:t>
            </w:r>
          </w:p>
        </w:tc>
      </w:tr>
      <w:tr>
        <w:tc>
          <w:tcPr>
            <w:tcW w:type="pct" w:w="8%"/>
          </w:tcPr>
          <w:p>
            <w:r>
              <w:rPr>
                <w:sz w:val="20"/>
                <w:szCs w:val="20"/>
              </w:rPr>
              <w:t xml:space="preserve">LOW</w:t>
            </w:r>
          </w:p>
        </w:tc>
        <w:tc>
          <w:tcPr>
            <w:tcW w:type="pct" w:w="20%"/>
          </w:tcPr>
          <w:p>
            <w:r>
              <w:rPr>
                <w:sz w:val="20"/>
                <w:szCs w:val="20"/>
              </w:rPr>
              <w:t xml:space="preserve">book_chapters.tex (Part IV takeaways)</w:t>
            </w:r>
          </w:p>
        </w:tc>
        <w:tc>
          <w:tcPr>
            <w:tcW w:type="pct" w:w="6%"/>
          </w:tcPr>
          <w:p>
            <w:r>
              <w:rPr>
                <w:sz w:val="20"/>
                <w:szCs w:val="20"/>
              </w:rPr>
              <w:t xml:space="preserve">last bullet</w:t>
            </w:r>
          </w:p>
        </w:tc>
        <w:tc>
          <w:tcPr>
            <w:tcW w:type="pct" w:w="30%"/>
          </w:tcPr>
          <w:p>
            <w:r>
              <w:rPr>
                <w:sz w:val="20"/>
                <w:szCs w:val="20"/>
              </w:rPr>
              <w:t xml:space="preserve">Unifying lens refrain inaccurate for evolutionary computing</w:t>
            </w:r>
          </w:p>
        </w:tc>
        <w:tc>
          <w:tcPr>
            <w:tcW w:type="pct" w:w="36%"/>
          </w:tcPr>
          <w:p>
            <w:r>
              <w:rPr>
                <w:sz w:val="20"/>
                <w:szCs w:val="20"/>
              </w:rPr>
              <w:t xml:space="preserve">Write a Part IV-specific variant of the unifying lens sentence</w:t>
            </w:r>
          </w:p>
        </w:tc>
      </w:tr>
      <w:tr>
        <w:tc>
          <w:tcPr>
            <w:tcW w:type="pct" w:w="8%"/>
          </w:tcPr>
          <w:p>
            <w:r>
              <w:rPr>
                <w:sz w:val="20"/>
                <w:szCs w:val="20"/>
              </w:rPr>
              <w:t xml:space="preserve">COSMETIC</w:t>
            </w:r>
          </w:p>
        </w:tc>
        <w:tc>
          <w:tcPr>
            <w:tcW w:type="pct" w:w="20%"/>
          </w:tcPr>
          <w:p>
            <w:r>
              <w:rPr>
                <w:sz w:val="20"/>
                <w:szCs w:val="20"/>
              </w:rPr>
              <w:t xml:space="preserve">appendix_logistics.tex</w:t>
            </w:r>
          </w:p>
        </w:tc>
        <w:tc>
          <w:tcPr>
            <w:tcW w:type="pct" w:w="6%"/>
          </w:tcPr>
          <w:p>
            <w:r>
              <w:rPr>
                <w:sz w:val="20"/>
                <w:szCs w:val="20"/>
              </w:rPr>
              <w:t xml:space="preserve">—</w:t>
            </w:r>
          </w:p>
        </w:tc>
        <w:tc>
          <w:tcPr>
            <w:tcW w:type="pct" w:w="30%"/>
          </w:tcPr>
          <w:p>
            <w:r>
              <w:rPr>
                <w:sz w:val="20"/>
                <w:szCs w:val="20"/>
              </w:rPr>
              <w:t xml:space="preserve">Orphaned file still on disk (not in any build)</w:t>
            </w:r>
          </w:p>
        </w:tc>
        <w:tc>
          <w:tcPr>
            <w:tcW w:type="pct" w:w="36%"/>
          </w:tcPr>
          <w:p>
            <w:r>
              <w:rPr>
                <w:sz w:val="20"/>
                <w:szCs w:val="20"/>
              </w:rPr>
              <w:t xml:space="preserve">Move to archive or delete</w:t>
            </w:r>
          </w:p>
        </w:tc>
      </w:tr>
    </w:tbl>
    <w:p/>
    <w:p>
      <w:pPr>
        <w:pStyle w:val="Heading1"/>
        <w:spacing w:before="360" w:after="120"/>
      </w:pPr>
      <w:r>
        <w:t xml:space="preserve">5. Overall Verdict</w:t>
      </w:r>
    </w:p>
    <w:p>
      <w:pPr>
        <w:spacing w:before="80" w:after="80"/>
      </w:pPr>
      <w:r>
        <w:rPr>
          <w:sz w:val="22"/>
          <w:szCs w:val="22"/>
        </w:rPr>
        <w:t xml:space="preserve">The revision has addressed all critical and high-priority issues from the first pass and nearly all medium-priority ones. The manuscript is now substantially stronger. The most impactful improvements are (a) the explicit p&lt;-&gt;z notation bridge, (b) the complete LSTM/GRU gate equations, (c) the four-part structure with bridge boxes, (d) the subject index infrastructure, and (e) the removal of all course-private material.</w:t>
      </w:r>
    </w:p>
    <w:p/>
    <w:p>
      <w:pPr>
        <w:spacing w:before="80" w:after="80"/>
      </w:pPr>
      <w:r>
        <w:rPr>
          <w:sz w:val="22"/>
          <w:szCs w:val="22"/>
        </w:rPr>
        <w:t xml:space="preserve">The manuscript is close to publication-ready for a self-published KDP graduate companion. The one remaining structural gap is the absence of exercises in 16 chapters; addressing that would bring the pedagogical apparatus in line with the quality of the expository text. No new critical or high-severity issues were introduced by the revision.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Georgia" w:cs="Georgia" w:eastAsia="Georgia" w:hAnsi="Georgia"/>
      <w:sz w:val="22"/>
      <w:szCs w:val="22"/>
    </w:rPr>
  </w:style>
  <w:style w:type="paragraph" w:styleId="Heading1">
    <w:name w:val="Heading 1"/>
    <w:basedOn w:val="Normal"/>
    <w:pPr>
      <w:spacing w:before="360" w:after="120"/>
    </w:pPr>
    <w:rPr>
      <w:b/>
      <w:bCs/>
      <w:color w:val="1F3864"/>
      <w:sz w:val="28"/>
      <w:szCs w:val="28"/>
    </w:rPr>
  </w:style>
  <w:style w:type="paragraph" w:styleId="Heading2">
    <w:name w:val="Heading 2"/>
    <w:basedOn w:val="Normal"/>
    <w:pPr>
      <w:spacing w:before="240" w:after="80"/>
    </w:pPr>
    <w:rPr>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2026-03-04T21:44:04.300Z</dcterms:created>
  <dcterms:modified xsi:type="dcterms:W3CDTF">2026-03-04T21:44:04.300Z</dcterms:modified>
</cp:coreProperties>
</file>

<file path=docProps/custom.xml><?xml version="1.0" encoding="utf-8"?>
<Properties xmlns="http://schemas.openxmlformats.org/officeDocument/2006/custom-properties" xmlns:vt="http://schemas.openxmlformats.org/officeDocument/2006/docPropsVTypes"/>
</file>