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b/>
          <w:bCs/>
          <w:sz w:val="32"/>
          <w:szCs w:val="32"/>
        </w:rPr>
        <w:t xml:space="preserve">Modern Intelligent Systems: A Graduate Companion</w:t>
      </w:r>
    </w:p>
    <w:p>
      <w:pPr>
        <w:spacing w:before="0" w:after="80"/>
        <w:jc w:val="center"/>
      </w:pPr>
      <w:r>
        <w:rPr>
          <w:i/>
          <w:iCs/>
          <w:sz w:val="24"/>
          <w:szCs w:val="24"/>
        </w:rPr>
        <w:t xml:space="preserve">Deep Technical Review — Third Pass: Proofs, Derivations, Titles, and Captions</w:t>
      </w:r>
    </w:p>
    <w:p>
      <w:pPr>
        <w:spacing w:before="0" w:after="360"/>
        <w:jc w:val="center"/>
      </w:pPr>
      <w:r>
        <w:rPr>
          <w:sz w:val="20"/>
          <w:szCs w:val="20"/>
        </w:rPr>
        <w:t xml:space="preserve">Reviewer: Claude Sonnet 4.6  |  Date: 5 March 2026</w:t>
      </w:r>
    </w:p>
    <w:p>
      <w:pPr>
        <w:pStyle w:val="Heading1"/>
        <w:spacing w:before="360" w:after="120"/>
      </w:pPr>
      <w:r>
        <w:t xml:space="preserve">0. Mathematical Correctness: Summary Verdict</w:t>
      </w:r>
    </w:p>
    <w:p>
      <w:pPr>
        <w:spacing w:before="80" w:after="80"/>
      </w:pPr>
      <w:r>
        <w:rPr>
          <w:sz w:val="22"/>
          <w:szCs w:val="22"/>
        </w:rPr>
        <w:t xml:space="preserve">All core mathematical derivations and proofs in the book are correct. The following were independently verified line-by-line:</w:t>
      </w:r>
    </w:p>
    <w:p>
      <w:pPr>
        <w:pStyle w:val="ListParagraph"/>
        <w:numPr>
          <w:ilvl w:val="0"/>
          <w:numId w:val="1"/>
        </w:numPr>
        <w:spacing w:before="40" w:after="40"/>
      </w:pPr>
      <w:r>
        <w:t xml:space="preserve">Perceptron convergence theorem (Novikoff bound): T &lt;= (R/gamma)^2. Proof sketch in lecture_3_part_i.tex is sound. The inner-product growth step and squared-norm bound step are both correctly derived, and the conclusion follows by Cauchy-Schwarz. The OR gate trace (9 steps) is numerically verified.</w:t>
      </w:r>
    </w:p>
    <w:p>
      <w:pPr>
        <w:pStyle w:val="ListParagraph"/>
        <w:numPr>
          <w:ilvl w:val="0"/>
          <w:numId w:val="1"/>
        </w:numPr>
        <w:spacing w:before="40" w:after="40"/>
      </w:pPr>
      <w:r>
        <w:t xml:space="preserve">Sigmoid derivative identity: sigma'(z) = sigma(z)(1 - sigma(z)). Correct. Also: tanh'(z) = 1 - tanh^2(z) and ReLU'(z) = 1_{z&gt;0} are all correctly stated at lecture_4_part_i.tex line 708.</w:t>
      </w:r>
    </w:p>
    <w:p>
      <w:pPr>
        <w:pStyle w:val="ListParagraph"/>
        <w:numPr>
          <w:ilvl w:val="0"/>
          <w:numId w:val="1"/>
        </w:numPr>
        <w:spacing w:before="40" w:after="40"/>
      </w:pPr>
      <w:r>
        <w:t xml:space="preserve">Backpropagation delta recursion: delta^(l) = (delta^(l+1) W^(l+1)^T) o f'(z^(l)). Correct. The derivation uses the chain rule consistently, and the cached-forward-pass structure is correctly described.</w:t>
      </w:r>
    </w:p>
    <w:p>
      <w:pPr>
        <w:pStyle w:val="ListParagraph"/>
        <w:numPr>
          <w:ilvl w:val="0"/>
          <w:numId w:val="1"/>
        </w:numPr>
        <w:spacing w:before="40" w:after="40"/>
      </w:pPr>
      <w:r>
        <w:t xml:space="preserve">Hopfield energy function: E(s) = -1/2 sum_{i,j} w_{ij} s_i s_j - sum_i theta_i s_i. Correct. The 1/2 factor is explicitly motivated (preventing double-counting). The Lyapunov argument (Delta-E &lt;= 0 under asynchronous update) is stated correctly; see Section 2 for a minor tightening suggestion.</w:t>
      </w:r>
    </w:p>
    <w:p>
      <w:pPr>
        <w:pStyle w:val="ListParagraph"/>
        <w:numPr>
          <w:ilvl w:val="0"/>
          <w:numId w:val="1"/>
        </w:numPr>
        <w:spacing w:before="40" w:after="40"/>
      </w:pPr>
      <w:r>
        <w:t xml:space="preserve">Centroid defuzzification: y* = integral(y * mu_agg(y) dy) / integral(mu_agg(y) dy). Correct. Zero-denominator fallback and discretisation bias are both addressed.</w:t>
      </w:r>
    </w:p>
    <w:p>
      <w:pPr>
        <w:pStyle w:val="ListParagraph"/>
        <w:numPr>
          <w:ilvl w:val="0"/>
          <w:numId w:val="1"/>
        </w:numPr>
        <w:spacing w:before="40" w:after="40"/>
      </w:pPr>
      <w:r>
        <w:t xml:space="preserve">SOM BMU selection (argmin_i ||x - w_i||^2) and neighborhood update rule: correct. The Gaussian neighborhood kernel and its two-timescale annealing are correctly described.</w:t>
      </w:r>
    </w:p>
    <w:p>
      <w:pPr>
        <w:pStyle w:val="ListParagraph"/>
        <w:numPr>
          <w:ilvl w:val="0"/>
          <w:numId w:val="1"/>
        </w:numPr>
        <w:spacing w:before="40" w:after="40"/>
      </w:pPr>
      <w:r>
        <w:t xml:space="preserve">LSTM gate equations (c_t = f_t o c_{t-1} + i_t o c~_t; h_t = o_t o tanh(c_t)) and GRU update equations (h_t = (1-z_t) o h_{t-1} + z_t o h~_t): correct and consistent with Hochreiter1997, Gers2000, and Cho2014.</w:t>
      </w:r>
    </w:p>
    <w:p>
      <w:pPr>
        <w:spacing w:before="80" w:after="80"/>
      </w:pPr>
      <w:r>
        <w:rPr>
          <w:sz w:val="22"/>
          <w:szCs w:val="22"/>
        </w:rPr>
        <w:t xml:space="preserve">No mathematical errors were found. The issues below are editorial, presentational, and consistency items only.</w:t>
      </w:r>
    </w:p>
    <w:p>
      <w:pPr>
        <w:pStyle w:val="Heading1"/>
        <w:spacing w:before="360" w:after="120"/>
      </w:pPr>
      <w:r>
        <w:t xml:space="preserve">1. Issues Found: Titles, Captions, Notation, and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4%"/>
            <w:shd w:fill="D9E2F3" w:val="clear"/>
          </w:tcPr>
          <w:p>
            <w:r>
              <w:rPr>
                <w:b/>
                <w:bCs/>
                <w:sz w:val="20"/>
                <w:szCs w:val="20"/>
              </w:rPr>
              <w:t xml:space="preserve">File</w:t>
            </w:r>
          </w:p>
        </w:tc>
        <w:tc>
          <w:tcPr>
            <w:tcW w:type="pct" w:w="8%"/>
            <w:shd w:fill="D9E2F3" w:val="clear"/>
          </w:tcPr>
          <w:p>
            <w:r>
              <w:rPr>
                <w:b/>
                <w:bCs/>
                <w:sz w:val="20"/>
                <w:szCs w:val="20"/>
              </w:rPr>
              <w:t xml:space="preserve">Lines</w:t>
            </w:r>
          </w:p>
        </w:tc>
        <w:tc>
          <w:tcPr>
            <w:tcW w:type="pct" w:w="11%"/>
            <w:shd w:fill="D9E2F3" w:val="clear"/>
          </w:tcPr>
          <w:p>
            <w:r>
              <w:rPr>
                <w:b/>
                <w:bCs/>
                <w:sz w:val="20"/>
                <w:szCs w:val="20"/>
              </w:rPr>
              <w:t xml:space="preserve">Category</w:t>
            </w:r>
          </w:p>
        </w:tc>
        <w:tc>
          <w:tcPr>
            <w:tcW w:type="pct" w:w="5%"/>
            <w:shd w:fill="D9E2F3" w:val="clear"/>
          </w:tcPr>
          <w:p>
            <w:r>
              <w:rPr>
                <w:b/>
                <w:bCs/>
                <w:sz w:val="20"/>
                <w:szCs w:val="20"/>
              </w:rPr>
              <w:t xml:space="preserve">Sev.</w:t>
            </w:r>
          </w:p>
        </w:tc>
        <w:tc>
          <w:tcPr>
            <w:tcW w:type="pct" w:w="32%"/>
            <w:shd w:fill="D9E2F3" w:val="clear"/>
          </w:tcPr>
          <w:p>
            <w:r>
              <w:rPr>
                <w:b/>
                <w:bCs/>
                <w:sz w:val="20"/>
                <w:szCs w:val="20"/>
              </w:rPr>
              <w:t xml:space="preserve">Finding</w:t>
            </w:r>
          </w:p>
        </w:tc>
        <w:tc>
          <w:tcPr>
            <w:tcW w:type="pct" w:w="30%"/>
            <w:shd w:fill="D9E2F3" w:val="clear"/>
          </w:tcPr>
          <w:p>
            <w:r>
              <w:rPr>
                <w:b/>
                <w:bCs/>
                <w:sz w:val="20"/>
                <w:szCs w:val="20"/>
              </w:rPr>
              <w:t xml:space="preserve">Recommended Fix</w:t>
            </w:r>
          </w:p>
        </w:tc>
      </w:tr>
      <w:tr>
        <w:tc>
          <w:tcPr>
            <w:tcW w:type="pct" w:w="14%"/>
          </w:tcPr>
          <w:p>
            <w:r>
              <w:rPr>
                <w:sz w:val="20"/>
                <w:szCs w:val="20"/>
              </w:rPr>
              <w:t xml:space="preserve">lecture_4_part_i.tex</w:t>
            </w:r>
          </w:p>
        </w:tc>
        <w:tc>
          <w:tcPr>
            <w:tcW w:type="pct" w:w="8%"/>
          </w:tcPr>
          <w:p>
            <w:r>
              <w:rPr>
                <w:sz w:val="20"/>
                <w:szCs w:val="20"/>
              </w:rPr>
              <w:t xml:space="preserve">585, 744, 749, 760</w:t>
            </w:r>
          </w:p>
        </w:tc>
        <w:tc>
          <w:tcPr>
            <w:tcW w:type="pct" w:w="11%"/>
          </w:tcPr>
          <w:p>
            <w:r>
              <w:rPr>
                <w:sz w:val="20"/>
                <w:szCs w:val="20"/>
              </w:rPr>
              <w:t xml:space="preserve">Section titles</w:t>
            </w:r>
          </w:p>
        </w:tc>
        <w:tc>
          <w:tcPr>
            <w:tcW w:type="pct" w:w="5%"/>
          </w:tcPr>
          <w:p>
            <w:r>
              <w:rPr>
                <w:sz w:val="20"/>
                <w:szCs w:val="20"/>
              </w:rPr>
              <w:t xml:space="preserve">MEDIUM</w:t>
            </w:r>
          </w:p>
        </w:tc>
        <w:tc>
          <w:tcPr>
            <w:tcW w:type="pct" w:w="32%"/>
          </w:tcPr>
          <w:p>
            <w:r>
              <w:rPr>
                <w:sz w:val="20"/>
                <w:szCs w:val="20"/>
              </w:rPr>
              <w:t xml:space="preserve">Four subsections in the Backpropagation chapter (Ch.7) are titled 'Training Procedure and Epochs in Multi-Layer Perceptrons', 'Applications of Multi-Layer Perceptrons', 'Limitations of Multi-Layer Perceptrons', and 'Conclusion of Multi-Layer Perceptron Derivations'. This is the Ch.7 Backpropagation chapter; the repeated phrase 'Multi-Layer Perceptrons' in every subsection heading is redundant and confusing — a reader skimming headings may think they are still in Ch.6.</w:t>
            </w:r>
          </w:p>
        </w:tc>
        <w:tc>
          <w:tcPr>
            <w:tcW w:type="pct" w:w="30%"/>
          </w:tcPr>
          <w:p>
            <w:r>
              <w:rPr>
                <w:sz w:val="20"/>
                <w:szCs w:val="20"/>
              </w:rPr>
              <w:t xml:space="preserve">Shorten to: 'Training Procedure and Epochs', 'Applications', 'Limitations', 'Summary'. The chapter-level section title already supplies the MLP context.</w:t>
            </w:r>
          </w:p>
        </w:tc>
      </w:tr>
      <w:tr>
        <w:tc>
          <w:tcPr>
            <w:tcW w:type="pct" w:w="14%"/>
          </w:tcPr>
          <w:p>
            <w:r>
              <w:rPr>
                <w:sz w:val="20"/>
                <w:szCs w:val="20"/>
              </w:rPr>
              <w:t xml:space="preserve">All lecture files</w:t>
            </w:r>
          </w:p>
        </w:tc>
        <w:tc>
          <w:tcPr>
            <w:tcW w:type="pct" w:w="8%"/>
          </w:tcPr>
          <w:p>
            <w:r>
              <w:rPr>
                <w:sz w:val="20"/>
                <w:szCs w:val="20"/>
              </w:rPr>
              <w:t xml:space="preserve">—</w:t>
            </w:r>
          </w:p>
        </w:tc>
        <w:tc>
          <w:tcPr>
            <w:tcW w:type="pct" w:w="11%"/>
          </w:tcPr>
          <w:p>
            <w:r>
              <w:rPr>
                <w:sz w:val="20"/>
                <w:szCs w:val="20"/>
              </w:rPr>
              <w:t xml:space="preserve">Chapter titles</w:t>
            </w:r>
          </w:p>
        </w:tc>
        <w:tc>
          <w:tcPr>
            <w:tcW w:type="pct" w:w="5%"/>
          </w:tcPr>
          <w:p>
            <w:r>
              <w:rPr>
                <w:sz w:val="20"/>
                <w:szCs w:val="20"/>
              </w:rPr>
              <w:t xml:space="preserve">LOW</w:t>
            </w:r>
          </w:p>
        </w:tc>
        <w:tc>
          <w:tcPr>
            <w:tcW w:type="pct" w:w="32%"/>
          </w:tcPr>
          <w:p>
            <w:r>
              <w:rPr>
                <w:sz w:val="20"/>
                <w:szCs w:val="20"/>
              </w:rPr>
              <w:t xml:space="preserve">Five of nineteen chapter titles begin with 'Introduction to' (Ch.5 Introduction to Neural Networks; Ch.9 Introduction to Self-Organizing Networks...; Ch.12 Introduction to Recurrent Neural Networks; Ch.15 Introduction to Soft Computing; Ch.19 Introduction to Evolutionary Computing). The remaining fourteen chapters do not use this prefix. The result is an unintended two-tier style — it implies the 'Introduction to' chapters are less complete treatments, which is not accurate.</w:t>
            </w:r>
          </w:p>
        </w:tc>
        <w:tc>
          <w:tcPr>
            <w:tcW w:type="pct" w:w="30%"/>
          </w:tcPr>
          <w:p>
            <w:r>
              <w:rPr>
                <w:sz w:val="20"/>
                <w:szCs w:val="20"/>
              </w:rPr>
              <w:t xml:space="preserve">Either add 'Introduction to' consistently where chapters genuinely provide only an entry point, or remove the prefix from standalone chapters that provide a full treatment. Ch.12 and Ch.19 are full-chapter treatments; removing 'Introduction to' from their titles better reflects their scope. Keep the prefix for Ch.15 (Soft Computing) which is genuinely an orientation chapter.</w:t>
            </w:r>
          </w:p>
        </w:tc>
      </w:tr>
      <w:tr>
        <w:tc>
          <w:tcPr>
            <w:tcW w:type="pct" w:w="14%"/>
          </w:tcPr>
          <w:p>
            <w:r>
              <w:rPr>
                <w:sz w:val="20"/>
                <w:szCs w:val="20"/>
              </w:rPr>
              <w:t xml:space="preserve">lecture_4_part_ii.tex</w:t>
            </w:r>
          </w:p>
        </w:tc>
        <w:tc>
          <w:tcPr>
            <w:tcW w:type="pct" w:w="8%"/>
          </w:tcPr>
          <w:p>
            <w:r>
              <w:rPr>
                <w:sz w:val="20"/>
                <w:szCs w:val="20"/>
              </w:rPr>
              <w:t xml:space="preserve">—</w:t>
            </w:r>
          </w:p>
        </w:tc>
        <w:tc>
          <w:tcPr>
            <w:tcW w:type="pct" w:w="11%"/>
          </w:tcPr>
          <w:p>
            <w:r>
              <w:rPr>
                <w:sz w:val="20"/>
                <w:szCs w:val="20"/>
              </w:rPr>
              <w:t xml:space="preserve">Chapter title</w:t>
            </w:r>
          </w:p>
        </w:tc>
        <w:tc>
          <w:tcPr>
            <w:tcW w:type="pct" w:w="5%"/>
          </w:tcPr>
          <w:p>
            <w:r>
              <w:rPr>
                <w:sz w:val="20"/>
                <w:szCs w:val="20"/>
              </w:rPr>
              <w:t xml:space="preserve">LOW</w:t>
            </w:r>
          </w:p>
        </w:tc>
        <w:tc>
          <w:tcPr>
            <w:tcW w:type="pct" w:w="32%"/>
          </w:tcPr>
          <w:p>
            <w:r>
              <w:rPr>
                <w:sz w:val="20"/>
                <w:szCs w:val="20"/>
              </w:rPr>
              <w:t xml:space="preserve">'Radial Basis Function Networks (RBFNs)' is the only chapter title that includes an acronym in parentheses. No other chapter title does this (e.g., Ch.11 is 'Convolutional Neural Networks and Deep Training Tools', not 'CNNs...').</w:t>
            </w:r>
          </w:p>
        </w:tc>
        <w:tc>
          <w:tcPr>
            <w:tcW w:type="pct" w:w="30%"/>
          </w:tcPr>
          <w:p>
            <w:r>
              <w:rPr>
                <w:sz w:val="20"/>
                <w:szCs w:val="20"/>
              </w:rPr>
              <w:t xml:space="preserve">Remove the parenthetical: 'Radial Basis Function Networks'. The acronym RBFN is introduced and defined in the chapter body.</w:t>
            </w:r>
          </w:p>
        </w:tc>
      </w:tr>
      <w:tr>
        <w:tc>
          <w:tcPr>
            <w:tcW w:type="pct" w:w="14%"/>
          </w:tcPr>
          <w:p>
            <w:r>
              <w:rPr>
                <w:sz w:val="20"/>
                <w:szCs w:val="20"/>
              </w:rPr>
              <w:t xml:space="preserve">lecture_10_part_i.tex</w:t>
            </w:r>
          </w:p>
        </w:tc>
        <w:tc>
          <w:tcPr>
            <w:tcW w:type="pct" w:w="8%"/>
          </w:tcPr>
          <w:p>
            <w:r>
              <w:rPr>
                <w:sz w:val="20"/>
                <w:szCs w:val="20"/>
              </w:rPr>
              <w:t xml:space="preserve">—</w:t>
            </w:r>
          </w:p>
        </w:tc>
        <w:tc>
          <w:tcPr>
            <w:tcW w:type="pct" w:w="11%"/>
          </w:tcPr>
          <w:p>
            <w:r>
              <w:rPr>
                <w:sz w:val="20"/>
                <w:szCs w:val="20"/>
              </w:rPr>
              <w:t xml:space="preserve">Chapter title</w:t>
            </w:r>
          </w:p>
        </w:tc>
        <w:tc>
          <w:tcPr>
            <w:tcW w:type="pct" w:w="5%"/>
          </w:tcPr>
          <w:p>
            <w:r>
              <w:rPr>
                <w:sz w:val="20"/>
                <w:szCs w:val="20"/>
              </w:rPr>
              <w:t xml:space="preserve">MEDIUM</w:t>
            </w:r>
          </w:p>
        </w:tc>
        <w:tc>
          <w:tcPr>
            <w:tcW w:type="pct" w:w="32%"/>
          </w:tcPr>
          <w:p>
            <w:r>
              <w:rPr>
                <w:sz w:val="20"/>
                <w:szCs w:val="20"/>
              </w:rPr>
              <w:t xml:space="preserve">'Fuzzy Set Transformations Between Related Universes' — the phrase 'related universes' is technically precise (in fuzzy logic, a universe of discourse is the domain of a variable) but is opaque to a reader meeting the term for the first time. The chapter covers fuzzy relations, the extension principle, and cylindrical extension/projection.</w:t>
            </w:r>
          </w:p>
        </w:tc>
        <w:tc>
          <w:tcPr>
            <w:tcW w:type="pct" w:w="30%"/>
          </w:tcPr>
          <w:p>
            <w:r>
              <w:rPr>
                <w:sz w:val="20"/>
                <w:szCs w:val="20"/>
              </w:rPr>
              <w:t xml:space="preserve">Rename to 'Fuzzy Relations: Composition, Projection, and the Extension Principle' or 'Fuzzy Set Relations and the Extension Principle'. This immediately tells the reader what the chapter contains.</w:t>
            </w:r>
          </w:p>
        </w:tc>
      </w:tr>
      <w:tr>
        <w:tc>
          <w:tcPr>
            <w:tcW w:type="pct" w:w="14%"/>
          </w:tcPr>
          <w:p>
            <w:r>
              <w:rPr>
                <w:sz w:val="20"/>
                <w:szCs w:val="20"/>
              </w:rPr>
              <w:t xml:space="preserve">lecture_7.tex</w:t>
            </w:r>
          </w:p>
        </w:tc>
        <w:tc>
          <w:tcPr>
            <w:tcW w:type="pct" w:w="8%"/>
          </w:tcPr>
          <w:p>
            <w:r>
              <w:rPr>
                <w:sz w:val="20"/>
                <w:szCs w:val="20"/>
              </w:rPr>
              <w:t xml:space="preserve">208-213</w:t>
            </w:r>
          </w:p>
        </w:tc>
        <w:tc>
          <w:tcPr>
            <w:tcW w:type="pct" w:w="11%"/>
          </w:tcPr>
          <w:p>
            <w:r>
              <w:rPr>
                <w:sz w:val="20"/>
                <w:szCs w:val="20"/>
              </w:rPr>
              <w:t xml:space="preserve">Figure caption</w:t>
            </w:r>
          </w:p>
        </w:tc>
        <w:tc>
          <w:tcPr>
            <w:tcW w:type="pct" w:w="5%"/>
          </w:tcPr>
          <w:p>
            <w:r>
              <w:rPr>
                <w:sz w:val="20"/>
                <w:szCs w:val="20"/>
              </w:rPr>
              <w:t xml:space="preserve">LOW</w:t>
            </w:r>
          </w:p>
        </w:tc>
        <w:tc>
          <w:tcPr>
            <w:tcW w:type="pct" w:w="32%"/>
          </w:tcPr>
          <w:p>
            <w:r>
              <w:rPr>
                <w:sz w:val="20"/>
                <w:szCs w:val="20"/>
              </w:rPr>
              <w:t xml:space="preserve">Figure fig:lec7-loss-hyperparams uses an \ifdefined\HCode block with a comment saying 'Avoid inline math in captions; it wraps poorly in some EPUB renderers.' Both the \HCode (EPUB) branch and the else (PDF) branch have identical captions. The guard does nothing.</w:t>
            </w:r>
          </w:p>
        </w:tc>
        <w:tc>
          <w:tcPr>
            <w:tcW w:type="pct" w:w="30%"/>
          </w:tcPr>
          <w:p>
            <w:r>
              <w:rPr>
                <w:sz w:val="20"/>
                <w:szCs w:val="20"/>
              </w:rPr>
              <w:t xml:space="preserve">Either remove the guard entirely (if the caption has no inline math to worry about), or differentiate the branches: EPUB branch should spell out any math in plain words; PDF branch can use LaTeX symbols.</w:t>
            </w:r>
          </w:p>
        </w:tc>
      </w:tr>
      <w:tr>
        <w:tc>
          <w:tcPr>
            <w:tcW w:type="pct" w:w="14%"/>
          </w:tcPr>
          <w:p>
            <w:r>
              <w:rPr>
                <w:sz w:val="20"/>
                <w:szCs w:val="20"/>
              </w:rPr>
              <w:t xml:space="preserve">lecture_7.tex</w:t>
            </w:r>
          </w:p>
        </w:tc>
        <w:tc>
          <w:tcPr>
            <w:tcW w:type="pct" w:w="8%"/>
          </w:tcPr>
          <w:p>
            <w:r>
              <w:rPr>
                <w:sz w:val="20"/>
                <w:szCs w:val="20"/>
              </w:rPr>
              <w:t xml:space="preserve">694-698</w:t>
            </w:r>
          </w:p>
        </w:tc>
        <w:tc>
          <w:tcPr>
            <w:tcW w:type="pct" w:w="11%"/>
          </w:tcPr>
          <w:p>
            <w:r>
              <w:rPr>
                <w:sz w:val="20"/>
                <w:szCs w:val="20"/>
              </w:rPr>
              <w:t xml:space="preserve">Figure caption</w:t>
            </w:r>
          </w:p>
        </w:tc>
        <w:tc>
          <w:tcPr>
            <w:tcW w:type="pct" w:w="5%"/>
          </w:tcPr>
          <w:p>
            <w:r>
              <w:rPr>
                <w:sz w:val="20"/>
                <w:szCs w:val="20"/>
              </w:rPr>
              <w:t xml:space="preserve">MEDIUM</w:t>
            </w:r>
          </w:p>
        </w:tc>
        <w:tc>
          <w:tcPr>
            <w:tcW w:type="pct" w:w="32%"/>
          </w:tcPr>
          <w:p>
            <w:r>
              <w:rPr>
                <w:sz w:val="20"/>
                <w:szCs w:val="20"/>
              </w:rPr>
              <w:t xml:space="preserve">The LSTM figure caption inside \ifdefined\HCode: both branches read 'Long Short-Term Memory (LSTM) cell \citep{Hochreiter1997,Gers2000}.' In TeX4ht (EPUB) mode, \citep{} does not always render cleanly and may produce a broken citation tag.</w:t>
            </w:r>
          </w:p>
        </w:tc>
        <w:tc>
          <w:tcPr>
            <w:tcW w:type="pct" w:w="30%"/>
          </w:tcPr>
          <w:p>
            <w:r>
              <w:rPr>
                <w:sz w:val="20"/>
                <w:szCs w:val="20"/>
              </w:rPr>
              <w:t xml:space="preserve">EPUB branch: 'Long Short-Term Memory (LSTM) cell (Hochreiter and Schmidhuber, 1997; Gers, Schmidhuber, and Cummins, 2000).' PDF branch: keep \citep{Hochreiter1997,Gers2000}.</w:t>
            </w:r>
          </w:p>
        </w:tc>
      </w:tr>
      <w:tr>
        <w:tc>
          <w:tcPr>
            <w:tcW w:type="pct" w:w="14%"/>
          </w:tcPr>
          <w:p>
            <w:r>
              <w:rPr>
                <w:sz w:val="20"/>
                <w:szCs w:val="20"/>
              </w:rPr>
              <w:t xml:space="preserve">lecture_7.tex</w:t>
            </w:r>
          </w:p>
        </w:tc>
        <w:tc>
          <w:tcPr>
            <w:tcW w:type="pct" w:w="8%"/>
          </w:tcPr>
          <w:p>
            <w:r>
              <w:rPr>
                <w:sz w:val="20"/>
                <w:szCs w:val="20"/>
              </w:rPr>
              <w:t xml:space="preserve">803-806</w:t>
            </w:r>
          </w:p>
        </w:tc>
        <w:tc>
          <w:tcPr>
            <w:tcW w:type="pct" w:w="11%"/>
          </w:tcPr>
          <w:p>
            <w:r>
              <w:rPr>
                <w:sz w:val="20"/>
                <w:szCs w:val="20"/>
              </w:rPr>
              <w:t xml:space="preserve">Figure caption</w:t>
            </w:r>
          </w:p>
        </w:tc>
        <w:tc>
          <w:tcPr>
            <w:tcW w:type="pct" w:w="5%"/>
          </w:tcPr>
          <w:p>
            <w:r>
              <w:rPr>
                <w:sz w:val="20"/>
                <w:szCs w:val="20"/>
              </w:rPr>
              <w:t xml:space="preserve">MEDIUM</w:t>
            </w:r>
          </w:p>
        </w:tc>
        <w:tc>
          <w:tcPr>
            <w:tcW w:type="pct" w:w="32%"/>
          </w:tcPr>
          <w:p>
            <w:r>
              <w:rPr>
                <w:sz w:val="20"/>
                <w:szCs w:val="20"/>
              </w:rPr>
              <w:t xml:space="preserve">Same issue as the LSTM caption: both branches of the \ifdefined\HCode guard for the GRU figure are identical, with \citep{Cho2014} in both.</w:t>
            </w:r>
          </w:p>
        </w:tc>
        <w:tc>
          <w:tcPr>
            <w:tcW w:type="pct" w:w="30%"/>
          </w:tcPr>
          <w:p>
            <w:r>
              <w:rPr>
                <w:sz w:val="20"/>
                <w:szCs w:val="20"/>
              </w:rPr>
              <w:t xml:space="preserve">EPUB branch: 'Gated Recurrent Unit (GRU) cell (Cho et al., 2014).' PDF branch: keep \citep{Cho2014}.</w:t>
            </w:r>
          </w:p>
        </w:tc>
      </w:tr>
      <w:tr>
        <w:tc>
          <w:tcPr>
            <w:tcW w:type="pct" w:w="14%"/>
          </w:tcPr>
          <w:p>
            <w:r>
              <w:rPr>
                <w:sz w:val="20"/>
                <w:szCs w:val="20"/>
              </w:rPr>
              <w:t xml:space="preserve">lecture_4_part_i.tex</w:t>
            </w:r>
          </w:p>
        </w:tc>
        <w:tc>
          <w:tcPr>
            <w:tcW w:type="pct" w:w="8%"/>
          </w:tcPr>
          <w:p>
            <w:r>
              <w:rPr>
                <w:sz w:val="20"/>
                <w:szCs w:val="20"/>
              </w:rPr>
              <w:t xml:space="preserve">708</w:t>
            </w:r>
          </w:p>
        </w:tc>
        <w:tc>
          <w:tcPr>
            <w:tcW w:type="pct" w:w="11%"/>
          </w:tcPr>
          <w:p>
            <w:r>
              <w:rPr>
                <w:sz w:val="20"/>
                <w:szCs w:val="20"/>
              </w:rPr>
              <w:t xml:space="preserve">Mathematical presentation</w:t>
            </w:r>
          </w:p>
        </w:tc>
        <w:tc>
          <w:tcPr>
            <w:tcW w:type="pct" w:w="5%"/>
          </w:tcPr>
          <w:p>
            <w:r>
              <w:rPr>
                <w:sz w:val="20"/>
                <w:szCs w:val="20"/>
              </w:rPr>
              <w:t xml:space="preserve">LOW</w:t>
            </w:r>
          </w:p>
        </w:tc>
        <w:tc>
          <w:tcPr>
            <w:tcW w:type="pct" w:w="32%"/>
          </w:tcPr>
          <w:p>
            <w:r>
              <w:rPr>
                <w:sz w:val="20"/>
                <w:szCs w:val="20"/>
              </w:rPr>
              <w:t xml:space="preserve">The activation-derivative identities (sigma, tanh, ReLU) are stated in a single prose sentence: 'For reference, sigma'(z)=sigma(z)(1-sigma(z)), tanh'(z)=1-tanh^2(z), and the ReLU derivative is 0 for negative inputs and 1 for positive inputs.' This is technically correct but is easy to miss in running prose. The figure (fig:lec4-activations) shows the curves but not the derivative formulas explicitly.</w:t>
            </w:r>
          </w:p>
        </w:tc>
        <w:tc>
          <w:tcPr>
            <w:tcW w:type="pct" w:w="30%"/>
          </w:tcPr>
          <w:p>
            <w:r>
              <w:rPr>
                <w:sz w:val="20"/>
                <w:szCs w:val="20"/>
              </w:rPr>
              <w:t xml:space="preserve">Promote to a small display table (3 rows: Sigmoid / tanh / ReLU, columns: f(x), f'(x), Reusable-from-forward-pass). This serves as a quick reference and reinforces why caching activations matters.</w:t>
            </w:r>
          </w:p>
        </w:tc>
      </w:tr>
      <w:tr>
        <w:tc>
          <w:tcPr>
            <w:tcW w:type="pct" w:w="14%"/>
          </w:tcPr>
          <w:p>
            <w:r>
              <w:rPr>
                <w:sz w:val="20"/>
                <w:szCs w:val="20"/>
              </w:rPr>
              <w:t xml:space="preserve">lecture_2_part_ii.tex</w:t>
            </w:r>
          </w:p>
        </w:tc>
        <w:tc>
          <w:tcPr>
            <w:tcW w:type="pct" w:w="8%"/>
          </w:tcPr>
          <w:p>
            <w:r>
              <w:rPr>
                <w:sz w:val="20"/>
                <w:szCs w:val="20"/>
              </w:rPr>
              <w:t xml:space="preserve">~238</w:t>
            </w:r>
          </w:p>
        </w:tc>
        <w:tc>
          <w:tcPr>
            <w:tcW w:type="pct" w:w="11%"/>
          </w:tcPr>
          <w:p>
            <w:r>
              <w:rPr>
                <w:sz w:val="20"/>
                <w:szCs w:val="20"/>
              </w:rPr>
              <w:t xml:space="preserve">Notation consistency</w:t>
            </w:r>
          </w:p>
        </w:tc>
        <w:tc>
          <w:tcPr>
            <w:tcW w:type="pct" w:w="5%"/>
          </w:tcPr>
          <w:p>
            <w:r>
              <w:rPr>
                <w:sz w:val="20"/>
                <w:szCs w:val="20"/>
              </w:rPr>
              <w:t xml:space="preserve">LOW</w:t>
            </w:r>
          </w:p>
        </w:tc>
        <w:tc>
          <w:tcPr>
            <w:tcW w:type="pct" w:w="32%"/>
          </w:tcPr>
          <w:p>
            <w:r>
              <w:rPr>
                <w:sz w:val="20"/>
                <w:szCs w:val="20"/>
              </w:rPr>
              <w:t xml:space="preserve">The logistic regression chapter uses hat-p, sigma(.), and pi(x) to refer to the predicted probability in different places. The notation is locally defined each time but switching among three symbols across a single chapter requires the reader to track equivalences.</w:t>
            </w:r>
          </w:p>
        </w:tc>
        <w:tc>
          <w:tcPr>
            <w:tcW w:type="pct" w:w="30%"/>
          </w:tcPr>
          <w:p>
            <w:r>
              <w:rPr>
                <w:sz w:val="20"/>
                <w:szCs w:val="20"/>
              </w:rPr>
              <w:t xml:space="preserve">Pick one symbol throughout. Recommended: hat-pi = sigma(beta^T x-tilde) — consistent with the Bayesian framing. Define it once in the opening equations and use it for every subsequent probability expression.</w:t>
            </w:r>
          </w:p>
        </w:tc>
      </w:tr>
      <w:tr>
        <w:tc>
          <w:tcPr>
            <w:tcW w:type="pct" w:w="14%"/>
          </w:tcPr>
          <w:p>
            <w:r>
              <w:rPr>
                <w:sz w:val="20"/>
                <w:szCs w:val="20"/>
              </w:rPr>
              <w:t xml:space="preserve">lecture_9.tex</w:t>
            </w:r>
          </w:p>
        </w:tc>
        <w:tc>
          <w:tcPr>
            <w:tcW w:type="pct" w:w="8%"/>
          </w:tcPr>
          <w:p>
            <w:r>
              <w:rPr>
                <w:sz w:val="20"/>
                <w:szCs w:val="20"/>
              </w:rPr>
              <w:t xml:space="preserve">~35-37</w:t>
            </w:r>
          </w:p>
        </w:tc>
        <w:tc>
          <w:tcPr>
            <w:tcW w:type="pct" w:w="11%"/>
          </w:tcPr>
          <w:p>
            <w:r>
              <w:rPr>
                <w:sz w:val="20"/>
                <w:szCs w:val="20"/>
              </w:rPr>
              <w:t xml:space="preserve">Mathematical presentation</w:t>
            </w:r>
          </w:p>
        </w:tc>
        <w:tc>
          <w:tcPr>
            <w:tcW w:type="pct" w:w="5%"/>
          </w:tcPr>
          <w:p>
            <w:r>
              <w:rPr>
                <w:sz w:val="20"/>
                <w:szCs w:val="20"/>
              </w:rPr>
              <w:t xml:space="preserve">LOW</w:t>
            </w:r>
          </w:p>
        </w:tc>
        <w:tc>
          <w:tcPr>
            <w:tcW w:type="pct" w:w="32%"/>
          </w:tcPr>
          <w:p>
            <w:r>
              <w:rPr>
                <w:sz w:val="20"/>
                <w:szCs w:val="20"/>
              </w:rPr>
              <w:t xml:space="preserve">The 'Cold' membership function in the motivating thermostat example is written as mu_Cold(e) = (0-e)/4 in the linear region where -4 &lt; e &lt; 0. The form (0-e)/4 is algebraically correct but unusual; most fuzzy textbooks write this as -e/4 or |e|/4 with an explanation that e &lt; 0 in this region.</w:t>
            </w:r>
          </w:p>
        </w:tc>
        <w:tc>
          <w:tcPr>
            <w:tcW w:type="pct" w:w="30%"/>
          </w:tcPr>
          <w:p>
            <w:r>
              <w:rPr>
                <w:sz w:val="20"/>
                <w:szCs w:val="20"/>
              </w:rPr>
              <w:t xml:space="preserve">Change to mu_Cold(e) = -e/4 for -4 &lt; e &lt; 0, and add parenthetical: '(since e &lt; 0 here, -e &gt; 0 and mu_Cold increases as e decreases)'. This removes the unnecessary zero.</w:t>
            </w:r>
          </w:p>
        </w:tc>
      </w:tr>
      <w:tr>
        <w:tc>
          <w:tcPr>
            <w:tcW w:type="pct" w:w="14%"/>
          </w:tcPr>
          <w:p>
            <w:r>
              <w:rPr>
                <w:sz w:val="20"/>
                <w:szCs w:val="20"/>
              </w:rPr>
              <w:t xml:space="preserve">lecture_3_part_i.tex</w:t>
            </w:r>
          </w:p>
        </w:tc>
        <w:tc>
          <w:tcPr>
            <w:tcW w:type="pct" w:w="8%"/>
          </w:tcPr>
          <w:p>
            <w:r>
              <w:rPr>
                <w:sz w:val="20"/>
                <w:szCs w:val="20"/>
              </w:rPr>
              <w:t xml:space="preserve">~122</w:t>
            </w:r>
          </w:p>
        </w:tc>
        <w:tc>
          <w:tcPr>
            <w:tcW w:type="pct" w:w="11%"/>
          </w:tcPr>
          <w:p>
            <w:r>
              <w:rPr>
                <w:sz w:val="20"/>
                <w:szCs w:val="20"/>
              </w:rPr>
              <w:t xml:space="preserve">Mathematical notation</w:t>
            </w:r>
          </w:p>
        </w:tc>
        <w:tc>
          <w:tcPr>
            <w:tcW w:type="pct" w:w="5%"/>
          </w:tcPr>
          <w:p>
            <w:r>
              <w:rPr>
                <w:sz w:val="20"/>
                <w:szCs w:val="20"/>
              </w:rPr>
              <w:t xml:space="preserve">LOW</w:t>
            </w:r>
          </w:p>
        </w:tc>
        <w:tc>
          <w:tcPr>
            <w:tcW w:type="pct" w:w="32%"/>
          </w:tcPr>
          <w:p>
            <w:r>
              <w:rPr>
                <w:sz w:val="20"/>
                <w:szCs w:val="20"/>
              </w:rPr>
              <w:t xml:space="preserve">The bias broadcasting expression is written as Z^(l) = A^(l-1) W^(l) + 1*(b^(l))^T where 1 is a column of ones. The notation '1*(b^(l))^T' is nonstandard (outer product of a ones vector with a row vector). NumPy/PyTorch users will recognize it but pure-math readers may not.</w:t>
            </w:r>
          </w:p>
        </w:tc>
        <w:tc>
          <w:tcPr>
            <w:tcW w:type="pct" w:w="30%"/>
          </w:tcPr>
          <w:p>
            <w:r>
              <w:rPr>
                <w:sz w:val="20"/>
                <w:szCs w:val="20"/>
              </w:rPr>
              <w:t xml:space="preserve">Add a brief note: 'where 1_B in R^{B x 1} is an all-ones column vector, so 1_B (b^(l))^T broadcasts the bias across all B rows.' Alternatively, write Z^(l) = A^(l-1) W^(l) + b^(l) with a footnote clarifying that addition broadcasts b along the batch dimension.</w:t>
            </w:r>
          </w:p>
        </w:tc>
      </w:tr>
      <w:tr>
        <w:tc>
          <w:tcPr>
            <w:tcW w:type="pct" w:w="14%"/>
          </w:tcPr>
          <w:p>
            <w:r>
              <w:rPr>
                <w:sz w:val="20"/>
                <w:szCs w:val="20"/>
              </w:rPr>
              <w:t xml:space="preserve">lecture_5_part_ii.tex</w:t>
            </w:r>
          </w:p>
        </w:tc>
        <w:tc>
          <w:tcPr>
            <w:tcW w:type="pct" w:w="8%"/>
          </w:tcPr>
          <w:p>
            <w:r>
              <w:rPr>
                <w:sz w:val="20"/>
                <w:szCs w:val="20"/>
              </w:rPr>
              <w:t xml:space="preserve">~117-130</w:t>
            </w:r>
          </w:p>
        </w:tc>
        <w:tc>
          <w:tcPr>
            <w:tcW w:type="pct" w:w="11%"/>
          </w:tcPr>
          <w:p>
            <w:r>
              <w:rPr>
                <w:sz w:val="20"/>
                <w:szCs w:val="20"/>
              </w:rPr>
              <w:t xml:space="preserve">Mathematical proof</w:t>
            </w:r>
          </w:p>
        </w:tc>
        <w:tc>
          <w:tcPr>
            <w:tcW w:type="pct" w:w="5%"/>
          </w:tcPr>
          <w:p>
            <w:r>
              <w:rPr>
                <w:sz w:val="20"/>
                <w:szCs w:val="20"/>
              </w:rPr>
              <w:t xml:space="preserve">LOW</w:t>
            </w:r>
          </w:p>
        </w:tc>
        <w:tc>
          <w:tcPr>
            <w:tcW w:type="pct" w:w="32%"/>
          </w:tcPr>
          <w:p>
            <w:r>
              <w:rPr>
                <w:sz w:val="20"/>
                <w:szCs w:val="20"/>
              </w:rPr>
              <w:t xml:space="preserve">The Hopfield energy function proof correctly states that E decreases under asynchronous updates. However, the proof sketch shows the energy change Delta-E for a single neuron flip but does not explicitly bound Delta-E &lt; 0 in the case where the neuron does flip. The conclusion 'E never increases' is stated but the step 'flipping only happens when Delta-E &lt;= 0 by construction of the update rule' is implicit.</w:t>
            </w:r>
          </w:p>
        </w:tc>
        <w:tc>
          <w:tcPr>
            <w:tcW w:type="pct" w:w="30%"/>
          </w:tcPr>
          <w:p>
            <w:r>
              <w:rPr>
                <w:sz w:val="20"/>
                <w:szCs w:val="20"/>
              </w:rPr>
              <w:t xml:space="preserve">Add one sentence after the energy-change formula: 'Asynchronous update flips neuron i only when doing so does not increase E: specifically, s_i is set to sign(h_i), and this guarantees Delta-E = -h_i*(s_i_new - s_i_old) &lt;= 0 (both factors have the same sign). Thus each flip is a non-increasing step.' This makes the convergence argument self-contained.</w:t>
            </w:r>
          </w:p>
        </w:tc>
      </w:tr>
      <w:tr>
        <w:tc>
          <w:tcPr>
            <w:tcW w:type="pct" w:w="14%"/>
          </w:tcPr>
          <w:p>
            <w:r>
              <w:rPr>
                <w:sz w:val="20"/>
                <w:szCs w:val="20"/>
              </w:rPr>
              <w:t xml:space="preserve">lecture_10_part_ii.tex</w:t>
            </w:r>
          </w:p>
        </w:tc>
        <w:tc>
          <w:tcPr>
            <w:tcW w:type="pct" w:w="8%"/>
          </w:tcPr>
          <w:p>
            <w:r>
              <w:rPr>
                <w:sz w:val="20"/>
                <w:szCs w:val="20"/>
              </w:rPr>
              <w:t xml:space="preserve">~33</w:t>
            </w:r>
          </w:p>
        </w:tc>
        <w:tc>
          <w:tcPr>
            <w:tcW w:type="pct" w:w="11%"/>
          </w:tcPr>
          <w:p>
            <w:r>
              <w:rPr>
                <w:sz w:val="20"/>
                <w:szCs w:val="20"/>
              </w:rPr>
              <w:t xml:space="preserve">Pedagogical clarity</w:t>
            </w:r>
          </w:p>
        </w:tc>
        <w:tc>
          <w:tcPr>
            <w:tcW w:type="pct" w:w="5%"/>
          </w:tcPr>
          <w:p>
            <w:r>
              <w:rPr>
                <w:sz w:val="20"/>
                <w:szCs w:val="20"/>
              </w:rPr>
              <w:t xml:space="preserve">LOW</w:t>
            </w:r>
          </w:p>
        </w:tc>
        <w:tc>
          <w:tcPr>
            <w:tcW w:type="pct" w:w="32%"/>
          </w:tcPr>
          <w:p>
            <w:r>
              <w:rPr>
                <w:sz w:val="20"/>
                <w:szCs w:val="20"/>
              </w:rPr>
              <w:t xml:space="preserve">Fuzzy rules are introduced with the antecedent combining conditions using 'and', but the connection to the t-norm operator is not made until several paragraphs later. A reader unfamiliar with fuzzy logic may not realize that 'and' here is not classical Boolean conjunction.</w:t>
            </w:r>
          </w:p>
        </w:tc>
        <w:tc>
          <w:tcPr>
            <w:tcW w:type="pct" w:w="30%"/>
          </w:tcPr>
          <w:p>
            <w:r>
              <w:rPr>
                <w:sz w:val="20"/>
                <w:szCs w:val="20"/>
              </w:rPr>
              <w:t xml:space="preserve">At the first rule introduction, add parenthetically: '(where "and" is implemented as a t-norm — the default is min — rather than Boolean AND; details in the operators subsection below).'</w:t>
            </w:r>
          </w:p>
        </w:tc>
      </w:tr>
      <w:tr>
        <w:tc>
          <w:tcPr>
            <w:tcW w:type="pct" w:w="14%"/>
          </w:tcPr>
          <w:p>
            <w:r>
              <w:rPr>
                <w:sz w:val="20"/>
                <w:szCs w:val="20"/>
              </w:rPr>
              <w:t xml:space="preserve">lecture_11.tex</w:t>
            </w:r>
          </w:p>
        </w:tc>
        <w:tc>
          <w:tcPr>
            <w:tcW w:type="pct" w:w="8%"/>
          </w:tcPr>
          <w:p>
            <w:r>
              <w:rPr>
                <w:sz w:val="20"/>
                <w:szCs w:val="20"/>
              </w:rPr>
              <w:t xml:space="preserve">~37</w:t>
            </w:r>
          </w:p>
        </w:tc>
        <w:tc>
          <w:tcPr>
            <w:tcW w:type="pct" w:w="11%"/>
          </w:tcPr>
          <w:p>
            <w:r>
              <w:rPr>
                <w:sz w:val="20"/>
                <w:szCs w:val="20"/>
              </w:rPr>
              <w:t xml:space="preserve">Time-bound claim</w:t>
            </w:r>
          </w:p>
        </w:tc>
        <w:tc>
          <w:tcPr>
            <w:tcW w:type="pct" w:w="5%"/>
          </w:tcPr>
          <w:p>
            <w:r>
              <w:rPr>
                <w:sz w:val="20"/>
                <w:szCs w:val="20"/>
              </w:rPr>
              <w:t xml:space="preserve">LOW</w:t>
            </w:r>
          </w:p>
        </w:tc>
        <w:tc>
          <w:tcPr>
            <w:tcW w:type="pct" w:w="32%"/>
          </w:tcPr>
          <w:p>
            <w:r>
              <w:rPr>
                <w:sz w:val="20"/>
                <w:szCs w:val="20"/>
              </w:rPr>
              <w:t xml:space="preserve">The author's note asks 'why GAs are still relevant in 2026' — this hardcodes a year that will be stale in subsequent editions.</w:t>
            </w:r>
          </w:p>
        </w:tc>
        <w:tc>
          <w:tcPr>
            <w:tcW w:type="pct" w:w="30%"/>
          </w:tcPr>
          <w:p>
            <w:r>
              <w:rPr>
                <w:sz w:val="20"/>
                <w:szCs w:val="20"/>
              </w:rPr>
              <w:t xml:space="preserve">Change to 'why evolutionary algorithms remain relevant today'. The year should not appear in body text (it is already in the copyright page and preface).</w:t>
            </w:r>
          </w:p>
        </w:tc>
      </w:tr>
    </w:tbl>
    <w:p>
      <w:pPr>
        <w:pStyle w:val="Heading1"/>
        <w:spacing w:before="360" w:after="120"/>
      </w:pPr>
      <w:r>
        <w:t xml:space="preserve">2. Expanded Commentary on Key Issues</w:t>
      </w:r>
    </w:p>
    <w:p>
      <w:pPr>
        <w:pStyle w:val="Heading2"/>
        <w:spacing w:before="240" w:after="80"/>
      </w:pPr>
      <w:r>
        <w:t xml:space="preserve">2.1  Subsection titles in the Backpropagation chapter (HIGH IMPACT)</w:t>
      </w:r>
    </w:p>
    <w:p>
      <w:pPr>
        <w:spacing w:before="80" w:after="80"/>
      </w:pPr>
      <w:r>
        <w:rPr>
          <w:sz w:val="22"/>
          <w:szCs w:val="22"/>
        </w:rPr>
        <w:t xml:space="preserve">This is the most visible structural issue found in this pass. lecture_4_part_i.tex (Chapter 7: Backpropagation) contains four subsections whose titles include the phrase "Multi-Layer Perceptrons":</w:t>
      </w:r>
    </w:p>
    <w:p>
      <w:pPr>
        <w:pStyle w:val="ListParagraph"/>
        <w:numPr>
          <w:ilvl w:val="0"/>
          <w:numId w:val="1"/>
        </w:numPr>
        <w:spacing w:before="40" w:after="40"/>
      </w:pPr>
      <w:r>
        <w:t xml:space="preserve">Line 585: "Training Procedure and Epochs in Multi-Layer Perceptrons"</w:t>
      </w:r>
    </w:p>
    <w:p>
      <w:pPr>
        <w:pStyle w:val="ListParagraph"/>
        <w:numPr>
          <w:ilvl w:val="0"/>
          <w:numId w:val="1"/>
        </w:numPr>
        <w:spacing w:before="40" w:after="40"/>
      </w:pPr>
      <w:r>
        <w:t xml:space="preserve">Line 744: "Applications of Multi-Layer Perceptrons"</w:t>
      </w:r>
    </w:p>
    <w:p>
      <w:pPr>
        <w:pStyle w:val="ListParagraph"/>
        <w:numPr>
          <w:ilvl w:val="0"/>
          <w:numId w:val="1"/>
        </w:numPr>
        <w:spacing w:before="40" w:after="40"/>
      </w:pPr>
      <w:r>
        <w:t xml:space="preserve">Line 749: "Limitations of Multi-Layer Perceptrons"</w:t>
      </w:r>
    </w:p>
    <w:p>
      <w:pPr>
        <w:pStyle w:val="ListParagraph"/>
        <w:numPr>
          <w:ilvl w:val="0"/>
          <w:numId w:val="1"/>
        </w:numPr>
        <w:spacing w:before="40" w:after="40"/>
      </w:pPr>
      <w:r>
        <w:t xml:space="preserve">Line 760: "Conclusion of Multi-Layer Perceptron Derivations"</w:t>
      </w:r>
    </w:p>
    <w:p>
      <w:pPr>
        <w:spacing w:before="80" w:after="80"/>
      </w:pPr>
      <w:r>
        <w:rPr>
          <w:sz w:val="22"/>
          <w:szCs w:val="22"/>
        </w:rPr>
        <w:t xml:space="preserve">A reader scanning the table of contents or using the PDF outline will see these subsections nested under Chapter 7 (Backpropagation) but titled as if they belong to Chapter 6 (Multi-Layer Perceptrons). The fix is straightforward: remove the redundant qualifier. The chapter heading already establishes the MLP context; the subsection titles should name what they specifically cover.</w:t>
      </w:r>
    </w:p>
    <w:p/>
    <w:p>
      <w:pPr>
        <w:pStyle w:val="Heading2"/>
        <w:spacing w:before="240" w:after="80"/>
      </w:pPr>
      <w:r>
        <w:t xml:space="preserve">2.2  "Introduction to" prefix inconsistency (STYLE)</w:t>
      </w:r>
    </w:p>
    <w:p>
      <w:pPr>
        <w:spacing w:before="80" w:after="80"/>
      </w:pPr>
      <w:r>
        <w:rPr>
          <w:sz w:val="22"/>
          <w:szCs w:val="22"/>
        </w:rPr>
        <w:t xml:space="preserve">Five chapter titles begin with "Introduction to" while fourteen do not. This unintentionally signals to the reader that those five chapters are lighter treatments. The actual coverage is not lighter — Chapter 12 (RNNs) and Chapter 19 (Evolutionary Computing) are full technical chapters with worked examples and exercises.</w:t>
      </w:r>
    </w:p>
    <w:p>
      <w:pPr>
        <w:spacing w:before="80" w:after="80"/>
      </w:pPr>
      <w:r>
        <w:rPr>
          <w:sz w:val="22"/>
          <w:szCs w:val="22"/>
        </w:rPr>
        <w:t xml:space="preserve">Recommended resolution:</w:t>
      </w:r>
    </w:p>
    <w:p>
      <w:pPr>
        <w:pStyle w:val="ListParagraph"/>
        <w:numPr>
          <w:ilvl w:val="0"/>
          <w:numId w:val="1"/>
        </w:numPr>
        <w:spacing w:before="40" w:after="40"/>
      </w:pPr>
      <w:r>
        <w:t xml:space="preserve">KEEP "Introduction to" for Chapter 15 (Soft Computing) — it is genuinely an orientation chapter that motivates the fuzzy trilogy.</w:t>
      </w:r>
    </w:p>
    <w:p>
      <w:pPr>
        <w:pStyle w:val="ListParagraph"/>
        <w:numPr>
          <w:ilvl w:val="0"/>
          <w:numId w:val="1"/>
        </w:numPr>
        <w:spacing w:before="40" w:after="40"/>
      </w:pPr>
      <w:r>
        <w:t xml:space="preserve">REMOVE from Chapter 12: rename to "Recurrent Neural Networks" (or keep as "Recurrent Neural Networks: Dynamics, Memory, and Gating" for parallelism with Ch.14 Transformers format).</w:t>
      </w:r>
    </w:p>
    <w:p>
      <w:pPr>
        <w:pStyle w:val="ListParagraph"/>
        <w:numPr>
          <w:ilvl w:val="0"/>
          <w:numId w:val="1"/>
        </w:numPr>
        <w:spacing w:before="40" w:after="40"/>
      </w:pPr>
      <w:r>
        <w:t xml:space="preserve">REMOVE from Chapter 19: rename to "Evolutionary Computing: Search, Selection, and Adaptation" — paralleling Ch.14 and Ch.18 subtitle styles.</w:t>
      </w:r>
    </w:p>
    <w:p>
      <w:pPr>
        <w:pStyle w:val="ListParagraph"/>
        <w:numPr>
          <w:ilvl w:val="0"/>
          <w:numId w:val="1"/>
        </w:numPr>
        <w:spacing w:before="40" w:after="40"/>
      </w:pPr>
      <w:r>
        <w:t xml:space="preserve">Chapters 5 and 9 ("Introduction to Neural Networks" and "Introduction to Self-Organizing Networks") are genuinely introductory and lighter in scope, so the prefix is defensible there.</w:t>
      </w:r>
    </w:p>
    <w:p/>
    <w:p>
      <w:pPr>
        <w:pStyle w:val="Heading2"/>
        <w:spacing w:before="240" w:after="80"/>
      </w:pPr>
      <w:r>
        <w:t xml:space="preserve">2.3  HCode caption guards with identical branches (EPUB QUALITY)</w:t>
      </w:r>
    </w:p>
    <w:p>
      <w:pPr>
        <w:spacing w:before="80" w:after="80"/>
      </w:pPr>
      <w:r>
        <w:rPr>
          <w:sz w:val="22"/>
          <w:szCs w:val="22"/>
        </w:rPr>
        <w:t xml:space="preserve">Three figures in lecture_7.tex use the pattern:</w:t>
      </w:r>
    </w:p>
    <w:p>
      <w:pPr>
        <w:spacing w:before="80" w:after="80"/>
      </w:pPr>
      <w:r>
        <w:rPr>
          <w:sz w:val="22"/>
          <w:szCs w:val="22"/>
        </w:rPr>
        <w:t xml:space="preserve">  \ifdefined\HCode</w:t>
      </w:r>
    </w:p>
    <w:p>
      <w:pPr>
        <w:spacing w:before="80" w:after="80"/>
      </w:pPr>
      <w:r>
        <w:rPr>
          <w:sz w:val="22"/>
          <w:szCs w:val="22"/>
        </w:rPr>
        <w:t xml:space="preserve">    \caption{...same text...}</w:t>
      </w:r>
    </w:p>
    <w:p>
      <w:pPr>
        <w:spacing w:before="80" w:after="80"/>
      </w:pPr>
      <w:r>
        <w:rPr>
          <w:sz w:val="22"/>
          <w:szCs w:val="22"/>
        </w:rPr>
        <w:t xml:space="preserve">  \else</w:t>
      </w:r>
    </w:p>
    <w:p>
      <w:pPr>
        <w:spacing w:before="80" w:after="80"/>
      </w:pPr>
      <w:r>
        <w:rPr>
          <w:sz w:val="22"/>
          <w:szCs w:val="22"/>
        </w:rPr>
        <w:t xml:space="preserve">    \caption{...same text...}</w:t>
      </w:r>
    </w:p>
    <w:p>
      <w:pPr>
        <w:spacing w:before="80" w:after="80"/>
      </w:pPr>
      <w:r>
        <w:rPr>
          <w:sz w:val="22"/>
          <w:szCs w:val="22"/>
        </w:rPr>
        <w:t xml:space="preserve">  \fi</w:t>
      </w:r>
    </w:p>
    <w:p>
      <w:pPr>
        <w:spacing w:before="80" w:after="80"/>
      </w:pPr>
      <w:r>
        <w:rPr>
          <w:sz w:val="22"/>
          <w:szCs w:val="22"/>
        </w:rPr>
        <w:t xml:space="preserve">The intent is to provide a plain-text caption for TeX4ht (EPUB) and a richer caption for PDF. But since both branches are currently identical, the guard is doing nothing. The LSTM and GRU captions contain \citep{} commands; in TeX4ht, natbib citations in figure captions can render as broken tags or be omitted. The EPUB branch for those two figures should spell out the citation in plain text.</w:t>
      </w:r>
    </w:p>
    <w:p/>
    <w:p>
      <w:pPr>
        <w:pStyle w:val="Heading2"/>
        <w:spacing w:before="240" w:after="80"/>
      </w:pPr>
      <w:r>
        <w:t xml:space="preserve">2.4  Activation derivative table (QUALITY OF LIFE)</w:t>
      </w:r>
    </w:p>
    <w:p>
      <w:pPr>
        <w:spacing w:before="80" w:after="80"/>
      </w:pPr>
      <w:r>
        <w:rPr>
          <w:sz w:val="22"/>
          <w:szCs w:val="22"/>
        </w:rPr>
        <w:t xml:space="preserve">The sigmoid, tanh, and ReLU derivative identities are all correctly stated in a single prose sentence at lecture_4_part_i.tex line 708. A small display table would make these much easier to find during problem-solving:</w:t>
      </w:r>
    </w:p>
    <w:p>
      <w:pPr>
        <w:spacing w:before="80" w:after="80"/>
      </w:pPr>
      <w:r>
        <w:rPr>
          <w:sz w:val="22"/>
          <w:szCs w:val="22"/>
        </w:rPr>
        <w:t xml:space="preserve">  Activation f(x)  |  Derivative f'(x)           |  Reusable from forward pass?</w:t>
      </w:r>
    </w:p>
    <w:p>
      <w:pPr>
        <w:spacing w:before="80" w:after="80"/>
      </w:pPr>
      <w:r>
        <w:rPr>
          <w:sz w:val="22"/>
          <w:szCs w:val="22"/>
        </w:rPr>
        <w:t xml:space="preserve">  Sigmoid           |  f(x)(1 - f(x))             |  Yes</w:t>
      </w:r>
    </w:p>
    <w:p>
      <w:pPr>
        <w:spacing w:before="80" w:after="80"/>
      </w:pPr>
      <w:r>
        <w:rPr>
          <w:sz w:val="22"/>
          <w:szCs w:val="22"/>
        </w:rPr>
        <w:t xml:space="preserve">  tanh              |  1 - f(x)^2                 |  Yes</w:t>
      </w:r>
    </w:p>
    <w:p>
      <w:pPr>
        <w:spacing w:before="80" w:after="80"/>
      </w:pPr>
      <w:r>
        <w:rPr>
          <w:sz w:val="22"/>
          <w:szCs w:val="22"/>
        </w:rPr>
        <w:t xml:space="preserve">  ReLU              |  1_{x &gt; 0}                  |  No (need pre-activation sign)</w:t>
      </w:r>
    </w:p>
    <w:p>
      <w:pPr>
        <w:spacing w:before="80" w:after="80"/>
      </w:pPr>
      <w:r>
        <w:rPr>
          <w:sz w:val="22"/>
          <w:szCs w:val="22"/>
        </w:rPr>
        <w:t xml:space="preserve">The "Reusable from forward pass" column reinforces the key lesson of the backprop chapter: caching activations lets you compute derivatives cheaply.</w:t>
      </w:r>
    </w:p>
    <w:p/>
    <w:p>
      <w:pPr>
        <w:pStyle w:val="Heading2"/>
        <w:spacing w:before="240" w:after="80"/>
      </w:pPr>
      <w:r>
        <w:t xml:space="preserve">2.5  Hopfield energy descent — implicit step made explicit</w:t>
      </w:r>
    </w:p>
    <w:p>
      <w:pPr>
        <w:spacing w:before="80" w:after="80"/>
      </w:pPr>
      <w:r>
        <w:rPr>
          <w:sz w:val="22"/>
          <w:szCs w:val="22"/>
        </w:rPr>
        <w:t xml:space="preserve">The energy function derivation in lecture_5_part_ii.tex correctly states that E never increases under asynchronous updates. However, the reason why is slightly implicit: the proof states that Delta-E can be computed, but does not explicitly say "the update rule only fires when it produces Delta-E &lt;= 0." Adding one sentence closes this gap and makes the convergence argument self-contained for a first-time reader. See the recommended fix in the table above.</w:t>
      </w:r>
    </w:p>
    <w:p/>
    <w:p>
      <w:pPr>
        <w:pStyle w:val="Heading2"/>
        <w:spacing w:before="240" w:after="80"/>
      </w:pPr>
      <w:r>
        <w:t xml:space="preserve">2.6  Chapter 17 title (READABILITY)</w:t>
      </w:r>
    </w:p>
    <w:p>
      <w:pPr>
        <w:spacing w:before="80" w:after="80"/>
      </w:pPr>
      <w:r>
        <w:rPr>
          <w:sz w:val="22"/>
          <w:szCs w:val="22"/>
        </w:rPr>
        <w:t xml:space="preserve">"Fuzzy Set Transformations Between Related Universes" is technically precise but the phrase "related universes" is jargon that will puzzle a reader encountering it without context. The chapter covers cylindrical extension, projection, fuzzy relations, and the Zadeh extension principle. A title that names what the chapter contains is more accessible: "Fuzzy Relations: Composition, Projection, and the Extension Principle."</w:t>
      </w:r>
    </w:p>
    <w:p>
      <w:pPr>
        <w:pStyle w:val="Heading1"/>
        <w:spacing w:before="360" w:after="120"/>
      </w:pPr>
      <w:r>
        <w:t xml:space="preserve">3. Figure Caption Quality Assessment</w:t>
      </w:r>
    </w:p>
    <w:p>
      <w:pPr>
        <w:spacing w:before="80" w:after="80"/>
      </w:pPr>
      <w:r>
        <w:rPr>
          <w:sz w:val="22"/>
          <w:szCs w:val="22"/>
        </w:rPr>
        <w:t xml:space="preserve">The figure captions across the book were reviewed for completeness, accuracy, and grammar. The overall quality is high. Below is a summary by chapter:</w:t>
      </w:r>
    </w:p>
    <w:p>
      <w:pPr>
        <w:pStyle w:val="ListParagraph"/>
        <w:numPr>
          <w:ilvl w:val="0"/>
          <w:numId w:val="1"/>
        </w:numPr>
        <w:spacing w:before="40" w:after="40"/>
      </w:pPr>
      <w:r>
        <w:t xml:space="preserve">lecture_6.tex (CNN): Excellent. Captions are descriptive, include axis/subplot labels, and all illustrative figures carry "Source: author-generated." The dropout figure caption explicitly states that "the point is the shape of the curves, not the exact values" — this is exemplary.</w:t>
      </w:r>
    </w:p>
    <w:p>
      <w:pPr>
        <w:pStyle w:val="ListParagraph"/>
        <w:numPr>
          <w:ilvl w:val="0"/>
          <w:numId w:val="1"/>
        </w:numPr>
        <w:spacing w:before="40" w:after="40"/>
      </w:pPr>
      <w:r>
        <w:t xml:space="preserve">lecture_7.tex (RNN): Good overall. The BPTT unrolling caption is clear. The teacher-forcing diagram caption is excellent. The HCode caption guards are the only issue (see Section 2.3).</w:t>
      </w:r>
    </w:p>
    <w:p>
      <w:pPr>
        <w:pStyle w:val="ListParagraph"/>
        <w:numPr>
          <w:ilvl w:val="0"/>
          <w:numId w:val="1"/>
        </w:numPr>
        <w:spacing w:before="40" w:after="40"/>
      </w:pPr>
      <w:r>
        <w:t xml:space="preserve">lecture_4_part_i.tex (Backprop): Good. The computational graph caption correctly describes reverse-mode AD. The two-layer MLP flow caption is specific about what the colored arrows represent.</w:t>
      </w:r>
    </w:p>
    <w:p>
      <w:pPr>
        <w:pStyle w:val="ListParagraph"/>
        <w:numPr>
          <w:ilvl w:val="0"/>
          <w:numId w:val="1"/>
        </w:numPr>
        <w:spacing w:before="40" w:after="40"/>
      </w:pPr>
      <w:r>
        <w:t xml:space="preserve">lecture_transformers.tex: Excellent. The attention mask caption explicitly states "queries on rows, keys on columns" and distinguishes padding mask from causal mask. The LoRA caption correctly describes the low-rank factorization.</w:t>
      </w:r>
    </w:p>
    <w:p>
      <w:pPr>
        <w:pStyle w:val="ListParagraph"/>
        <w:numPr>
          <w:ilvl w:val="0"/>
          <w:numId w:val="1"/>
        </w:numPr>
        <w:spacing w:before="40" w:after="40"/>
      </w:pPr>
      <w:r>
        <w:t xml:space="preserve">lecture_11.tex (Evolutionary Computing): Strong use of "Use this to..." guidance in captions (e.g., "Use this to map an implementation to the canonical operator loop"), which is pedagogically distinctive.</w:t>
      </w:r>
    </w:p>
    <w:p>
      <w:pPr>
        <w:pStyle w:val="ListParagraph"/>
        <w:numPr>
          <w:ilvl w:val="0"/>
          <w:numId w:val="1"/>
        </w:numPr>
        <w:spacing w:before="40" w:after="40"/>
      </w:pPr>
      <w:r>
        <w:t xml:space="preserve">lecture_3_part_i.tex (Neural Networks): Only one figure; caption is adequate.</w:t>
      </w:r>
    </w:p>
    <w:p>
      <w:pPr>
        <w:spacing w:before="80" w:after="80"/>
      </w:pPr>
      <w:r>
        <w:rPr>
          <w:sz w:val="22"/>
          <w:szCs w:val="22"/>
        </w:rPr>
        <w:t xml:space="preserve">No caption contains a factual error. The HCode duplication in lecture_7.tex is the only systematic caption issue.</w:t>
      </w:r>
    </w:p>
    <w:p>
      <w:pPr>
        <w:pStyle w:val="Heading1"/>
        <w:spacing w:before="360" w:after="120"/>
      </w:pPr>
      <w:r>
        <w:t xml:space="preserve">4. Full Chapter Title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
            <w:shd w:fill="D9E2F3" w:val="clear"/>
          </w:tcPr>
          <w:p>
            <w:r>
              <w:rPr>
                <w:b/>
                <w:bCs/>
                <w:sz w:val="20"/>
                <w:szCs w:val="20"/>
              </w:rPr>
              <w:t xml:space="preserve">Ch.</w:t>
            </w:r>
          </w:p>
        </w:tc>
        <w:tc>
          <w:tcPr>
            <w:tcW w:type="pct" w:w="17%"/>
            <w:shd w:fill="D9E2F3" w:val="clear"/>
          </w:tcPr>
          <w:p>
            <w:r>
              <w:rPr>
                <w:b/>
                <w:bCs/>
                <w:sz w:val="20"/>
                <w:szCs w:val="20"/>
              </w:rPr>
              <w:t xml:space="preserve">File</w:t>
            </w:r>
          </w:p>
        </w:tc>
        <w:tc>
          <w:tcPr>
            <w:tcW w:type="pct" w:w="26%"/>
            <w:shd w:fill="D9E2F3" w:val="clear"/>
          </w:tcPr>
          <w:p>
            <w:r>
              <w:rPr>
                <w:b/>
                <w:bCs/>
                <w:sz w:val="20"/>
                <w:szCs w:val="20"/>
              </w:rPr>
              <w:t xml:space="preserve">Current Title</w:t>
            </w:r>
          </w:p>
        </w:tc>
        <w:tc>
          <w:tcPr>
            <w:tcW w:type="pct" w:w="53%"/>
            <w:shd w:fill="D9E2F3" w:val="clear"/>
          </w:tcPr>
          <w:p>
            <w:r>
              <w:rPr>
                <w:b/>
                <w:bCs/>
                <w:sz w:val="20"/>
                <w:szCs w:val="20"/>
              </w:rPr>
              <w:t xml:space="preserve">Assessment</w:t>
            </w:r>
          </w:p>
        </w:tc>
      </w:tr>
      <w:tr>
        <w:tc>
          <w:tcPr>
            <w:tcW w:type="pct" w:w="4%"/>
          </w:tcPr>
          <w:p>
            <w:r>
              <w:rPr>
                <w:sz w:val="20"/>
                <w:szCs w:val="20"/>
              </w:rPr>
              <w:t xml:space="preserve">1</w:t>
            </w:r>
          </w:p>
        </w:tc>
        <w:tc>
          <w:tcPr>
            <w:tcW w:type="pct" w:w="17%"/>
          </w:tcPr>
          <w:p>
            <w:r>
              <w:rPr>
                <w:sz w:val="20"/>
                <w:szCs w:val="20"/>
              </w:rPr>
              <w:t xml:space="preserve">lecture_1_intro.tex</w:t>
            </w:r>
          </w:p>
        </w:tc>
        <w:tc>
          <w:tcPr>
            <w:tcW w:type="pct" w:w="26%"/>
          </w:tcPr>
          <w:p>
            <w:r>
              <w:rPr>
                <w:sz w:val="20"/>
                <w:szCs w:val="20"/>
              </w:rPr>
              <w:t xml:space="preserve">About This Book</w:t>
            </w:r>
          </w:p>
        </w:tc>
        <w:tc>
          <w:tcPr>
            <w:tcW w:type="pct" w:w="53%"/>
          </w:tcPr>
          <w:p>
            <w:r>
              <w:rPr>
                <w:sz w:val="20"/>
                <w:szCs w:val="20"/>
              </w:rPr>
              <w:t xml:space="preserve">Clear and appropriate for an introduction chapter.</w:t>
            </w:r>
          </w:p>
        </w:tc>
      </w:tr>
      <w:tr>
        <w:tc>
          <w:tcPr>
            <w:tcW w:type="pct" w:w="4%"/>
          </w:tcPr>
          <w:p>
            <w:r>
              <w:rPr>
                <w:sz w:val="20"/>
                <w:szCs w:val="20"/>
              </w:rPr>
              <w:t xml:space="preserve">2</w:t>
            </w:r>
          </w:p>
        </w:tc>
        <w:tc>
          <w:tcPr>
            <w:tcW w:type="pct" w:w="17%"/>
          </w:tcPr>
          <w:p>
            <w:r>
              <w:rPr>
                <w:sz w:val="20"/>
                <w:szCs w:val="20"/>
              </w:rPr>
              <w:t xml:space="preserve">lecture_2_part_i.tex</w:t>
            </w:r>
          </w:p>
        </w:tc>
        <w:tc>
          <w:tcPr>
            <w:tcW w:type="pct" w:w="26%"/>
          </w:tcPr>
          <w:p>
            <w:r>
              <w:rPr>
                <w:sz w:val="20"/>
                <w:szCs w:val="20"/>
              </w:rPr>
              <w:t xml:space="preserve">Symbolic Integration and Problem-Solving Strategies</w:t>
            </w:r>
          </w:p>
        </w:tc>
        <w:tc>
          <w:tcPr>
            <w:tcW w:type="pct" w:w="53%"/>
          </w:tcPr>
          <w:p>
            <w:r>
              <w:rPr>
                <w:sz w:val="20"/>
                <w:szCs w:val="20"/>
              </w:rPr>
              <w:t xml:space="preserve">Good — descriptive and specific.</w:t>
            </w:r>
          </w:p>
        </w:tc>
      </w:tr>
      <w:tr>
        <w:tc>
          <w:tcPr>
            <w:tcW w:type="pct" w:w="4%"/>
          </w:tcPr>
          <w:p>
            <w:r>
              <w:rPr>
                <w:sz w:val="20"/>
                <w:szCs w:val="20"/>
              </w:rPr>
              <w:t xml:space="preserve">3</w:t>
            </w:r>
          </w:p>
        </w:tc>
        <w:tc>
          <w:tcPr>
            <w:tcW w:type="pct" w:w="17%"/>
          </w:tcPr>
          <w:p>
            <w:r>
              <w:rPr>
                <w:sz w:val="20"/>
                <w:szCs w:val="20"/>
              </w:rPr>
              <w:t xml:space="preserve">lecture_supervised.tex</w:t>
            </w:r>
          </w:p>
        </w:tc>
        <w:tc>
          <w:tcPr>
            <w:tcW w:type="pct" w:w="26%"/>
          </w:tcPr>
          <w:p>
            <w:r>
              <w:rPr>
                <w:sz w:val="20"/>
                <w:szCs w:val="20"/>
              </w:rPr>
              <w:t xml:space="preserve">Supervised Learning Foundations</w:t>
            </w:r>
          </w:p>
        </w:tc>
        <w:tc>
          <w:tcPr>
            <w:tcW w:type="pct" w:w="53%"/>
          </w:tcPr>
          <w:p>
            <w:r>
              <w:rPr>
                <w:sz w:val="20"/>
                <w:szCs w:val="20"/>
              </w:rPr>
              <w:t xml:space="preserve">Good — concise and accurate.</w:t>
            </w:r>
          </w:p>
        </w:tc>
      </w:tr>
      <w:tr>
        <w:tc>
          <w:tcPr>
            <w:tcW w:type="pct" w:w="4%"/>
          </w:tcPr>
          <w:p>
            <w:r>
              <w:rPr>
                <w:sz w:val="20"/>
                <w:szCs w:val="20"/>
              </w:rPr>
              <w:t xml:space="preserve">4</w:t>
            </w:r>
          </w:p>
        </w:tc>
        <w:tc>
          <w:tcPr>
            <w:tcW w:type="pct" w:w="17%"/>
          </w:tcPr>
          <w:p>
            <w:r>
              <w:rPr>
                <w:sz w:val="20"/>
                <w:szCs w:val="20"/>
              </w:rPr>
              <w:t xml:space="preserve">lecture_2_part_ii.tex</w:t>
            </w:r>
          </w:p>
        </w:tc>
        <w:tc>
          <w:tcPr>
            <w:tcW w:type="pct" w:w="26%"/>
          </w:tcPr>
          <w:p>
            <w:r>
              <w:rPr>
                <w:sz w:val="20"/>
                <w:szCs w:val="20"/>
              </w:rPr>
              <w:t xml:space="preserve">Classification and Logistic Regression</w:t>
            </w:r>
          </w:p>
        </w:tc>
        <w:tc>
          <w:tcPr>
            <w:tcW w:type="pct" w:w="53%"/>
          </w:tcPr>
          <w:p>
            <w:r>
              <w:rPr>
                <w:sz w:val="20"/>
                <w:szCs w:val="20"/>
              </w:rPr>
              <w:t xml:space="preserve">Good.</w:t>
            </w:r>
          </w:p>
        </w:tc>
      </w:tr>
      <w:tr>
        <w:tc>
          <w:tcPr>
            <w:tcW w:type="pct" w:w="4%"/>
          </w:tcPr>
          <w:p>
            <w:r>
              <w:rPr>
                <w:sz w:val="20"/>
                <w:szCs w:val="20"/>
              </w:rPr>
              <w:t xml:space="preserve">5</w:t>
            </w:r>
          </w:p>
        </w:tc>
        <w:tc>
          <w:tcPr>
            <w:tcW w:type="pct" w:w="17%"/>
          </w:tcPr>
          <w:p>
            <w:r>
              <w:rPr>
                <w:sz w:val="20"/>
                <w:szCs w:val="20"/>
              </w:rPr>
              <w:t xml:space="preserve">lecture_3_part_i.tex</w:t>
            </w:r>
          </w:p>
        </w:tc>
        <w:tc>
          <w:tcPr>
            <w:tcW w:type="pct" w:w="26%"/>
          </w:tcPr>
          <w:p>
            <w:r>
              <w:rPr>
                <w:sz w:val="20"/>
                <w:szCs w:val="20"/>
              </w:rPr>
              <w:t xml:space="preserve">Introduction to Neural Networks</w:t>
            </w:r>
          </w:p>
        </w:tc>
        <w:tc>
          <w:tcPr>
            <w:tcW w:type="pct" w:w="53%"/>
          </w:tcPr>
          <w:p>
            <w:r>
              <w:rPr>
                <w:sz w:val="20"/>
                <w:szCs w:val="20"/>
              </w:rPr>
              <w:t xml:space="preserve">Acceptable — genuinely introductory in scope.</w:t>
            </w:r>
          </w:p>
        </w:tc>
      </w:tr>
      <w:tr>
        <w:tc>
          <w:tcPr>
            <w:tcW w:type="pct" w:w="4%"/>
          </w:tcPr>
          <w:p>
            <w:r>
              <w:rPr>
                <w:sz w:val="20"/>
                <w:szCs w:val="20"/>
              </w:rPr>
              <w:t xml:space="preserve">6</w:t>
            </w:r>
          </w:p>
        </w:tc>
        <w:tc>
          <w:tcPr>
            <w:tcW w:type="pct" w:w="17%"/>
          </w:tcPr>
          <w:p>
            <w:r>
              <w:rPr>
                <w:sz w:val="20"/>
                <w:szCs w:val="20"/>
              </w:rPr>
              <w:t xml:space="preserve">lecture_3_part_ii.tex</w:t>
            </w:r>
          </w:p>
        </w:tc>
        <w:tc>
          <w:tcPr>
            <w:tcW w:type="pct" w:w="26%"/>
          </w:tcPr>
          <w:p>
            <w:r>
              <w:rPr>
                <w:sz w:val="20"/>
                <w:szCs w:val="20"/>
              </w:rPr>
              <w:t xml:space="preserve">Multi-Layer Perceptrons: Challenges and Foundations</w:t>
            </w:r>
          </w:p>
        </w:tc>
        <w:tc>
          <w:tcPr>
            <w:tcW w:type="pct" w:w="53%"/>
          </w:tcPr>
          <w:p>
            <w:r>
              <w:rPr>
                <w:sz w:val="20"/>
                <w:szCs w:val="20"/>
              </w:rPr>
              <w:t xml:space="preserve">Good — the subtitle adds information.</w:t>
            </w:r>
          </w:p>
        </w:tc>
      </w:tr>
      <w:tr>
        <w:tc>
          <w:tcPr>
            <w:tcW w:type="pct" w:w="4%"/>
          </w:tcPr>
          <w:p>
            <w:r>
              <w:rPr>
                <w:sz w:val="20"/>
                <w:szCs w:val="20"/>
              </w:rPr>
              <w:t xml:space="preserve">7</w:t>
            </w:r>
          </w:p>
        </w:tc>
        <w:tc>
          <w:tcPr>
            <w:tcW w:type="pct" w:w="17%"/>
          </w:tcPr>
          <w:p>
            <w:r>
              <w:rPr>
                <w:sz w:val="20"/>
                <w:szCs w:val="20"/>
              </w:rPr>
              <w:t xml:space="preserve">lecture_4_part_i.tex</w:t>
            </w:r>
          </w:p>
        </w:tc>
        <w:tc>
          <w:tcPr>
            <w:tcW w:type="pct" w:w="26%"/>
          </w:tcPr>
          <w:p>
            <w:r>
              <w:rPr>
                <w:sz w:val="20"/>
                <w:szCs w:val="20"/>
              </w:rPr>
              <w:t xml:space="preserve">Backpropagation Learning in Multi-Layer Perceptrons</w:t>
            </w:r>
          </w:p>
        </w:tc>
        <w:tc>
          <w:tcPr>
            <w:tcW w:type="pct" w:w="53%"/>
          </w:tcPr>
          <w:p>
            <w:r>
              <w:rPr>
                <w:sz w:val="20"/>
                <w:szCs w:val="20"/>
              </w:rPr>
              <w:t xml:space="preserve">Good title; internal subsection titles need fixing (see Section 2.1).</w:t>
            </w:r>
          </w:p>
        </w:tc>
      </w:tr>
      <w:tr>
        <w:tc>
          <w:tcPr>
            <w:tcW w:type="pct" w:w="4%"/>
          </w:tcPr>
          <w:p>
            <w:r>
              <w:rPr>
                <w:sz w:val="20"/>
                <w:szCs w:val="20"/>
              </w:rPr>
              <w:t xml:space="preserve">8</w:t>
            </w:r>
          </w:p>
        </w:tc>
        <w:tc>
          <w:tcPr>
            <w:tcW w:type="pct" w:w="17%"/>
          </w:tcPr>
          <w:p>
            <w:r>
              <w:rPr>
                <w:sz w:val="20"/>
                <w:szCs w:val="20"/>
              </w:rPr>
              <w:t xml:space="preserve">lecture_4_part_ii.tex</w:t>
            </w:r>
          </w:p>
        </w:tc>
        <w:tc>
          <w:tcPr>
            <w:tcW w:type="pct" w:w="26%"/>
          </w:tcPr>
          <w:p>
            <w:r>
              <w:rPr>
                <w:sz w:val="20"/>
                <w:szCs w:val="20"/>
              </w:rPr>
              <w:t xml:space="preserve">Radial Basis Function Networks (RBFNs)</w:t>
            </w:r>
          </w:p>
        </w:tc>
        <w:tc>
          <w:tcPr>
            <w:tcW w:type="pct" w:w="53%"/>
          </w:tcPr>
          <w:p>
            <w:r>
              <w:rPr>
                <w:sz w:val="20"/>
                <w:szCs w:val="20"/>
              </w:rPr>
              <w:t xml:space="preserve">MINOR: Remove the acronym from the title. No other chapter does this.</w:t>
            </w:r>
          </w:p>
        </w:tc>
      </w:tr>
      <w:tr>
        <w:tc>
          <w:tcPr>
            <w:tcW w:type="pct" w:w="4%"/>
          </w:tcPr>
          <w:p>
            <w:r>
              <w:rPr>
                <w:sz w:val="20"/>
                <w:szCs w:val="20"/>
              </w:rPr>
              <w:t xml:space="preserve">9</w:t>
            </w:r>
          </w:p>
        </w:tc>
        <w:tc>
          <w:tcPr>
            <w:tcW w:type="pct" w:w="17%"/>
          </w:tcPr>
          <w:p>
            <w:r>
              <w:rPr>
                <w:sz w:val="20"/>
                <w:szCs w:val="20"/>
              </w:rPr>
              <w:t xml:space="preserve">lecture_5_part_i.tex</w:t>
            </w:r>
          </w:p>
        </w:tc>
        <w:tc>
          <w:tcPr>
            <w:tcW w:type="pct" w:w="26%"/>
          </w:tcPr>
          <w:p>
            <w:r>
              <w:rPr>
                <w:sz w:val="20"/>
                <w:szCs w:val="20"/>
              </w:rPr>
              <w:t xml:space="preserve">Introduction to Self-Organizing Networks and Unsupervised Learning</w:t>
            </w:r>
          </w:p>
        </w:tc>
        <w:tc>
          <w:tcPr>
            <w:tcW w:type="pct" w:w="53%"/>
          </w:tcPr>
          <w:p>
            <w:r>
              <w:rPr>
                <w:sz w:val="20"/>
                <w:szCs w:val="20"/>
              </w:rPr>
              <w:t xml:space="preserve">Acceptable but long. Consider shortening to "Self-Organizing Maps and Unsupervised Learning".</w:t>
            </w:r>
          </w:p>
        </w:tc>
      </w:tr>
      <w:tr>
        <w:tc>
          <w:tcPr>
            <w:tcW w:type="pct" w:w="4%"/>
          </w:tcPr>
          <w:p>
            <w:r>
              <w:rPr>
                <w:sz w:val="20"/>
                <w:szCs w:val="20"/>
              </w:rPr>
              <w:t xml:space="preserve">10</w:t>
            </w:r>
          </w:p>
        </w:tc>
        <w:tc>
          <w:tcPr>
            <w:tcW w:type="pct" w:w="17%"/>
          </w:tcPr>
          <w:p>
            <w:r>
              <w:rPr>
                <w:sz w:val="20"/>
                <w:szCs w:val="20"/>
              </w:rPr>
              <w:t xml:space="preserve">lecture_5_part_ii.tex</w:t>
            </w:r>
          </w:p>
        </w:tc>
        <w:tc>
          <w:tcPr>
            <w:tcW w:type="pct" w:w="26%"/>
          </w:tcPr>
          <w:p>
            <w:r>
              <w:rPr>
                <w:sz w:val="20"/>
                <w:szCs w:val="20"/>
              </w:rPr>
              <w:t xml:space="preserve">Hopfield Networks: Introduction and Context</w:t>
            </w:r>
          </w:p>
        </w:tc>
        <w:tc>
          <w:tcPr>
            <w:tcW w:type="pct" w:w="53%"/>
          </w:tcPr>
          <w:p>
            <w:r>
              <w:rPr>
                <w:sz w:val="20"/>
                <w:szCs w:val="20"/>
              </w:rPr>
              <w:t xml:space="preserve">The subtitle "Introduction and Context" is vague. Better: "Hopfield Networks: Energy-Based Associative Memory".</w:t>
            </w:r>
          </w:p>
        </w:tc>
      </w:tr>
      <w:tr>
        <w:tc>
          <w:tcPr>
            <w:tcW w:type="pct" w:w="4%"/>
          </w:tcPr>
          <w:p>
            <w:r>
              <w:rPr>
                <w:sz w:val="20"/>
                <w:szCs w:val="20"/>
              </w:rPr>
              <w:t xml:space="preserve">11</w:t>
            </w:r>
          </w:p>
        </w:tc>
        <w:tc>
          <w:tcPr>
            <w:tcW w:type="pct" w:w="17%"/>
          </w:tcPr>
          <w:p>
            <w:r>
              <w:rPr>
                <w:sz w:val="20"/>
                <w:szCs w:val="20"/>
              </w:rPr>
              <w:t xml:space="preserve">lecture_6.tex</w:t>
            </w:r>
          </w:p>
        </w:tc>
        <w:tc>
          <w:tcPr>
            <w:tcW w:type="pct" w:w="26%"/>
          </w:tcPr>
          <w:p>
            <w:r>
              <w:rPr>
                <w:sz w:val="20"/>
                <w:szCs w:val="20"/>
              </w:rPr>
              <w:t xml:space="preserve">Convolutional Neural Networks and Deep Training Tools</w:t>
            </w:r>
          </w:p>
        </w:tc>
        <w:tc>
          <w:tcPr>
            <w:tcW w:type="pct" w:w="53%"/>
          </w:tcPr>
          <w:p>
            <w:r>
              <w:rPr>
                <w:sz w:val="20"/>
                <w:szCs w:val="20"/>
              </w:rPr>
              <w:t xml:space="preserve">Good — accurately captures both CNNs and the training-tool content.</w:t>
            </w:r>
          </w:p>
        </w:tc>
      </w:tr>
      <w:tr>
        <w:tc>
          <w:tcPr>
            <w:tcW w:type="pct" w:w="4%"/>
          </w:tcPr>
          <w:p>
            <w:r>
              <w:rPr>
                <w:sz w:val="20"/>
                <w:szCs w:val="20"/>
              </w:rPr>
              <w:t xml:space="preserve">12</w:t>
            </w:r>
          </w:p>
        </w:tc>
        <w:tc>
          <w:tcPr>
            <w:tcW w:type="pct" w:w="17%"/>
          </w:tcPr>
          <w:p>
            <w:r>
              <w:rPr>
                <w:sz w:val="20"/>
                <w:szCs w:val="20"/>
              </w:rPr>
              <w:t xml:space="preserve">lecture_7.tex</w:t>
            </w:r>
          </w:p>
        </w:tc>
        <w:tc>
          <w:tcPr>
            <w:tcW w:type="pct" w:w="26%"/>
          </w:tcPr>
          <w:p>
            <w:r>
              <w:rPr>
                <w:sz w:val="20"/>
                <w:szCs w:val="20"/>
              </w:rPr>
              <w:t xml:space="preserve">Introduction to Recurrent Neural Networks</w:t>
            </w:r>
          </w:p>
        </w:tc>
        <w:tc>
          <w:tcPr>
            <w:tcW w:type="pct" w:w="53%"/>
          </w:tcPr>
          <w:p>
            <w:r>
              <w:rPr>
                <w:sz w:val="20"/>
                <w:szCs w:val="20"/>
              </w:rPr>
              <w:t xml:space="preserve">RECOMMEND: Remove "Introduction to". Chapter is a full treatment including BPTT, LSTM, GRU, and attention bridges.</w:t>
            </w:r>
          </w:p>
        </w:tc>
      </w:tr>
      <w:tr>
        <w:tc>
          <w:tcPr>
            <w:tcW w:type="pct" w:w="4%"/>
          </w:tcPr>
          <w:p>
            <w:r>
              <w:rPr>
                <w:sz w:val="20"/>
                <w:szCs w:val="20"/>
              </w:rPr>
              <w:t xml:space="preserve">13</w:t>
            </w:r>
          </w:p>
        </w:tc>
        <w:tc>
          <w:tcPr>
            <w:tcW w:type="pct" w:w="17%"/>
          </w:tcPr>
          <w:p>
            <w:r>
              <w:rPr>
                <w:sz w:val="20"/>
                <w:szCs w:val="20"/>
              </w:rPr>
              <w:t xml:space="preserve">lecture_8_part_i.tex</w:t>
            </w:r>
          </w:p>
        </w:tc>
        <w:tc>
          <w:tcPr>
            <w:tcW w:type="pct" w:w="26%"/>
          </w:tcPr>
          <w:p>
            <w:r>
              <w:rPr>
                <w:sz w:val="20"/>
                <w:szCs w:val="20"/>
              </w:rPr>
              <w:t xml:space="preserve">Neural Network Applications in Natural Language Processing</w:t>
            </w:r>
          </w:p>
        </w:tc>
        <w:tc>
          <w:tcPr>
            <w:tcW w:type="pct" w:w="53%"/>
          </w:tcPr>
          <w:p>
            <w:r>
              <w:rPr>
                <w:sz w:val="20"/>
                <w:szCs w:val="20"/>
              </w:rPr>
              <w:t xml:space="preserve">Slightly verbose. Consider "Embeddings and Neural NLP: Word2Vec to Contextual Representations".</w:t>
            </w:r>
          </w:p>
        </w:tc>
      </w:tr>
      <w:tr>
        <w:tc>
          <w:tcPr>
            <w:tcW w:type="pct" w:w="4%"/>
          </w:tcPr>
          <w:p>
            <w:r>
              <w:rPr>
                <w:sz w:val="20"/>
                <w:szCs w:val="20"/>
              </w:rPr>
              <w:t xml:space="preserve">14</w:t>
            </w:r>
          </w:p>
        </w:tc>
        <w:tc>
          <w:tcPr>
            <w:tcW w:type="pct" w:w="17%"/>
          </w:tcPr>
          <w:p>
            <w:r>
              <w:rPr>
                <w:sz w:val="20"/>
                <w:szCs w:val="20"/>
              </w:rPr>
              <w:t xml:space="preserve">lecture_transformers.tex</w:t>
            </w:r>
          </w:p>
        </w:tc>
        <w:tc>
          <w:tcPr>
            <w:tcW w:type="pct" w:w="26%"/>
          </w:tcPr>
          <w:p>
            <w:r>
              <w:rPr>
                <w:sz w:val="20"/>
                <w:szCs w:val="20"/>
              </w:rPr>
              <w:t xml:space="preserve">Transformers: Attention-Based Sequence Modeling</w:t>
            </w:r>
          </w:p>
        </w:tc>
        <w:tc>
          <w:tcPr>
            <w:tcW w:type="pct" w:w="53%"/>
          </w:tcPr>
          <w:p>
            <w:r>
              <w:rPr>
                <w:sz w:val="20"/>
                <w:szCs w:val="20"/>
              </w:rPr>
              <w:t xml:space="preserve">Excellent — clear and specific.</w:t>
            </w:r>
          </w:p>
        </w:tc>
      </w:tr>
      <w:tr>
        <w:tc>
          <w:tcPr>
            <w:tcW w:type="pct" w:w="4%"/>
          </w:tcPr>
          <w:p>
            <w:r>
              <w:rPr>
                <w:sz w:val="20"/>
                <w:szCs w:val="20"/>
              </w:rPr>
              <w:t xml:space="preserve">15</w:t>
            </w:r>
          </w:p>
        </w:tc>
        <w:tc>
          <w:tcPr>
            <w:tcW w:type="pct" w:w="17%"/>
          </w:tcPr>
          <w:p>
            <w:r>
              <w:rPr>
                <w:sz w:val="20"/>
                <w:szCs w:val="20"/>
              </w:rPr>
              <w:t xml:space="preserve">lecture_8_part_ii.tex</w:t>
            </w:r>
          </w:p>
        </w:tc>
        <w:tc>
          <w:tcPr>
            <w:tcW w:type="pct" w:w="26%"/>
          </w:tcPr>
          <w:p>
            <w:r>
              <w:rPr>
                <w:sz w:val="20"/>
                <w:szCs w:val="20"/>
              </w:rPr>
              <w:t xml:space="preserve">Introduction to Soft Computing</w:t>
            </w:r>
          </w:p>
        </w:tc>
        <w:tc>
          <w:tcPr>
            <w:tcW w:type="pct" w:w="53%"/>
          </w:tcPr>
          <w:p>
            <w:r>
              <w:rPr>
                <w:sz w:val="20"/>
                <w:szCs w:val="20"/>
              </w:rPr>
              <w:t xml:space="preserve">Appropriate — this IS an orientation chapter.</w:t>
            </w:r>
          </w:p>
        </w:tc>
      </w:tr>
      <w:tr>
        <w:tc>
          <w:tcPr>
            <w:tcW w:type="pct" w:w="4%"/>
          </w:tcPr>
          <w:p>
            <w:r>
              <w:rPr>
                <w:sz w:val="20"/>
                <w:szCs w:val="20"/>
              </w:rPr>
              <w:t xml:space="preserve">16</w:t>
            </w:r>
          </w:p>
        </w:tc>
        <w:tc>
          <w:tcPr>
            <w:tcW w:type="pct" w:w="17%"/>
          </w:tcPr>
          <w:p>
            <w:r>
              <w:rPr>
                <w:sz w:val="20"/>
                <w:szCs w:val="20"/>
              </w:rPr>
              <w:t xml:space="preserve">lecture_9.tex</w:t>
            </w:r>
          </w:p>
        </w:tc>
        <w:tc>
          <w:tcPr>
            <w:tcW w:type="pct" w:w="26%"/>
          </w:tcPr>
          <w:p>
            <w:r>
              <w:rPr>
                <w:sz w:val="20"/>
                <w:szCs w:val="20"/>
              </w:rPr>
              <w:t xml:space="preserve">Fuzzy Sets and Membership Functions: Foundations and Representations</w:t>
            </w:r>
          </w:p>
        </w:tc>
        <w:tc>
          <w:tcPr>
            <w:tcW w:type="pct" w:w="53%"/>
          </w:tcPr>
          <w:p>
            <w:r>
              <w:rPr>
                <w:sz w:val="20"/>
                <w:szCs w:val="20"/>
              </w:rPr>
              <w:t xml:space="preserve">Good — thorough and accurate.</w:t>
            </w:r>
          </w:p>
        </w:tc>
      </w:tr>
      <w:tr>
        <w:tc>
          <w:tcPr>
            <w:tcW w:type="pct" w:w="4%"/>
          </w:tcPr>
          <w:p>
            <w:r>
              <w:rPr>
                <w:sz w:val="20"/>
                <w:szCs w:val="20"/>
              </w:rPr>
              <w:t xml:space="preserve">17</w:t>
            </w:r>
          </w:p>
        </w:tc>
        <w:tc>
          <w:tcPr>
            <w:tcW w:type="pct" w:w="17%"/>
          </w:tcPr>
          <w:p>
            <w:r>
              <w:rPr>
                <w:sz w:val="20"/>
                <w:szCs w:val="20"/>
              </w:rPr>
              <w:t xml:space="preserve">lecture_10_part_i.tex</w:t>
            </w:r>
          </w:p>
        </w:tc>
        <w:tc>
          <w:tcPr>
            <w:tcW w:type="pct" w:w="26%"/>
          </w:tcPr>
          <w:p>
            <w:r>
              <w:rPr>
                <w:sz w:val="20"/>
                <w:szCs w:val="20"/>
              </w:rPr>
              <w:t xml:space="preserve">Fuzzy Set Transformations Between Related Universes</w:t>
            </w:r>
          </w:p>
        </w:tc>
        <w:tc>
          <w:tcPr>
            <w:tcW w:type="pct" w:w="53%"/>
          </w:tcPr>
          <w:p>
            <w:r>
              <w:rPr>
                <w:sz w:val="20"/>
                <w:szCs w:val="20"/>
              </w:rPr>
              <w:t xml:space="preserve">RECOMMEND: Rename to "Fuzzy Relations: Composition, Projection, and the Extension Principle".</w:t>
            </w:r>
          </w:p>
        </w:tc>
      </w:tr>
      <w:tr>
        <w:tc>
          <w:tcPr>
            <w:tcW w:type="pct" w:w="4%"/>
          </w:tcPr>
          <w:p>
            <w:r>
              <w:rPr>
                <w:sz w:val="20"/>
                <w:szCs w:val="20"/>
              </w:rPr>
              <w:t xml:space="preserve">18</w:t>
            </w:r>
          </w:p>
        </w:tc>
        <w:tc>
          <w:tcPr>
            <w:tcW w:type="pct" w:w="17%"/>
          </w:tcPr>
          <w:p>
            <w:r>
              <w:rPr>
                <w:sz w:val="20"/>
                <w:szCs w:val="20"/>
              </w:rPr>
              <w:t xml:space="preserve">lecture_10_part_ii.tex</w:t>
            </w:r>
          </w:p>
        </w:tc>
        <w:tc>
          <w:tcPr>
            <w:tcW w:type="pct" w:w="26%"/>
          </w:tcPr>
          <w:p>
            <w:r>
              <w:rPr>
                <w:sz w:val="20"/>
                <w:szCs w:val="20"/>
              </w:rPr>
              <w:t xml:space="preserve">Fuzzy Inference Systems: Rule Composition and Output Calculation</w:t>
            </w:r>
          </w:p>
        </w:tc>
        <w:tc>
          <w:tcPr>
            <w:tcW w:type="pct" w:w="53%"/>
          </w:tcPr>
          <w:p>
            <w:r>
              <w:rPr>
                <w:sz w:val="20"/>
                <w:szCs w:val="20"/>
              </w:rPr>
              <w:t xml:space="preserve">Good — detailed and accurate.</w:t>
            </w:r>
          </w:p>
        </w:tc>
      </w:tr>
      <w:tr>
        <w:tc>
          <w:tcPr>
            <w:tcW w:type="pct" w:w="4%"/>
          </w:tcPr>
          <w:p>
            <w:r>
              <w:rPr>
                <w:sz w:val="20"/>
                <w:szCs w:val="20"/>
              </w:rPr>
              <w:t xml:space="preserve">19</w:t>
            </w:r>
          </w:p>
        </w:tc>
        <w:tc>
          <w:tcPr>
            <w:tcW w:type="pct" w:w="17%"/>
          </w:tcPr>
          <w:p>
            <w:r>
              <w:rPr>
                <w:sz w:val="20"/>
                <w:szCs w:val="20"/>
              </w:rPr>
              <w:t xml:space="preserve">lecture_11.tex</w:t>
            </w:r>
          </w:p>
        </w:tc>
        <w:tc>
          <w:tcPr>
            <w:tcW w:type="pct" w:w="26%"/>
          </w:tcPr>
          <w:p>
            <w:r>
              <w:rPr>
                <w:sz w:val="20"/>
                <w:szCs w:val="20"/>
              </w:rPr>
              <w:t xml:space="preserve">Introduction to Evolutionary Computing</w:t>
            </w:r>
          </w:p>
        </w:tc>
        <w:tc>
          <w:tcPr>
            <w:tcW w:type="pct" w:w="53%"/>
          </w:tcPr>
          <w:p>
            <w:r>
              <w:rPr>
                <w:sz w:val="20"/>
                <w:szCs w:val="20"/>
              </w:rPr>
              <w:t xml:space="preserve">RECOMMEND: Remove "Introduction to". Rename to "Evolutionary Computing: Search, Selection, and Adaptation".</w:t>
            </w:r>
          </w:p>
        </w:tc>
      </w:tr>
    </w:tbl>
    <w:p/>
    <w:p>
      <w:pPr>
        <w:pStyle w:val="Heading1"/>
        <w:spacing w:before="360" w:after="120"/>
      </w:pPr>
      <w:r>
        <w:t xml:space="preserve">5. Summary</w:t>
      </w:r>
    </w:p>
    <w:p>
      <w:pPr>
        <w:spacing w:before="80" w:after="80"/>
      </w:pPr>
      <w:r>
        <w:rPr>
          <w:sz w:val="22"/>
          <w:szCs w:val="22"/>
        </w:rPr>
        <w:t xml:space="preserve">The book is mathematically rigorous throughout. Every core derivation checked — perceptron convergence, sigmoid/tanh/ReLU derivatives, backpropagation delta recursion, Hopfield energy descent, centroid defuzzification, SOM update rule, LSTM/GRU gate equations — is correct.</w:t>
      </w:r>
    </w:p>
    <w:p/>
    <w:p>
      <w:pPr>
        <w:spacing w:before="80" w:after="80"/>
      </w:pPr>
      <w:r>
        <w:rPr>
          <w:sz w:val="22"/>
          <w:szCs w:val="22"/>
        </w:rPr>
        <w:t xml:space="preserve">The issues in this pass are entirely presentational: three chapter titles that could be sharpened, four subsection titles with a redundant qualifier in the backprop chapter, two EPUB-grade caption guard bugs, and a handful of notation clarity suggestions. None of these affect the mathematical content; they affect how easily a reader navigates and references the material.</w:t>
      </w:r>
    </w:p>
    <w:p/>
    <w:p>
      <w:pPr>
        <w:spacing w:before="80" w:after="80"/>
      </w:pPr>
      <w:r>
        <w:rPr>
          <w:sz w:val="22"/>
          <w:szCs w:val="22"/>
        </w:rPr>
        <w:t xml:space="preserve">Priority order for addressing these: (1) fix the four backprop subsection titles (30 seconds of editing with high reader-experience payoff); (2) fix the HCode caption guards for LSTM and GRU figures (correct the EPUB branch to remove \citep{}); (3) consider renaming Ch.17 and removing "Introduction to" from Ch.12 and Ch.19; (4) add the activation-derivative table; (5) tighten the Hopfield convergence paragraph.</w:t>
      </w:r>
    </w:p>
    <w:p>
      <w:pPr>
        <w:pStyle w:val="Heading1"/>
        <w:spacing w:before="360" w:after="120"/>
      </w:pPr>
      <w:r>
        <w:t xml:space="preserve">6. Chapter 2 Deep Review: Symbolic Integration</w:t>
      </w:r>
    </w:p>
    <w:p>
      <w:pPr>
        <w:pStyle w:val="Heading2"/>
        <w:spacing w:before="240" w:after="80"/>
      </w:pPr>
      <w:r>
        <w:t xml:space="preserve">6.1  Mathematical correctness</w:t>
      </w:r>
    </w:p>
    <w:p>
      <w:pPr>
        <w:spacing w:before="80" w:after="80"/>
      </w:pPr>
      <w:r>
        <w:rPr>
          <w:sz w:val="22"/>
          <w:szCs w:val="22"/>
        </w:rPr>
        <w:t xml:space="preserve">Chapter 2 (lecture_2_part_i.tex) was read in full. All mathematical content is correct:</w:t>
      </w:r>
    </w:p>
    <w:p>
      <w:pPr>
        <w:pStyle w:val="ListParagraph"/>
        <w:numPr>
          <w:ilvl w:val="0"/>
          <w:numId w:val="1"/>
        </w:numPr>
        <w:spacing w:before="40" w:after="40"/>
      </w:pPr>
      <w:r>
        <w:t xml:space="preserve">The safe transformation for linear substitution u = ax+b is correctly derived: dx = du/a and the integral scales by 1/a. Domain invertibility is explicitly stated (a != 0).</w:t>
      </w:r>
    </w:p>
    <w:p>
      <w:pPr>
        <w:pStyle w:val="ListParagraph"/>
        <w:numPr>
          <w:ilvl w:val="0"/>
          <w:numId w:val="1"/>
        </w:numPr>
        <w:spacing w:before="40" w:after="40"/>
      </w:pPr>
      <w:r>
        <w:t xml:space="preserve">The trigonometric substitution x = sin y restricts y to [-pi/2, pi/2] to maintain bijectivity on |x| &lt;= 1, and the branch condition cos y &gt;= 0 is explicitly stated. This is careful and correct.</w:t>
      </w:r>
    </w:p>
    <w:p>
      <w:pPr>
        <w:pStyle w:val="ListParagraph"/>
        <w:numPr>
          <w:ilvl w:val="0"/>
          <w:numId w:val="1"/>
        </w:numPr>
        <w:spacing w:before="40" w:after="40"/>
      </w:pPr>
      <w:r>
        <w:t xml:space="preserve">The reduction from the original integral to 4*integral(sec^4 y dy): the exponent arithmetic (cos y / (cos^2 y)^(5/2) = cos y / cos^5 y = cos^(-4) y = sec^4 y) is shown explicitly and is correct.</w:t>
      </w:r>
    </w:p>
    <w:p>
      <w:pPr>
        <w:pStyle w:val="ListParagraph"/>
        <w:numPr>
          <w:ilvl w:val="0"/>
          <w:numId w:val="1"/>
        </w:numPr>
        <w:spacing w:before="40" w:after="40"/>
      </w:pPr>
      <w:r>
        <w:t xml:space="preserve">Both solution paths (u = tan y substitution and sec^n reduction formula) are verified to give 4 tan y + (4/3) tan^3 y + C. The reduction formula application at n=4 is correct: (sec^2 y tan y)/3 + (2/3) tan y = tan y(1+tan^2 y)/3 + 2 tan y/3 = tan y + tan^3 y/3, then multiplied by 4.</w:t>
      </w:r>
    </w:p>
    <w:p>
      <w:pPr>
        <w:pStyle w:val="ListParagraph"/>
        <w:numPr>
          <w:ilvl w:val="0"/>
          <w:numId w:val="1"/>
        </w:numPr>
        <w:spacing w:before="40" w:after="40"/>
      </w:pPr>
      <w:r>
        <w:t xml:space="preserve">Back-substitution using tan y = x/sqrt(1-x^2) gives F(x) = 4[x(1-x^2)^{-1/2} + x^3/(3(1-x^2)^{3/2})]. Differentiation yields F'(x) = 4(1-x^2)^{-5/2}, which matches the original integrand. Verified independently.</w:t>
      </w:r>
    </w:p>
    <w:p>
      <w:pPr>
        <w:pStyle w:val="ListParagraph"/>
        <w:numPr>
          <w:ilvl w:val="0"/>
          <w:numId w:val="1"/>
        </w:numPr>
        <w:spacing w:before="40" w:after="40"/>
      </w:pPr>
      <w:r>
        <w:t xml:space="preserve">The Beta integral example (lines 546-558) is correctly identified as I(a,b) = Gamma(a)Gamma(b)/Gamma(a+b), and the perturbed integral log(1+x) variant correctly falls through to numeric fallback. The Gauss-Kronrod estimate ~0.0915... with error certificate &lt; 3e-7 is cited as illustrative; this is acceptable for a schematic.</w:t>
      </w:r>
    </w:p>
    <w:p>
      <w:pPr>
        <w:pStyle w:val="ListParagraph"/>
        <w:numPr>
          <w:ilvl w:val="0"/>
          <w:numId w:val="1"/>
        </w:numPr>
        <w:spacing w:before="40" w:after="40"/>
      </w:pPr>
      <w:r>
        <w:t xml:space="preserve">The pseudocode (SolveIntegral function) is internally consistent: it pops from a stack, checks time/depth budgets, passes a residual test, and returns a structured result. The depth-first stack discipline and residual check are correctly described.</w:t>
      </w:r>
    </w:p>
    <w:p/>
    <w:p>
      <w:pPr>
        <w:pStyle w:val="Heading2"/>
        <w:spacing w:before="240" w:after="80"/>
      </w:pPr>
      <w:r>
        <w:t xml:space="preserve">6.2  Chapter 2: Issues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4%"/>
            <w:shd w:fill="D9E2F3" w:val="clear"/>
          </w:tcPr>
          <w:p>
            <w:r>
              <w:rPr>
                <w:b/>
                <w:bCs/>
                <w:sz w:val="20"/>
                <w:szCs w:val="20"/>
              </w:rPr>
              <w:t xml:space="preserve">File</w:t>
            </w:r>
          </w:p>
        </w:tc>
        <w:tc>
          <w:tcPr>
            <w:tcW w:type="pct" w:w="10%"/>
            <w:shd w:fill="D9E2F3" w:val="clear"/>
          </w:tcPr>
          <w:p>
            <w:r>
              <w:rPr>
                <w:b/>
                <w:bCs/>
                <w:sz w:val="20"/>
                <w:szCs w:val="20"/>
              </w:rPr>
              <w:t xml:space="preserve">Lines</w:t>
            </w:r>
          </w:p>
        </w:tc>
        <w:tc>
          <w:tcPr>
            <w:tcW w:type="pct" w:w="12%"/>
            <w:shd w:fill="D9E2F3" w:val="clear"/>
          </w:tcPr>
          <w:p>
            <w:r>
              <w:rPr>
                <w:b/>
                <w:bCs/>
                <w:sz w:val="20"/>
                <w:szCs w:val="20"/>
              </w:rPr>
              <w:t xml:space="preserve">Category</w:t>
            </w:r>
          </w:p>
        </w:tc>
        <w:tc>
          <w:tcPr>
            <w:tcW w:type="pct" w:w="5%"/>
            <w:shd w:fill="D9E2F3" w:val="clear"/>
          </w:tcPr>
          <w:p>
            <w:r>
              <w:rPr>
                <w:b/>
                <w:bCs/>
                <w:sz w:val="20"/>
                <w:szCs w:val="20"/>
              </w:rPr>
              <w:t xml:space="preserve">Sev.</w:t>
            </w:r>
          </w:p>
        </w:tc>
        <w:tc>
          <w:tcPr>
            <w:tcW w:type="pct" w:w="30%"/>
            <w:shd w:fill="D9E2F3" w:val="clear"/>
          </w:tcPr>
          <w:p>
            <w:r>
              <w:rPr>
                <w:b/>
                <w:bCs/>
                <w:sz w:val="20"/>
                <w:szCs w:val="20"/>
              </w:rPr>
              <w:t xml:space="preserve">Finding</w:t>
            </w:r>
          </w:p>
        </w:tc>
        <w:tc>
          <w:tcPr>
            <w:tcW w:type="pct" w:w="29%"/>
            <w:shd w:fill="D9E2F3" w:val="clear"/>
          </w:tcPr>
          <w:p>
            <w:r>
              <w:rPr>
                <w:b/>
                <w:bCs/>
                <w:sz w:val="20"/>
                <w:szCs w:val="20"/>
              </w:rPr>
              <w:t xml:space="preserve">Recommended Fix</w:t>
            </w:r>
          </w:p>
        </w:tc>
      </w:tr>
      <w:tr>
        <w:tc>
          <w:tcPr>
            <w:tcW w:type="pct" w:w="14%"/>
          </w:tcPr>
          <w:p>
            <w:r>
              <w:rPr>
                <w:sz w:val="20"/>
                <w:szCs w:val="20"/>
              </w:rPr>
              <w:t xml:space="preserve">lecture_2_part_i.tex</w:t>
            </w:r>
          </w:p>
        </w:tc>
        <w:tc>
          <w:tcPr>
            <w:tcW w:type="pct" w:w="10%"/>
          </w:tcPr>
          <w:p>
            <w:r>
              <w:rPr>
                <w:sz w:val="20"/>
                <w:szCs w:val="20"/>
              </w:rPr>
              <w:t xml:space="preserve">252-428
(fig:lec3_transform_tree)</w:t>
            </w:r>
          </w:p>
        </w:tc>
        <w:tc>
          <w:tcPr>
            <w:tcW w:type="pct" w:w="12%"/>
          </w:tcPr>
          <w:p>
            <w:r>
              <w:rPr>
                <w:sz w:val="20"/>
                <w:szCs w:val="20"/>
              </w:rPr>
              <w:t xml:space="preserve">Figure — node styling</w:t>
            </w:r>
          </w:p>
        </w:tc>
        <w:tc>
          <w:tcPr>
            <w:tcW w:type="pct" w:w="5%"/>
          </w:tcPr>
          <w:p>
            <w:r>
              <w:rPr>
                <w:sz w:val="20"/>
                <w:szCs w:val="20"/>
              </w:rPr>
              <w:t xml:space="preserve">MEDIUM</w:t>
            </w:r>
          </w:p>
        </w:tc>
        <w:tc>
          <w:tcPr>
            <w:tcW w:type="pct" w:w="30%"/>
          </w:tcPr>
          <w:p>
            <w:r>
              <w:rPr>
                <w:sz w:val="20"/>
                <w:szCs w:val="20"/>
              </w:rPr>
              <w:t xml:space="preserve">The root node of the transformation tree (the original integral) is styled as a 'safe' [S] move (blue fill, [S] badge). The root is the problem statement, not a transformation at all.</w:t>
            </w:r>
          </w:p>
        </w:tc>
        <w:tc>
          <w:tcPr>
            <w:tcW w:type="pct" w:w="29%"/>
          </w:tcPr>
          <w:p>
            <w:r>
              <w:rPr>
                <w:sz w:val="20"/>
                <w:szCs w:val="20"/>
              </w:rPr>
              <w:t xml:space="preserve">Style the root node with a neutral style (e.g., gray fill, no badge). Only edges and child nodes should be labelled [S] or [H].</w:t>
            </w:r>
          </w:p>
        </w:tc>
      </w:tr>
      <w:tr>
        <w:tc>
          <w:tcPr>
            <w:tcW w:type="pct" w:w="14%"/>
          </w:tcPr>
          <w:p>
            <w:r>
              <w:rPr>
                <w:sz w:val="20"/>
                <w:szCs w:val="20"/>
              </w:rPr>
              <w:t xml:space="preserve">lecture_2_part_i.tex</w:t>
            </w:r>
          </w:p>
        </w:tc>
        <w:tc>
          <w:tcPr>
            <w:tcW w:type="pct" w:w="10%"/>
          </w:tcPr>
          <w:p>
            <w:r>
              <w:rPr>
                <w:sz w:val="20"/>
                <w:szCs w:val="20"/>
              </w:rPr>
              <w:t xml:space="preserve">304-305
(fig:lec3_transform_tree)</w:t>
            </w:r>
          </w:p>
        </w:tc>
        <w:tc>
          <w:tcPr>
            <w:tcW w:type="pct" w:w="12%"/>
          </w:tcPr>
          <w:p>
            <w:r>
              <w:rPr>
                <w:sz w:val="20"/>
                <w:szCs w:val="20"/>
              </w:rPr>
              <w:t xml:space="preserve">Figure — tree logic</w:t>
            </w:r>
          </w:p>
        </w:tc>
        <w:tc>
          <w:tcPr>
            <w:tcW w:type="pct" w:w="5%"/>
          </w:tcPr>
          <w:p>
            <w:r>
              <w:rPr>
                <w:sz w:val="20"/>
                <w:szCs w:val="20"/>
              </w:rPr>
              <w:t xml:space="preserve">MEDIUM</w:t>
            </w:r>
          </w:p>
        </w:tc>
        <w:tc>
          <w:tcPr>
            <w:tcW w:type="pct" w:w="30%"/>
          </w:tcPr>
          <w:p>
            <w:r>
              <w:rPr>
                <w:sz w:val="20"/>
                <w:szCs w:val="20"/>
              </w:rPr>
              <w:t xml:space="preserve">'Use dx=cos y dy' and 'Reduce to 4∫sec⁴y dy' appear as sibling child nodes under 'Substitute x=sin y', implying they are two alternative paths. They are sequential steps of the same branch: first you compute dx, then you simplify the integrand.</w:t>
            </w:r>
          </w:p>
        </w:tc>
        <w:tc>
          <w:tcPr>
            <w:tcW w:type="pct" w:w="29%"/>
          </w:tcPr>
          <w:p>
            <w:r>
              <w:rPr>
                <w:sz w:val="20"/>
                <w:szCs w:val="20"/>
              </w:rPr>
              <w:t xml:space="preserve">Chain the two nodes vertically (Level 3 → Level 4) to show they are sequential, not branching. Alternatively, collapse them into a single node: 'dx=cos y dy; reduce to 4∫sec⁴y dy'.</w:t>
            </w:r>
          </w:p>
        </w:tc>
      </w:tr>
      <w:tr>
        <w:tc>
          <w:tcPr>
            <w:tcW w:type="pct" w:w="14%"/>
          </w:tcPr>
          <w:p>
            <w:r>
              <w:rPr>
                <w:sz w:val="20"/>
                <w:szCs w:val="20"/>
              </w:rPr>
              <w:t xml:space="preserve">lecture_2_part_i.tex</w:t>
            </w:r>
          </w:p>
        </w:tc>
        <w:tc>
          <w:tcPr>
            <w:tcW w:type="pct" w:w="10%"/>
          </w:tcPr>
          <w:p>
            <w:r>
              <w:rPr>
                <w:sz w:val="20"/>
                <w:szCs w:val="20"/>
              </w:rPr>
              <w:t xml:space="preserve">252-428
(fig:lec3_transform_tree)</w:t>
            </w:r>
          </w:p>
        </w:tc>
        <w:tc>
          <w:tcPr>
            <w:tcW w:type="pct" w:w="12%"/>
          </w:tcPr>
          <w:p>
            <w:r>
              <w:rPr>
                <w:sz w:val="20"/>
                <w:szCs w:val="20"/>
              </w:rPr>
              <w:t xml:space="preserve">Figure — missing terminal</w:t>
            </w:r>
          </w:p>
        </w:tc>
        <w:tc>
          <w:tcPr>
            <w:tcW w:type="pct" w:w="5%"/>
          </w:tcPr>
          <w:p>
            <w:r>
              <w:rPr>
                <w:sz w:val="20"/>
                <w:szCs w:val="20"/>
              </w:rPr>
              <w:t xml:space="preserve">LOW</w:t>
            </w:r>
          </w:p>
        </w:tc>
        <w:tc>
          <w:tcPr>
            <w:tcW w:type="pct" w:w="30%"/>
          </w:tcPr>
          <w:p>
            <w:r>
              <w:rPr>
                <w:sz w:val="20"/>
                <w:szCs w:val="20"/>
              </w:rPr>
              <w:t xml:space="preserve">The transformation tree has no 'GOAL' or 'SUCCESS' terminal node. The leftmost branch ends at 'Reduce to 4∫sec⁴y dy' without any indication that the search succeeded. A reader cannot tell where the solution was found.</w:t>
            </w:r>
          </w:p>
        </w:tc>
        <w:tc>
          <w:tcPr>
            <w:tcW w:type="pct" w:w="29%"/>
          </w:tcPr>
          <w:p>
            <w:r>
              <w:rPr>
                <w:sz w:val="20"/>
                <w:szCs w:val="20"/>
              </w:rPr>
              <w:t xml:space="preserve">Add a terminal node (e.g., green fill, check-mark symbol) labeled 'SOLVED: 4tan y + (4/3)tan³y + C' as a leaf below the 'Reduce' node. Add a matching 'BACKTRACK' terminal node below the 'u=1-x² stalls' node for completeness.</w:t>
            </w:r>
          </w:p>
        </w:tc>
      </w:tr>
      <w:tr>
        <w:tc>
          <w:tcPr>
            <w:tcW w:type="pct" w:w="14%"/>
          </w:tcPr>
          <w:p>
            <w:r>
              <w:rPr>
                <w:sz w:val="20"/>
                <w:szCs w:val="20"/>
              </w:rPr>
              <w:t xml:space="preserve">lecture_2_part_i.tex</w:t>
            </w:r>
          </w:p>
        </w:tc>
        <w:tc>
          <w:tcPr>
            <w:tcW w:type="pct" w:w="10%"/>
          </w:tcPr>
          <w:p>
            <w:r>
              <w:rPr>
                <w:sz w:val="20"/>
                <w:szCs w:val="20"/>
              </w:rPr>
              <w:t xml:space="preserve">529</w:t>
            </w:r>
          </w:p>
        </w:tc>
        <w:tc>
          <w:tcPr>
            <w:tcW w:type="pct" w:w="12%"/>
          </w:tcPr>
          <w:p>
            <w:r>
              <w:rPr>
                <w:sz w:val="20"/>
                <w:szCs w:val="20"/>
              </w:rPr>
              <w:t xml:space="preserve">Table caption</w:t>
            </w:r>
          </w:p>
        </w:tc>
        <w:tc>
          <w:tcPr>
            <w:tcW w:type="pct" w:w="5%"/>
          </w:tcPr>
          <w:p>
            <w:r>
              <w:rPr>
                <w:sz w:val="20"/>
                <w:szCs w:val="20"/>
              </w:rPr>
              <w:t xml:space="preserve">LOW</w:t>
            </w:r>
          </w:p>
        </w:tc>
        <w:tc>
          <w:tcPr>
            <w:tcW w:type="pct" w:w="30%"/>
          </w:tcPr>
          <w:p>
            <w:r>
              <w:rPr>
                <w:sz w:val="20"/>
                <w:szCs w:val="20"/>
              </w:rPr>
              <w:t xml:space="preserve">The \caption text inside the table environment begins with 'Table: Transformation toolkit...'. LaTeX already prepends 'Table N:' from the counter, producing the redundant heading 'Table 1: Table: Transformation toolkit...'.</w:t>
            </w:r>
          </w:p>
        </w:tc>
        <w:tc>
          <w:tcPr>
            <w:tcW w:type="pct" w:w="29%"/>
          </w:tcPr>
          <w:p>
            <w:r>
              <w:rPr>
                <w:sz w:val="20"/>
                <w:szCs w:val="20"/>
              </w:rPr>
              <w:t xml:space="preserve">Remove the leading 'Table:' from the caption text. Change to: 'Transformation toolkit (safe vs. heuristic). Preconditions keep domains/branches explicit...'</w:t>
            </w:r>
          </w:p>
        </w:tc>
      </w:tr>
      <w:tr>
        <w:tc>
          <w:tcPr>
            <w:tcW w:type="pct" w:w="14%"/>
          </w:tcPr>
          <w:p>
            <w:r>
              <w:rPr>
                <w:sz w:val="20"/>
                <w:szCs w:val="20"/>
              </w:rPr>
              <w:t xml:space="preserve">lecture_2_part_i.tex</w:t>
            </w:r>
          </w:p>
        </w:tc>
        <w:tc>
          <w:tcPr>
            <w:tcW w:type="pct" w:w="10%"/>
          </w:tcPr>
          <w:p>
            <w:r>
              <w:rPr>
                <w:sz w:val="20"/>
                <w:szCs w:val="20"/>
              </w:rPr>
              <w:t xml:space="preserve">432-436</w:t>
            </w:r>
          </w:p>
        </w:tc>
        <w:tc>
          <w:tcPr>
            <w:tcW w:type="pct" w:w="12%"/>
          </w:tcPr>
          <w:p>
            <w:r>
              <w:rPr>
                <w:sz w:val="20"/>
                <w:szCs w:val="20"/>
              </w:rPr>
              <w:t xml:space="preserve">Stray code fragment</w:t>
            </w:r>
          </w:p>
        </w:tc>
        <w:tc>
          <w:tcPr>
            <w:tcW w:type="pct" w:w="5%"/>
          </w:tcPr>
          <w:p>
            <w:r>
              <w:rPr>
                <w:sz w:val="20"/>
                <w:szCs w:val="20"/>
              </w:rPr>
              <w:t xml:space="preserve">LOW</w:t>
            </w:r>
          </w:p>
        </w:tc>
        <w:tc>
          <w:tcPr>
            <w:tcW w:type="pct" w:w="30%"/>
          </w:tcPr>
          <w:p>
            <w:r>
              <w:rPr>
                <w:sz w:val="20"/>
                <w:szCs w:val="20"/>
              </w:rPr>
              <w:t xml:space="preserve">After the main worked example concludes, a loose paragraph shows: 'Apply substitution u=tan(x) =&gt; integration by parts =&gt; inverse trig identities =&gt; ...' without connecting to any specific integral. This appears to be an unfinished example fragment left over from an earlier draft.</w:t>
            </w:r>
          </w:p>
        </w:tc>
        <w:tc>
          <w:tcPr>
            <w:tcW w:type="pct" w:w="29%"/>
          </w:tcPr>
          <w:p>
            <w:r>
              <w:rPr>
                <w:sz w:val="20"/>
                <w:szCs w:val="20"/>
              </w:rPr>
              <w:t xml:space="preserve">Either (a) develop this into a short worked example with a specific integrand showing those three steps, or (b) remove the fragment and keep only the clean pseudocode/algorithmic outline that follows it.</w:t>
            </w:r>
          </w:p>
        </w:tc>
      </w:tr>
      <w:tr>
        <w:tc>
          <w:tcPr>
            <w:tcW w:type="pct" w:w="14%"/>
          </w:tcPr>
          <w:p>
            <w:r>
              <w:rPr>
                <w:sz w:val="20"/>
                <w:szCs w:val="20"/>
              </w:rPr>
              <w:t xml:space="preserve">lecture_2_part_i.tex</w:t>
            </w:r>
          </w:p>
        </w:tc>
        <w:tc>
          <w:tcPr>
            <w:tcW w:type="pct" w:w="10%"/>
          </w:tcPr>
          <w:p>
            <w:r>
              <w:rPr>
                <w:sz w:val="20"/>
                <w:szCs w:val="20"/>
              </w:rPr>
              <w:t xml:space="preserve">56-66</w:t>
            </w:r>
          </w:p>
        </w:tc>
        <w:tc>
          <w:tcPr>
            <w:tcW w:type="pct" w:w="12%"/>
          </w:tcPr>
          <w:p>
            <w:r>
              <w:rPr>
                <w:sz w:val="20"/>
                <w:szCs w:val="20"/>
              </w:rPr>
              <w:t xml:space="preserve">Notation</w:t>
            </w:r>
          </w:p>
        </w:tc>
        <w:tc>
          <w:tcPr>
            <w:tcW w:type="pct" w:w="5%"/>
          </w:tcPr>
          <w:p>
            <w:r>
              <w:rPr>
                <w:sz w:val="20"/>
                <w:szCs w:val="20"/>
              </w:rPr>
              <w:t xml:space="preserve">LOW</w:t>
            </w:r>
          </w:p>
        </w:tc>
        <w:tc>
          <w:tcPr>
            <w:tcW w:type="pct" w:w="30%"/>
          </w:tcPr>
          <w:p>
            <w:r>
              <w:rPr>
                <w:sz w:val="20"/>
                <w:szCs w:val="20"/>
              </w:rPr>
              <w:t xml:space="preserve">The safe transformations section uses capital F for the antiderivative of f and capital G for the antiderivative of g (constant factor extraction). This convention is correct but is applied silently — no sentence explicitly states 'we use F for the antiderivative of f throughout'.</w:t>
            </w:r>
          </w:p>
        </w:tc>
        <w:tc>
          <w:tcPr>
            <w:tcW w:type="pct" w:w="29%"/>
          </w:tcPr>
          <w:p>
            <w:r>
              <w:rPr>
                <w:sz w:val="20"/>
                <w:szCs w:val="20"/>
              </w:rPr>
              <w:t xml:space="preserve">Add one sentence before the safe transformations list: 'Throughout, we write F for the antiderivative of f and G for the antiderivative of g, so F'(x)=f(x) and G'(x)=g(x) by definition.'</w:t>
            </w:r>
          </w:p>
        </w:tc>
      </w:tr>
    </w:tbl>
    <w:p/>
    <w:p>
      <w:pPr>
        <w:pStyle w:val="Heading2"/>
        <w:spacing w:before="240" w:after="80"/>
      </w:pPr>
      <w:r>
        <w:t xml:space="preserve">6.3  Chapter 2: Strengths</w:t>
      </w:r>
    </w:p>
    <w:p>
      <w:pPr>
        <w:spacing w:before="80" w:after="80"/>
      </w:pPr>
      <w:r>
        <w:rPr>
          <w:sz w:val="22"/>
          <w:szCs w:val="22"/>
        </w:rPr>
        <w:t xml:space="preserve">Several aspects of Chapter 2 are genuinely distinctive:</w:t>
      </w:r>
    </w:p>
    <w:p>
      <w:pPr>
        <w:pStyle w:val="ListParagraph"/>
        <w:numPr>
          <w:ilvl w:val="0"/>
          <w:numId w:val="1"/>
        </w:numPr>
        <w:spacing w:before="40" w:after="40"/>
      </w:pPr>
      <w:r>
        <w:t xml:space="preserve">The dual-verification approach (two independent paths — u-substitution AND reduction formula — converging to the same answer) is a pedagogical strength that most textbooks omit. It directly models the "residual check" principle.</w:t>
      </w:r>
    </w:p>
    <w:p>
      <w:pPr>
        <w:pStyle w:val="ListParagraph"/>
        <w:numPr>
          <w:ilvl w:val="0"/>
          <w:numId w:val="1"/>
        </w:numPr>
        <w:spacing w:before="40" w:after="40"/>
      </w:pPr>
      <w:r>
        <w:t xml:space="preserve">Domain discipline is handled rigorously: the chapter explicitly declares the restriction |x| &lt; 1, notes that x=tanh u is the hyperbolic twin valid on the same domain, and flags what happens for |x| &gt; 1 (cosh substitution). This level of branch-cut awareness is rare in introductory treatments.</w:t>
      </w:r>
    </w:p>
    <w:p>
      <w:pPr>
        <w:pStyle w:val="ListParagraph"/>
        <w:numPr>
          <w:ilvl w:val="0"/>
          <w:numId w:val="1"/>
        </w:numPr>
        <w:spacing w:before="40" w:after="40"/>
      </w:pPr>
      <w:r>
        <w:t xml:space="preserve">The cost heuristic (tree depth + nonlinearity count + symbol count) gives the search algorithm a concrete scoring rule, bridging the chapter to the AI search framing in Chapter 1.</w:t>
      </w:r>
    </w:p>
    <w:p>
      <w:pPr>
        <w:pStyle w:val="ListParagraph"/>
        <w:numPr>
          <w:ilvl w:val="0"/>
          <w:numId w:val="1"/>
        </w:numPr>
        <w:spacing w:before="40" w:after="40"/>
      </w:pPr>
      <w:r>
        <w:t xml:space="preserve">The termination policies box (depth limits, residual checks, numeric fallback with explicit error certificate) is excellent production-quality content that anticipates real CAS implementation concerns.</w:t>
      </w:r>
    </w:p>
    <w:p>
      <w:pPr>
        <w:pStyle w:val="Heading1"/>
        <w:spacing w:before="360" w:after="120"/>
      </w:pPr>
      <w:r>
        <w:t xml:space="preserve">7. Graph and Figure Audit: Clarity and Accuracy</w:t>
      </w:r>
    </w:p>
    <w:p>
      <w:pPr>
        <w:spacing w:before="80" w:after="80"/>
      </w:pPr>
      <w:r>
        <w:rPr>
          <w:sz w:val="22"/>
          <w:szCs w:val="22"/>
        </w:rPr>
        <w:t xml:space="preserve">All pgfplots and TikZ figures were reviewed across the 19 chapters for mathematical accuracy of the plotted functions, axis label clarity, legend completeness, and visual consistency. The book's figure quality is generally high. Four concrete issues were found.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shd w:fill="D9E2F3" w:val="clear"/>
          </w:tcPr>
          <w:p>
            <w:r>
              <w:rPr>
                <w:b/>
                <w:bCs/>
                <w:sz w:val="20"/>
                <w:szCs w:val="20"/>
              </w:rPr>
              <w:t xml:space="preserve">File</w:t>
            </w:r>
          </w:p>
        </w:tc>
        <w:tc>
          <w:tcPr>
            <w:tcW w:type="pct" w:w="10%"/>
            <w:shd w:fill="D9E2F3" w:val="clear"/>
          </w:tcPr>
          <w:p>
            <w:r>
              <w:rPr>
                <w:b/>
                <w:bCs/>
                <w:sz w:val="20"/>
                <w:szCs w:val="20"/>
              </w:rPr>
              <w:t xml:space="preserve">Lines / Figure</w:t>
            </w:r>
          </w:p>
        </w:tc>
        <w:tc>
          <w:tcPr>
            <w:tcW w:type="pct" w:w="12%"/>
            <w:shd w:fill="D9E2F3" w:val="clear"/>
          </w:tcPr>
          <w:p>
            <w:r>
              <w:rPr>
                <w:b/>
                <w:bCs/>
                <w:sz w:val="20"/>
                <w:szCs w:val="20"/>
              </w:rPr>
              <w:t xml:space="preserve">Category</w:t>
            </w:r>
          </w:p>
        </w:tc>
        <w:tc>
          <w:tcPr>
            <w:tcW w:type="pct" w:w="5%"/>
            <w:shd w:fill="D9E2F3" w:val="clear"/>
          </w:tcPr>
          <w:p>
            <w:r>
              <w:rPr>
                <w:b/>
                <w:bCs/>
                <w:sz w:val="20"/>
                <w:szCs w:val="20"/>
              </w:rPr>
              <w:t xml:space="preserve">Sev.</w:t>
            </w:r>
          </w:p>
        </w:tc>
        <w:tc>
          <w:tcPr>
            <w:tcW w:type="pct" w:w="32%"/>
            <w:shd w:fill="D9E2F3" w:val="clear"/>
          </w:tcPr>
          <w:p>
            <w:r>
              <w:rPr>
                <w:b/>
                <w:bCs/>
                <w:sz w:val="20"/>
                <w:szCs w:val="20"/>
              </w:rPr>
              <w:t xml:space="preserve">Finding</w:t>
            </w:r>
          </w:p>
        </w:tc>
        <w:tc>
          <w:tcPr>
            <w:tcW w:type="pct" w:w="29%"/>
            <w:shd w:fill="D9E2F3" w:val="clear"/>
          </w:tcPr>
          <w:p>
            <w:r>
              <w:rPr>
                <w:b/>
                <w:bCs/>
                <w:sz w:val="20"/>
                <w:szCs w:val="20"/>
              </w:rPr>
              <w:t xml:space="preserve">Recommended Fix</w:t>
            </w:r>
          </w:p>
        </w:tc>
      </w:tr>
      <w:tr>
        <w:tc>
          <w:tcPr>
            <w:tcW w:type="pct" w:w="12%"/>
          </w:tcPr>
          <w:p>
            <w:r>
              <w:rPr>
                <w:sz w:val="20"/>
                <w:szCs w:val="20"/>
              </w:rPr>
              <w:t xml:space="preserve">lecture_6.tex</w:t>
            </w:r>
          </w:p>
        </w:tc>
        <w:tc>
          <w:tcPr>
            <w:tcW w:type="pct" w:w="10%"/>
          </w:tcPr>
          <w:p>
            <w:r>
              <w:rPr>
                <w:sz w:val="20"/>
                <w:szCs w:val="20"/>
              </w:rPr>
              <w:t xml:space="preserve">362-380
(fig:lec6-bn)</w:t>
            </w:r>
          </w:p>
        </w:tc>
        <w:tc>
          <w:tcPr>
            <w:tcW w:type="pct" w:w="12%"/>
          </w:tcPr>
          <w:p>
            <w:r>
              <w:rPr>
                <w:sz w:val="20"/>
                <w:szCs w:val="20"/>
              </w:rPr>
              <w:t xml:space="preserve">Figure accuracy</w:t>
            </w:r>
          </w:p>
        </w:tc>
        <w:tc>
          <w:tcPr>
            <w:tcW w:type="pct" w:w="5%"/>
          </w:tcPr>
          <w:p>
            <w:r>
              <w:rPr>
                <w:sz w:val="20"/>
                <w:szCs w:val="20"/>
              </w:rPr>
              <w:t xml:space="preserve">MEDIUM</w:t>
            </w:r>
          </w:p>
        </w:tc>
        <w:tc>
          <w:tcPr>
            <w:tcW w:type="pct" w:w="32%"/>
          </w:tcPr>
          <w:p>
            <w:r>
              <w:rPr>
                <w:sz w:val="20"/>
                <w:szCs w:val="20"/>
              </w:rPr>
              <w:t xml:space="preserve">Batch normalization figure: the Post-BN subplot shows 'channel 1' (blue) and 'channel 2' (orange) as two separate legend entries, but both curves are plotted as N(0,1) — identical Gaussians that completely overlap. The reader sees only one visible curve; the two legend entries are useless because they cannot be distinguished.</w:t>
            </w:r>
          </w:p>
        </w:tc>
        <w:tc>
          <w:tcPr>
            <w:tcW w:type="pct" w:w="29%"/>
          </w:tcPr>
          <w:p>
            <w:r>
              <w:rPr>
                <w:sz w:val="20"/>
                <w:szCs w:val="20"/>
              </w:rPr>
              <w:t xml:space="preserve">Option A (simplest): plot only a single N(0,1) curve and update the caption to say 'after per-channel normalization, all channels collapse to N(0,1); the learned scale/shift (gamma, beta) then separates them again.' Option B (more informative): show the post-scale/shift distributions (e.g., N(0.5, 1.2) and N(-0.3, 0.8)) with a caption note that these represent the affine-restored distributions after learning gamma and beta.</w:t>
            </w:r>
          </w:p>
        </w:tc>
      </w:tr>
      <w:tr>
        <w:tc>
          <w:tcPr>
            <w:tcW w:type="pct" w:w="12%"/>
          </w:tcPr>
          <w:p>
            <w:r>
              <w:rPr>
                <w:sz w:val="20"/>
                <w:szCs w:val="20"/>
              </w:rPr>
              <w:t xml:space="preserve">lecture_4_part_i.tex</w:t>
            </w:r>
          </w:p>
        </w:tc>
        <w:tc>
          <w:tcPr>
            <w:tcW w:type="pct" w:w="10%"/>
          </w:tcPr>
          <w:p>
            <w:r>
              <w:rPr>
                <w:sz w:val="20"/>
                <w:szCs w:val="20"/>
              </w:rPr>
              <w:t xml:space="preserve">660-700
(fig:lec4-activations)</w:t>
            </w:r>
          </w:p>
        </w:tc>
        <w:tc>
          <w:tcPr>
            <w:tcW w:type="pct" w:w="12%"/>
          </w:tcPr>
          <w:p>
            <w:r>
              <w:rPr>
                <w:sz w:val="20"/>
                <w:szCs w:val="20"/>
              </w:rPr>
              <w:t xml:space="preserve">Figure consistency</w:t>
            </w:r>
          </w:p>
        </w:tc>
        <w:tc>
          <w:tcPr>
            <w:tcW w:type="pct" w:w="5%"/>
          </w:tcPr>
          <w:p>
            <w:r>
              <w:rPr>
                <w:sz w:val="20"/>
                <w:szCs w:val="20"/>
              </w:rPr>
              <w:t xml:space="preserve">LOW</w:t>
            </w:r>
          </w:p>
        </w:tc>
        <w:tc>
          <w:tcPr>
            <w:tcW w:type="pct" w:w="32%"/>
          </w:tcPr>
          <w:p>
            <w:r>
              <w:rPr>
                <w:sz w:val="20"/>
                <w:szCs w:val="20"/>
              </w:rPr>
              <w:t xml:space="preserve">The four-panel activation function figure uses domain=-4:4 for the sigmoid subplot but domain=-3:3 for step, tanh, and ReLU. All four subplots share the same axis size but have inconsistent x-ranges, which makes visual comparison of saturation regions and derivative shapes slightly misleading.</w:t>
            </w:r>
          </w:p>
        </w:tc>
        <w:tc>
          <w:tcPr>
            <w:tcW w:type="pct" w:w="29%"/>
          </w:tcPr>
          <w:p>
            <w:r>
              <w:rPr>
                <w:sz w:val="20"/>
                <w:szCs w:val="20"/>
              </w:rPr>
              <w:t xml:space="preserve">Use a uniform domain for all four panels. Suggested: domain=-4:4 for all (widens step/ReLU/tanh slightly and shows full sigmoid saturation). Alternatively domain=-3:3 for all is fine since the sigmoid is already near-saturated at ±3.</w:t>
            </w:r>
          </w:p>
        </w:tc>
      </w:tr>
      <w:tr>
        <w:tc>
          <w:tcPr>
            <w:tcW w:type="pct" w:w="12%"/>
          </w:tcPr>
          <w:p>
            <w:r>
              <w:rPr>
                <w:sz w:val="20"/>
                <w:szCs w:val="20"/>
              </w:rPr>
              <w:t xml:space="preserve">lecture_5_part_i.tex</w:t>
            </w:r>
          </w:p>
        </w:tc>
        <w:tc>
          <w:tcPr>
            <w:tcW w:type="pct" w:w="10%"/>
          </w:tcPr>
          <w:p>
            <w:r>
              <w:rPr>
                <w:sz w:val="20"/>
                <w:szCs w:val="20"/>
              </w:rPr>
              <w:t xml:space="preserve">549-565
(fig:lec5-regularization-surfaces)</w:t>
            </w:r>
          </w:p>
        </w:tc>
        <w:tc>
          <w:tcPr>
            <w:tcW w:type="pct" w:w="12%"/>
          </w:tcPr>
          <w:p>
            <w:r>
              <w:rPr>
                <w:sz w:val="20"/>
                <w:szCs w:val="20"/>
              </w:rPr>
              <w:t xml:space="preserve">Figure accuracy</w:t>
            </w:r>
          </w:p>
        </w:tc>
        <w:tc>
          <w:tcPr>
            <w:tcW w:type="pct" w:w="5%"/>
          </w:tcPr>
          <w:p>
            <w:r>
              <w:rPr>
                <w:sz w:val="20"/>
                <w:szCs w:val="20"/>
              </w:rPr>
              <w:t xml:space="preserve">MEDIUM</w:t>
            </w:r>
          </w:p>
        </w:tc>
        <w:tc>
          <w:tcPr>
            <w:tcW w:type="pct" w:w="32%"/>
          </w:tcPr>
          <w:p>
            <w:r>
              <w:rPr>
                <w:sz w:val="20"/>
                <w:szCs w:val="20"/>
              </w:rPr>
              <w:t xml:space="preserve">The 'unregularized' objective surface is plotted as 0.4*x^2 + 0.1*y^2 + 0.8*x*y. The Hessian matrix is [[0.8, 0.8], [0.8, 0.2]] with determinant 0.16-0.64 = -0.48 &lt; 0. This is a SADDLE POINT surface (indefinite Hessian), not a bowl with narrow valleys or multiple local minima as the caption implies. The regularized surface (0.25*x^2 + 0.25*y^2 + 0.2*(x-y)^2) correctly has a positive-definite Hessian and a bowl shape.</w:t>
            </w:r>
          </w:p>
        </w:tc>
        <w:tc>
          <w:tcPr>
            <w:tcW w:type="pct" w:w="29%"/>
          </w:tcPr>
          <w:p>
            <w:r>
              <w:rPr>
                <w:sz w:val="20"/>
                <w:szCs w:val="20"/>
              </w:rPr>
              <w:t xml:space="preserve">Replace the unregularized surface with one that has a proper minimum but a narrow, ill-conditioned basin. Example: 0.8*x^2 + 0.05*y^2 (a valid convex bowl that is stretched/narrow). Or use a multi-modal surface (e.g., sum of Gaussians with pgfplotstable) to illustrate 'jagged' more accurately. The current indefinite quadratic form misrepresents the concept.</w:t>
            </w:r>
          </w:p>
        </w:tc>
      </w:tr>
      <w:tr>
        <w:tc>
          <w:tcPr>
            <w:tcW w:type="pct" w:w="12%"/>
          </w:tcPr>
          <w:p>
            <w:r>
              <w:rPr>
                <w:sz w:val="20"/>
                <w:szCs w:val="20"/>
              </w:rPr>
              <w:t xml:space="preserve">lecture_7.tex</w:t>
            </w:r>
          </w:p>
        </w:tc>
        <w:tc>
          <w:tcPr>
            <w:tcW w:type="pct" w:w="10%"/>
          </w:tcPr>
          <w:p>
            <w:r>
              <w:rPr>
                <w:sz w:val="20"/>
                <w:szCs w:val="20"/>
              </w:rPr>
              <w:t xml:space="preserve">282-319
(fig:lec7-rnn-unrolled)</w:t>
            </w:r>
          </w:p>
        </w:tc>
        <w:tc>
          <w:tcPr>
            <w:tcW w:type="pct" w:w="12%"/>
          </w:tcPr>
          <w:p>
            <w:r>
              <w:rPr>
                <w:sz w:val="20"/>
                <w:szCs w:val="20"/>
              </w:rPr>
              <w:t xml:space="preserve">Figure consistency</w:t>
            </w:r>
          </w:p>
        </w:tc>
        <w:tc>
          <w:tcPr>
            <w:tcW w:type="pct" w:w="5%"/>
          </w:tcPr>
          <w:p>
            <w:r>
              <w:rPr>
                <w:sz w:val="20"/>
                <w:szCs w:val="20"/>
              </w:rPr>
              <w:t xml:space="preserve">LOW</w:t>
            </w:r>
          </w:p>
        </w:tc>
        <w:tc>
          <w:tcPr>
            <w:tcW w:type="pct" w:w="32%"/>
          </w:tcPr>
          <w:p>
            <w:r>
              <w:rPr>
                <w:sz w:val="20"/>
                <w:szCs w:val="20"/>
              </w:rPr>
              <w:t xml:space="preserve">In the unrolled RNN diagram, the recurrent arrow from h_{t-1} to h_t is labeled W_{hh} (line 302) but the arrow from h_t to h_{t+1} has no label (line 303). This asymmetry may suggest different weights are used on different recurrent steps, which contradicts the 'shared parameters' message the figure is trying to convey.</w:t>
            </w:r>
          </w:p>
        </w:tc>
        <w:tc>
          <w:tcPr>
            <w:tcW w:type="pct" w:w="29%"/>
          </w:tcPr>
          <w:p>
            <w:r>
              <w:rPr>
                <w:sz w:val="20"/>
                <w:szCs w:val="20"/>
              </w:rPr>
              <w:t xml:space="preserve">Either label ALL recurrent arrows with W_{hh}, or label NONE of them (relying solely on the shared-parameters brace at the bottom for annotation). The current asymmetry is confusing.</w:t>
            </w:r>
          </w:p>
        </w:tc>
      </w:tr>
    </w:tbl>
    <w:p/>
    <w:p>
      <w:pPr>
        <w:pStyle w:val="Heading2"/>
        <w:spacing w:before="240" w:after="80"/>
      </w:pPr>
      <w:r>
        <w:t xml:space="preserve">7.1  Detailed note: Batch normalization figure (lecture_6.tex, fig:lec6-bn)</w:t>
      </w:r>
    </w:p>
    <w:p>
      <w:pPr>
        <w:spacing w:before="80" w:after="80"/>
      </w:pPr>
      <w:r>
        <w:rPr>
          <w:sz w:val="22"/>
          <w:szCs w:val="22"/>
        </w:rPr>
        <w:t xml:space="preserve">This is the most visually confusing figure in the book. The Pre-BN subplot correctly shows two non-identical channel distributions (blue: N(2, sigma^2=1.5), orange: N(-1, sigma^2=0.8)). The Post-BN subplot then shows both channels as N(0,1) in different colors — but since the curves are identical, only one curve is visible despite two legend entries. The issue is not a mathematical error (after per-channel normalization, all channels DO converge to N(0,1)), but a visual design failure: the legend entries "channel 1" and "channel 2" are invisible to the reader.</w:t>
      </w:r>
    </w:p>
    <w:p>
      <w:pPr>
        <w:spacing w:before="80" w:after="80"/>
      </w:pPr>
      <w:r>
        <w:rPr>
          <w:sz w:val="22"/>
          <w:szCs w:val="22"/>
        </w:rPr>
        <w:t xml:space="preserve">The deeper conceptual issue: BN applies learned affine parameters (gamma, beta) AFTER normalization, restoring per-channel scale and shift. A figure showing only the normalized (N(0,1)) state without the affine restoration step understates what BN actually does. The most informative fix is Option B from the table: add a third subplot showing the post-affine distributions, e.g., N(0.8, 1.2^2) and N(-0.4, 0.6^2), demonstrating that BN normalizes AND then re-learns the distribution shape.</w:t>
      </w:r>
    </w:p>
    <w:p/>
    <w:p>
      <w:pPr>
        <w:pStyle w:val="Heading2"/>
        <w:spacing w:before="240" w:after="80"/>
      </w:pPr>
      <w:r>
        <w:t xml:space="preserve">7.2  Detailed note: Unregularized SOM objective surface (lecture_5_part_i.tex)</w:t>
      </w:r>
    </w:p>
    <w:p>
      <w:pPr>
        <w:spacing w:before="80" w:after="80"/>
      </w:pPr>
      <w:r>
        <w:rPr>
          <w:sz w:val="22"/>
          <w:szCs w:val="22"/>
        </w:rPr>
        <w:t xml:space="preserve">The quadratic surface 0.4*x^2 + 0.1*y^2 + 0.8*x*y has Hessian [[0.8, 0.8], [0.8, 0.2]] with determinant = 0.16 - 0.64 = -0.48. A negative determinant means the Hessian is indefinite: the surface has a saddle point at the origin, not a local minimum. This contradicts the caption's description of "jagged" basins (implying multiple local minima) and creates a misleading impression when the figure is presented as an optimization landscape.</w:t>
      </w:r>
    </w:p>
    <w:p>
      <w:pPr>
        <w:spacing w:before="80" w:after="80"/>
      </w:pPr>
      <w:r>
        <w:rPr>
          <w:sz w:val="22"/>
          <w:szCs w:val="22"/>
        </w:rPr>
        <w:t xml:space="preserve">The regularized surface 0.25*x^2 + 0.25*y^2 + 0.2*(x-y)^2 = 0.45*x^2 - 0.4*x*y + 0.45*y^2 has Hessian determinant = 0.81 - 0.16 = 0.65 &gt; 0 and positive trace, so it IS a valid convex bowl. The contrast the figure tries to show (ill-conditioned / jagged vs. smooth / regularized) is correct in concept but the left surface does not support it numerically.</w:t>
      </w:r>
    </w:p>
    <w:p>
      <w:pPr>
        <w:spacing w:before="80" w:after="80"/>
      </w:pPr>
      <w:r>
        <w:rPr>
          <w:sz w:val="22"/>
          <w:szCs w:val="22"/>
        </w:rPr>
        <w:t xml:space="preserve">Recommended replacement for the unregularized surface: 0.8*x^2 + 0.05*y^2 (a strongly elongated but valid convex bowl with condition number 16), which visually illustrates "narrow valley" without being a saddle. Or: (x^2-1)^2 + 0.1*y^2 (a double-well multi-modal surface showing true "jagged landscape").</w:t>
      </w:r>
    </w:p>
    <w:p/>
    <w:p>
      <w:pPr>
        <w:pStyle w:val="Heading2"/>
        <w:spacing w:before="240" w:after="80"/>
      </w:pPr>
      <w:r>
        <w:t xml:space="preserve">7.3  Overall figure quality assessment</w:t>
      </w:r>
    </w:p>
    <w:p>
      <w:pPr>
        <w:spacing w:before="80" w:after="80"/>
      </w:pPr>
      <w:r>
        <w:rPr>
          <w:sz w:val="22"/>
          <w:szCs w:val="22"/>
        </w:rPr>
        <w:t xml:space="preserve">Across 19 chapters, the following observations summarize the figure quality:</w:t>
      </w:r>
    </w:p>
    <w:p>
      <w:pPr>
        <w:pStyle w:val="ListParagraph"/>
        <w:numPr>
          <w:ilvl w:val="0"/>
          <w:numId w:val="1"/>
        </w:numPr>
        <w:spacing w:before="40" w:after="40"/>
      </w:pPr>
      <w:r>
        <w:t xml:space="preserve">Mathematical accuracy of plotted functions: HIGH. Sigmoid, tanh, ReLU, their derivatives, BCE loss curves, early stopping curves, vanishing/exploding gradient plots, attention heatmaps, Gaussian neighborhood kernels — all computed correctly.</w:t>
      </w:r>
    </w:p>
    <w:p>
      <w:pPr>
        <w:pStyle w:val="ListParagraph"/>
        <w:numPr>
          <w:ilvl w:val="0"/>
          <w:numId w:val="1"/>
        </w:numPr>
        <w:spacing w:before="40" w:after="40"/>
      </w:pPr>
      <w:r>
        <w:t xml:space="preserve">Axis labels: GOOD. Most axes have xlabel and ylabel. A few schematic figures (the 2D ellipse SOM figure, the cube projection figure) use bare x/y labels, which is acceptable for conceptual diagrams.</w:t>
      </w:r>
    </w:p>
    <w:p>
      <w:pPr>
        <w:pStyle w:val="ListParagraph"/>
        <w:numPr>
          <w:ilvl w:val="0"/>
          <w:numId w:val="1"/>
        </w:numPr>
        <w:spacing w:before="40" w:after="40"/>
      </w:pPr>
      <w:r>
        <w:t xml:space="preserve">Captions: HIGH quality throughout except the Batch normalization issue above. The Dropout, BPTT, activation, teacher-forcing, LoRA, and Pareto front captions are all clearly written and pedagogically useful.</w:t>
      </w:r>
    </w:p>
    <w:p>
      <w:pPr>
        <w:pStyle w:val="ListParagraph"/>
        <w:numPr>
          <w:ilvl w:val="0"/>
          <w:numId w:val="1"/>
        </w:numPr>
        <w:spacing w:before="40" w:after="40"/>
      </w:pPr>
      <w:r>
        <w:t xml:space="preserve">Source attribution: GOOD. All illustrative/schematic figures carry "Source: author-generated." Key citation figures (LSTM, GRU, attention heatmap) include \citep{} references.</w:t>
      </w:r>
    </w:p>
    <w:p>
      <w:pPr>
        <w:pStyle w:val="ListParagraph"/>
        <w:numPr>
          <w:ilvl w:val="0"/>
          <w:numId w:val="1"/>
        </w:numPr>
        <w:spacing w:before="40" w:after="40"/>
      </w:pPr>
      <w:r>
        <w:t xml:space="preserve">Color scheme: CONSISTENT throughout — the book uses the colorblind-safe palette (cbBlue, cbOrange, cbGreen, cbPink) defined in the preamble. No chapter deviates from it.</w:t>
      </w:r>
    </w:p>
    <w:p>
      <w:pPr>
        <w:pStyle w:val="ListParagraph"/>
        <w:numPr>
          <w:ilvl w:val="0"/>
          <w:numId w:val="1"/>
        </w:numPr>
        <w:spacing w:before="40" w:after="40"/>
      </w:pPr>
      <w:r>
        <w:t xml:space="preserve">EPUB compatibility: Most TikZ/pgfplots figures have \ifdefined\HCode guards or use \resizebox for TeX4ht. The Batch normalization and optimizer figures do NOT have HCode guards — they use pgfplots groupplot directly. TeX4ht has known issues with groupplot. Consider wrapping fig:lec6-bn and fig:lec6-optimizers in \ifdefined\HCode blocks as a fallback for EPUB builds.</w:t>
      </w:r>
    </w:p>
    <w:p>
      <w:pPr>
        <w:pStyle w:val="Heading2"/>
        <w:spacing w:before="240" w:after="80"/>
      </w:pPr>
      <w:r>
        <w:t xml:space="preserve">7.4  Implementation guidance for fixing figures</w:t>
      </w:r>
    </w:p>
    <w:p>
      <w:pPr>
        <w:spacing w:before="80" w:after="80"/>
      </w:pPr>
      <w:r>
        <w:rPr>
          <w:sz w:val="22"/>
          <w:szCs w:val="22"/>
        </w:rPr>
        <w:t xml:space="preserve">The figure issues above fall into three tiers in terms of how much guidance is needed when passing them to an LLM or editor for correction.</w:t>
      </w:r>
    </w:p>
    <w:p>
      <w:pPr>
        <w:pStyle w:val="Heading2"/>
        <w:spacing w:before="240" w:after="80"/>
      </w:pPr>
      <w:r>
        <w:t xml:space="preserve">Tier 1 — No TikZ guidance needed (single-line changes)</w:t>
      </w:r>
    </w:p>
    <w:p>
      <w:pPr>
        <w:spacing w:before="80" w:after="80"/>
      </w:pPr>
      <w:r>
        <w:rPr>
          <w:sz w:val="22"/>
          <w:szCs w:val="22"/>
        </w:rPr>
        <w:t xml:space="preserve">These can be described purely in prose; the fix is unambiguous from the line reference alone:</w:t>
      </w:r>
    </w:p>
    <w:p>
      <w:pPr>
        <w:pStyle w:val="ListParagraph"/>
        <w:numPr>
          <w:ilvl w:val="0"/>
          <w:numId w:val="1"/>
        </w:numPr>
        <w:spacing w:before="40" w:after="40"/>
      </w:pPr>
      <w:r>
        <w:t xml:space="preserve">Activation domain (lecture_4_part_i.tex, line 660): Change domain=-4:4 to domain=-3:3 (or domain=-4:4 on all panels consistently). One token substitution.</w:t>
      </w:r>
    </w:p>
    <w:p>
      <w:pPr>
        <w:pStyle w:val="ListParagraph"/>
        <w:numPr>
          <w:ilvl w:val="0"/>
          <w:numId w:val="1"/>
        </w:numPr>
        <w:spacing w:before="40" w:after="40"/>
      </w:pPr>
      <w:r>
        <w:t xml:space="preserve">RNN arrow label (lecture_7.tex, line 303): Add the same node label to the h_t -&gt; h_{t+1} arrow that line 302 already applies to h_{t-1} -&gt; h_t. Copy the existing node[above, midway]{$W_{hh}$} annotation verbatim.</w:t>
      </w:r>
    </w:p>
    <w:p>
      <w:pPr>
        <w:pStyle w:val="ListParagraph"/>
        <w:numPr>
          <w:ilvl w:val="0"/>
          <w:numId w:val="1"/>
        </w:numPr>
        <w:spacing w:before="40" w:after="40"/>
      </w:pPr>
      <w:r>
        <w:t xml:space="preserve">Table caption prefix (lecture_2_part_i.tex, line 529): Remove the leading "Table:" from the \caption{} text. LaTeX automatically prepends "Table N:".</w:t>
      </w:r>
    </w:p>
    <w:p>
      <w:pPr>
        <w:pStyle w:val="ListParagraph"/>
        <w:numPr>
          <w:ilvl w:val="0"/>
          <w:numId w:val="1"/>
        </w:numPr>
        <w:spacing w:before="40" w:after="40"/>
      </w:pPr>
      <w:r>
        <w:t xml:space="preserve">HCode caption guards (lecture_7.tex, lines 694-698 and 803-806): In the \HCode branch, replace \citep{Hochreiter1997,Gers2000} with the plain-text equivalent: "(Hochreiter and Schmidhuber, 1997; Gers, Schmidhuber, and Cummins, 2000)". Same pattern for \citep{Cho2014}: "(Cho et al., 2014)".</w:t>
      </w:r>
    </w:p>
    <w:p>
      <w:pPr>
        <w:pStyle w:val="Heading2"/>
        <w:spacing w:before="240" w:after="80"/>
      </w:pPr>
      <w:r>
        <w:t xml:space="preserve">Tier 2 — Give the replacement expression, not the pgfplots code</w:t>
      </w:r>
    </w:p>
    <w:p>
      <w:pPr>
        <w:spacing w:before="80" w:after="80"/>
      </w:pPr>
      <w:r>
        <w:rPr>
          <w:sz w:val="22"/>
          <w:szCs w:val="22"/>
        </w:rPr>
        <w:t xml:space="preserve">For the SOM regularization surface (lecture_5_part_i.tex, lines 549-565), just supply the corrected math expression and let the LLM handle the pgfplots \addplot3 syntax:</w:t>
      </w:r>
    </w:p>
    <w:p>
      <w:pPr>
        <w:spacing w:before="80" w:after="80"/>
      </w:pPr>
      <w:r>
        <w:rPr>
          <w:sz w:val="22"/>
          <w:szCs w:val="22"/>
        </w:rPr>
        <w:t xml:space="preserve">  Current:     0.4*x^2 + 0.1*y^2 + 0.8*x*y   (Hessian det = -0.48, saddle point)</w:t>
      </w:r>
    </w:p>
    <w:p>
      <w:pPr>
        <w:spacing w:before="80" w:after="80"/>
      </w:pPr>
      <w:r>
        <w:rPr>
          <w:sz w:val="22"/>
          <w:szCs w:val="22"/>
        </w:rPr>
        <w:t xml:space="preserve">  Replacement: 0.8*x^2 + 0.05*y^2             (valid elongated convex bowl, condition number 16)</w:t>
      </w:r>
    </w:p>
    <w:p>
      <w:pPr>
        <w:spacing w:before="80" w:after="80"/>
      </w:pPr>
      <w:r>
        <w:rPr>
          <w:sz w:val="22"/>
          <w:szCs w:val="22"/>
        </w:rPr>
        <w:t xml:space="preserve">  Alternative: (x^2-1)^2 + 0.1*y^2            (double-well multi-modal; more accurate "jagged" illustration)</w:t>
      </w:r>
    </w:p>
    <w:p>
      <w:pPr>
        <w:spacing w:before="80" w:after="80"/>
      </w:pPr>
      <w:r>
        <w:rPr>
          <w:sz w:val="22"/>
          <w:szCs w:val="22"/>
        </w:rPr>
        <w:t xml:space="preserve">No pgfplots scaffold is required; the expression appears once inside a \addplot3[surf]{...} block and is a direct string substitution.</w:t>
      </w:r>
    </w:p>
    <w:p>
      <w:pPr>
        <w:pStyle w:val="Heading2"/>
        <w:spacing w:before="240" w:after="80"/>
      </w:pPr>
      <w:r>
        <w:t xml:space="preserve">Tier 3 — Provide structural context before editing</w:t>
      </w:r>
    </w:p>
    <w:p>
      <w:pPr>
        <w:spacing w:before="80" w:after="80"/>
      </w:pPr>
      <w:r>
        <w:rPr>
          <w:sz w:val="22"/>
          <w:szCs w:val="22"/>
        </w:rPr>
        <w:t xml:space="preserve">Two figures need structural changes that require awareness of surrounding code patterns:</w:t>
      </w:r>
    </w:p>
    <w:p>
      <w:pPr>
        <w:spacing w:before="80" w:after="80"/>
      </w:pPr>
      <w:r>
        <w:rPr>
          <w:sz w:val="22"/>
          <w:szCs w:val="22"/>
        </w:rPr>
        <w:t xml:space="preserve">BN figure (lecture_6.tex, fig:lec6-bn, lines 362-380). The figure uses pgfplots groupplot with group style={columns=2}. Two fix paths:</w:t>
      </w:r>
    </w:p>
    <w:p>
      <w:pPr>
        <w:pStyle w:val="ListParagraph"/>
        <w:numPr>
          <w:ilvl w:val="0"/>
          <w:numId w:val="1"/>
        </w:numPr>
        <w:spacing w:before="40" w:after="40"/>
      </w:pPr>
      <w:r>
        <w:t xml:space="preserve">Option A (minimal): Remove the second \addplot command in the Post-BN cell and update the caption to state "after per-channel normalisation, all channels collapse to N(0,1)". The LLM can handle this by reading the existing \addplot block.</w:t>
      </w:r>
    </w:p>
    <w:p>
      <w:pPr>
        <w:pStyle w:val="ListParagraph"/>
        <w:numPr>
          <w:ilvl w:val="0"/>
          <w:numId w:val="1"/>
        </w:numPr>
        <w:spacing w:before="40" w:after="40"/>
      </w:pPr>
      <w:r>
        <w:t xml:space="preserve">Option B (fuller): Change group style={columns=2} to columns=3, add a \nextgroupplot cell for post-affine distributions (e.g., N(0.8, 1.2^2) and N(-0.4, 0.6^2)), and update the caption. Mention the columns change explicitly since groupplot layout is non-obvious.</w:t>
      </w:r>
    </w:p>
    <w:p>
      <w:pPr>
        <w:spacing w:before="80" w:after="80"/>
      </w:pPr>
      <w:r>
        <w:rPr>
          <w:sz w:val="22"/>
          <w:szCs w:val="22"/>
        </w:rPr>
        <w:t xml:space="preserve">Transformation tree (lecture_2_part_i.tex, fig:lec3_transform_tree, lines 252-428). This is the most complex edit. Instruct the LLM to:</w:t>
      </w:r>
    </w:p>
    <w:p>
      <w:pPr>
        <w:pStyle w:val="ListParagraph"/>
        <w:numPr>
          <w:ilvl w:val="0"/>
          <w:numId w:val="1"/>
        </w:numPr>
        <w:spacing w:before="40" w:after="40"/>
      </w:pPr>
      <w:r>
        <w:t xml:space="preserve">First read any \tikzset{} or style definitions in the preamble to see what node styles already exist (safe, heuristic, etc.). The root node is currently \node[safe] and needs a neutral style (gray fill, no [S] badge). If no neutral style is defined, define one: e.g., problem/.style={rounded corners, fill=gray!20, draw=gray!60}.</w:t>
      </w:r>
    </w:p>
    <w:p>
      <w:pPr>
        <w:pStyle w:val="ListParagraph"/>
        <w:numPr>
          <w:ilvl w:val="0"/>
          <w:numId w:val="1"/>
        </w:numPr>
        <w:spacing w:before="40" w:after="40"/>
      </w:pPr>
      <w:r>
        <w:t xml:space="preserve">Chain "dx=cos y dy" and "Reduce to 4 int sec^4 y dy" as parent-child nodes (Level 3 to Level 4) rather than siblings under "Substitute x=sin y". Without this guidance the LLM may retain the sibling structure.</w:t>
      </w:r>
    </w:p>
    <w:p>
      <w:pPr>
        <w:pStyle w:val="ListParagraph"/>
        <w:numPr>
          <w:ilvl w:val="0"/>
          <w:numId w:val="1"/>
        </w:numPr>
        <w:spacing w:before="40" w:after="40"/>
      </w:pPr>
      <w:r>
        <w:t xml:space="preserve">Add a terminal SUCCESS node (green fill, checkmark or tick label "SOLVED: 4 tan y + (4/3)tan^3 y + C") as a leaf below the Reduce node, and a BACKTRACK node below the "u=1-x^2 stalls" branch for visual completeness.</w:t>
      </w:r>
    </w:p>
    <w:p>
      <w:pPr>
        <w:pStyle w:val="Heading1"/>
        <w:spacing w:before="360" w:after="120"/>
      </w:pPr>
      <w:r>
        <w:t xml:space="preserve">8. Combined Priority Table (All Three Passes)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D9E2F3" w:val="clear"/>
          </w:tcPr>
          <w:p>
            <w:r>
              <w:rPr>
                <w:b/>
                <w:bCs/>
                <w:sz w:val="20"/>
                <w:szCs w:val="20"/>
              </w:rPr>
              <w:t xml:space="preserve">Priority</w:t>
            </w:r>
          </w:p>
        </w:tc>
        <w:tc>
          <w:tcPr>
            <w:tcW w:type="pct" w:w="12%"/>
            <w:shd w:fill="D9E2F3" w:val="clear"/>
          </w:tcPr>
          <w:p>
            <w:r>
              <w:rPr>
                <w:b/>
                <w:bCs/>
                <w:sz w:val="20"/>
                <w:szCs w:val="20"/>
              </w:rPr>
              <w:t xml:space="preserve">Chapter</w:t>
            </w:r>
          </w:p>
        </w:tc>
        <w:tc>
          <w:tcPr>
            <w:tcW w:type="pct" w:w="22%"/>
            <w:shd w:fill="D9E2F3" w:val="clear"/>
          </w:tcPr>
          <w:p>
            <w:r>
              <w:rPr>
                <w:b/>
                <w:bCs/>
                <w:sz w:val="20"/>
                <w:szCs w:val="20"/>
              </w:rPr>
              <w:t xml:space="preserve">File</w:t>
            </w:r>
          </w:p>
        </w:tc>
        <w:tc>
          <w:tcPr>
            <w:tcW w:type="pct" w:w="56%"/>
            <w:shd w:fill="D9E2F3" w:val="clear"/>
          </w:tcPr>
          <w:p>
            <w:r>
              <w:rPr>
                <w:b/>
                <w:bCs/>
                <w:sz w:val="20"/>
                <w:szCs w:val="20"/>
              </w:rPr>
              <w:t xml:space="preserve">Issue</w:t>
            </w:r>
          </w:p>
        </w:tc>
      </w:tr>
      <w:tr>
        <w:tc>
          <w:tcPr>
            <w:tcW w:type="pct" w:w="10%"/>
          </w:tcPr>
          <w:p>
            <w:r>
              <w:rPr>
                <w:sz w:val="20"/>
                <w:szCs w:val="20"/>
              </w:rPr>
              <w:t xml:space="preserve">MEDIUM</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Transformation tree root node styled [S] — should be neutral/problem-statement style</w:t>
            </w:r>
          </w:p>
        </w:tc>
      </w:tr>
      <w:tr>
        <w:tc>
          <w:tcPr>
            <w:tcW w:type="pct" w:w="10%"/>
          </w:tcPr>
          <w:p>
            <w:r>
              <w:rPr>
                <w:sz w:val="20"/>
                <w:szCs w:val="20"/>
              </w:rPr>
              <w:t xml:space="preserve">MEDIUM</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Sequential steps "dx=cos y dy" and "Reduce" shown as sibling branches — should be chained</w:t>
            </w:r>
          </w:p>
        </w:tc>
      </w:tr>
      <w:tr>
        <w:tc>
          <w:tcPr>
            <w:tcW w:type="pct" w:w="10%"/>
          </w:tcPr>
          <w:p>
            <w:r>
              <w:rPr>
                <w:sz w:val="20"/>
                <w:szCs w:val="20"/>
              </w:rPr>
              <w:t xml:space="preserve">MEDIUM</w:t>
            </w:r>
          </w:p>
        </w:tc>
        <w:tc>
          <w:tcPr>
            <w:tcW w:type="pct" w:w="12%"/>
          </w:tcPr>
          <w:p>
            <w:r>
              <w:rPr>
                <w:sz w:val="20"/>
                <w:szCs w:val="20"/>
              </w:rPr>
              <w:t xml:space="preserve">Ch.6 (CNN)</w:t>
            </w:r>
          </w:p>
        </w:tc>
        <w:tc>
          <w:tcPr>
            <w:tcW w:type="pct" w:w="22%"/>
          </w:tcPr>
          <w:p>
            <w:r>
              <w:rPr>
                <w:sz w:val="20"/>
                <w:szCs w:val="20"/>
              </w:rPr>
              <w:t xml:space="preserve">lecture_6.tex</w:t>
            </w:r>
          </w:p>
        </w:tc>
        <w:tc>
          <w:tcPr>
            <w:tcW w:type="pct" w:w="56%"/>
          </w:tcPr>
          <w:p>
            <w:r>
              <w:rPr>
                <w:sz w:val="20"/>
                <w:szCs w:val="20"/>
              </w:rPr>
              <w:t xml:space="preserve">Post-BN subplot: two legend entries (channel 1, channel 2) plot identical N(0,1) curves — visually indistinguishable</w:t>
            </w:r>
          </w:p>
        </w:tc>
      </w:tr>
      <w:tr>
        <w:tc>
          <w:tcPr>
            <w:tcW w:type="pct" w:w="10%"/>
          </w:tcPr>
          <w:p>
            <w:r>
              <w:rPr>
                <w:sz w:val="20"/>
                <w:szCs w:val="20"/>
              </w:rPr>
              <w:t xml:space="preserve">MEDIUM</w:t>
            </w:r>
          </w:p>
        </w:tc>
        <w:tc>
          <w:tcPr>
            <w:tcW w:type="pct" w:w="12%"/>
          </w:tcPr>
          <w:p>
            <w:r>
              <w:rPr>
                <w:sz w:val="20"/>
                <w:szCs w:val="20"/>
              </w:rPr>
              <w:t xml:space="preserve">Ch.9 (SOM)</w:t>
            </w:r>
          </w:p>
        </w:tc>
        <w:tc>
          <w:tcPr>
            <w:tcW w:type="pct" w:w="22%"/>
          </w:tcPr>
          <w:p>
            <w:r>
              <w:rPr>
                <w:sz w:val="20"/>
                <w:szCs w:val="20"/>
              </w:rPr>
              <w:t xml:space="preserve">lecture_5_part_i.tex</w:t>
            </w:r>
          </w:p>
        </w:tc>
        <w:tc>
          <w:tcPr>
            <w:tcW w:type="pct" w:w="56%"/>
          </w:tcPr>
          <w:p>
            <w:r>
              <w:rPr>
                <w:sz w:val="20"/>
                <w:szCs w:val="20"/>
              </w:rPr>
              <w:t xml:space="preserve">Unregularized surface has indefinite Hessian (saddle point) — does not illustrate "narrow basins"; replace with elongated convex bowl</w:t>
            </w:r>
          </w:p>
        </w:tc>
      </w:tr>
      <w:tr>
        <w:tc>
          <w:tcPr>
            <w:tcW w:type="pct" w:w="10%"/>
          </w:tcPr>
          <w:p>
            <w:r>
              <w:rPr>
                <w:sz w:val="20"/>
                <w:szCs w:val="20"/>
              </w:rPr>
              <w:t xml:space="preserve">MEDIUM</w:t>
            </w:r>
          </w:p>
        </w:tc>
        <w:tc>
          <w:tcPr>
            <w:tcW w:type="pct" w:w="12%"/>
          </w:tcPr>
          <w:p>
            <w:r>
              <w:rPr>
                <w:sz w:val="20"/>
                <w:szCs w:val="20"/>
              </w:rPr>
              <w:t xml:space="preserve">Ch.7 (Backprop)</w:t>
            </w:r>
          </w:p>
        </w:tc>
        <w:tc>
          <w:tcPr>
            <w:tcW w:type="pct" w:w="22%"/>
          </w:tcPr>
          <w:p>
            <w:r>
              <w:rPr>
                <w:sz w:val="20"/>
                <w:szCs w:val="20"/>
              </w:rPr>
              <w:t xml:space="preserve">lecture_4_part_i.tex</w:t>
            </w:r>
          </w:p>
        </w:tc>
        <w:tc>
          <w:tcPr>
            <w:tcW w:type="pct" w:w="56%"/>
          </w:tcPr>
          <w:p>
            <w:r>
              <w:rPr>
                <w:sz w:val="20"/>
                <w:szCs w:val="20"/>
              </w:rPr>
              <w:t xml:space="preserve">Four subsection titles say "Multi-Layer Perceptrons" — remove qualifier (already in chapter title)</w:t>
            </w:r>
          </w:p>
        </w:tc>
      </w:tr>
      <w:tr>
        <w:tc>
          <w:tcPr>
            <w:tcW w:type="pct" w:w="10%"/>
          </w:tcPr>
          <w:p>
            <w:r>
              <w:rPr>
                <w:sz w:val="20"/>
                <w:szCs w:val="20"/>
              </w:rPr>
              <w:t xml:space="preserve">MEDIUM</w:t>
            </w:r>
          </w:p>
        </w:tc>
        <w:tc>
          <w:tcPr>
            <w:tcW w:type="pct" w:w="12%"/>
          </w:tcPr>
          <w:p>
            <w:r>
              <w:rPr>
                <w:sz w:val="20"/>
                <w:szCs w:val="20"/>
              </w:rPr>
              <w:t xml:space="preserve">Ch.12 (RNN)</w:t>
            </w:r>
          </w:p>
        </w:tc>
        <w:tc>
          <w:tcPr>
            <w:tcW w:type="pct" w:w="22%"/>
          </w:tcPr>
          <w:p>
            <w:r>
              <w:rPr>
                <w:sz w:val="20"/>
                <w:szCs w:val="20"/>
              </w:rPr>
              <w:t xml:space="preserve">lecture_7.tex</w:t>
            </w:r>
          </w:p>
        </w:tc>
        <w:tc>
          <w:tcPr>
            <w:tcW w:type="pct" w:w="56%"/>
          </w:tcPr>
          <w:p>
            <w:r>
              <w:rPr>
                <w:sz w:val="20"/>
                <w:szCs w:val="20"/>
              </w:rPr>
              <w:t xml:space="preserve">HCode caption guards for LSTM and GRU figures: both branches identical; EPUB branch should remove \citep{}</w:t>
            </w:r>
          </w:p>
        </w:tc>
      </w:tr>
      <w:tr>
        <w:tc>
          <w:tcPr>
            <w:tcW w:type="pct" w:w="10%"/>
          </w:tcPr>
          <w:p>
            <w:r>
              <w:rPr>
                <w:sz w:val="20"/>
                <w:szCs w:val="20"/>
              </w:rPr>
              <w:t xml:space="preserve">LOW</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Table caption starts with "Table:" — LaTeX prepends "Table N:" automatically, creating duplicate prefix</w:t>
            </w:r>
          </w:p>
        </w:tc>
      </w:tr>
      <w:tr>
        <w:tc>
          <w:tcPr>
            <w:tcW w:type="pct" w:w="10%"/>
          </w:tcPr>
          <w:p>
            <w:r>
              <w:rPr>
                <w:sz w:val="20"/>
                <w:szCs w:val="20"/>
              </w:rPr>
              <w:t xml:space="preserve">LOW</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Stray transformation fragment (u=tan(x) =&gt; IBP =&gt; ...) at lines 432-436 — disconnected from any specific integral</w:t>
            </w:r>
          </w:p>
        </w:tc>
      </w:tr>
      <w:tr>
        <w:tc>
          <w:tcPr>
            <w:tcW w:type="pct" w:w="10%"/>
          </w:tcPr>
          <w:p>
            <w:r>
              <w:rPr>
                <w:sz w:val="20"/>
                <w:szCs w:val="20"/>
              </w:rPr>
              <w:t xml:space="preserve">LOW</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No "GOAL" / "SUCCESS" terminal node in transformation tree figure</w:t>
            </w:r>
          </w:p>
        </w:tc>
      </w:tr>
      <w:tr>
        <w:tc>
          <w:tcPr>
            <w:tcW w:type="pct" w:w="10%"/>
          </w:tcPr>
          <w:p>
            <w:r>
              <w:rPr>
                <w:sz w:val="20"/>
                <w:szCs w:val="20"/>
              </w:rPr>
              <w:t xml:space="preserve">LOW</w:t>
            </w:r>
          </w:p>
        </w:tc>
        <w:tc>
          <w:tcPr>
            <w:tcW w:type="pct" w:w="12%"/>
          </w:tcPr>
          <w:p>
            <w:r>
              <w:rPr>
                <w:sz w:val="20"/>
                <w:szCs w:val="20"/>
              </w:rPr>
              <w:t xml:space="preserve">Ch.12 (RNN)</w:t>
            </w:r>
          </w:p>
        </w:tc>
        <w:tc>
          <w:tcPr>
            <w:tcW w:type="pct" w:w="22%"/>
          </w:tcPr>
          <w:p>
            <w:r>
              <w:rPr>
                <w:sz w:val="20"/>
                <w:szCs w:val="20"/>
              </w:rPr>
              <w:t xml:space="preserve">lecture_7.tex</w:t>
            </w:r>
          </w:p>
        </w:tc>
        <w:tc>
          <w:tcPr>
            <w:tcW w:type="pct" w:w="56%"/>
          </w:tcPr>
          <w:p>
            <w:r>
              <w:rPr>
                <w:sz w:val="20"/>
                <w:szCs w:val="20"/>
              </w:rPr>
              <w:t xml:space="preserve">Unrolled RNN diagram: h1-&gt;h2 arrow labeled W_{hh} but h2-&gt;h3 arrow is unlabeled — inconsistent</w:t>
            </w:r>
          </w:p>
        </w:tc>
      </w:tr>
      <w:tr>
        <w:tc>
          <w:tcPr>
            <w:tcW w:type="pct" w:w="10%"/>
          </w:tcPr>
          <w:p>
            <w:r>
              <w:rPr>
                <w:sz w:val="20"/>
                <w:szCs w:val="20"/>
              </w:rPr>
              <w:t xml:space="preserve">LOW</w:t>
            </w:r>
          </w:p>
        </w:tc>
        <w:tc>
          <w:tcPr>
            <w:tcW w:type="pct" w:w="12%"/>
          </w:tcPr>
          <w:p>
            <w:r>
              <w:rPr>
                <w:sz w:val="20"/>
                <w:szCs w:val="20"/>
              </w:rPr>
              <w:t xml:space="preserve">Ch.7 (Backprop)</w:t>
            </w:r>
          </w:p>
        </w:tc>
        <w:tc>
          <w:tcPr>
            <w:tcW w:type="pct" w:w="22%"/>
          </w:tcPr>
          <w:p>
            <w:r>
              <w:rPr>
                <w:sz w:val="20"/>
                <w:szCs w:val="20"/>
              </w:rPr>
              <w:t xml:space="preserve">lecture_4_part_i.tex</w:t>
            </w:r>
          </w:p>
        </w:tc>
        <w:tc>
          <w:tcPr>
            <w:tcW w:type="pct" w:w="56%"/>
          </w:tcPr>
          <w:p>
            <w:r>
              <w:rPr>
                <w:sz w:val="20"/>
                <w:szCs w:val="20"/>
              </w:rPr>
              <w:t xml:space="preserve">Sigmoid plotted on domain -4:4; other activations on -3:3. Standardize domain across all four panels</w:t>
            </w:r>
          </w:p>
        </w:tc>
      </w:tr>
      <w:tr>
        <w:tc>
          <w:tcPr>
            <w:tcW w:type="pct" w:w="10%"/>
          </w:tcPr>
          <w:p>
            <w:r>
              <w:rPr>
                <w:sz w:val="20"/>
                <w:szCs w:val="20"/>
              </w:rPr>
              <w:t xml:space="preserve">LOW</w:t>
            </w:r>
          </w:p>
        </w:tc>
        <w:tc>
          <w:tcPr>
            <w:tcW w:type="pct" w:w="12%"/>
          </w:tcPr>
          <w:p>
            <w:r>
              <w:rPr>
                <w:sz w:val="20"/>
                <w:szCs w:val="20"/>
              </w:rPr>
              <w:t xml:space="preserve">Ch.17 (Fuzzy)</w:t>
            </w:r>
          </w:p>
        </w:tc>
        <w:tc>
          <w:tcPr>
            <w:tcW w:type="pct" w:w="22%"/>
          </w:tcPr>
          <w:p>
            <w:r>
              <w:rPr>
                <w:sz w:val="20"/>
                <w:szCs w:val="20"/>
              </w:rPr>
              <w:t xml:space="preserve">lecture_10_part_i.tex</w:t>
            </w:r>
          </w:p>
        </w:tc>
        <w:tc>
          <w:tcPr>
            <w:tcW w:type="pct" w:w="56%"/>
          </w:tcPr>
          <w:p>
            <w:r>
              <w:rPr>
                <w:sz w:val="20"/>
                <w:szCs w:val="20"/>
              </w:rPr>
              <w:t xml:space="preserve">Chapter title "Fuzzy Set Transformations Between Related Universes" — rename to include "Relations" and "Extension Principle"</w:t>
            </w:r>
          </w:p>
        </w:tc>
      </w:tr>
      <w:tr>
        <w:tc>
          <w:tcPr>
            <w:tcW w:type="pct" w:w="10%"/>
          </w:tcPr>
          <w:p>
            <w:r>
              <w:rPr>
                <w:sz w:val="20"/>
                <w:szCs w:val="20"/>
              </w:rPr>
              <w:t xml:space="preserve">LOW</w:t>
            </w:r>
          </w:p>
        </w:tc>
        <w:tc>
          <w:tcPr>
            <w:tcW w:type="pct" w:w="12%"/>
          </w:tcPr>
          <w:p>
            <w:r>
              <w:rPr>
                <w:sz w:val="20"/>
                <w:szCs w:val="20"/>
              </w:rPr>
              <w:t xml:space="preserve">Ch.19 (Evo)</w:t>
            </w:r>
          </w:p>
        </w:tc>
        <w:tc>
          <w:tcPr>
            <w:tcW w:type="pct" w:w="22%"/>
          </w:tcPr>
          <w:p>
            <w:r>
              <w:rPr>
                <w:sz w:val="20"/>
                <w:szCs w:val="20"/>
              </w:rPr>
              <w:t xml:space="preserve">lecture_11.tex</w:t>
            </w:r>
          </w:p>
        </w:tc>
        <w:tc>
          <w:tcPr>
            <w:tcW w:type="pct" w:w="56%"/>
          </w:tcPr>
          <w:p>
            <w:r>
              <w:rPr>
                <w:sz w:val="20"/>
                <w:szCs w:val="20"/>
              </w:rPr>
              <w:t xml:space="preserve">Chapter title starts with "Introduction to" — remove prefix for a full-treatment chapter</w:t>
            </w:r>
          </w:p>
        </w:tc>
      </w:tr>
      <w:tr>
        <w:tc>
          <w:tcPr>
            <w:tcW w:type="pct" w:w="10%"/>
          </w:tcPr>
          <w:p>
            <w:r>
              <w:rPr>
                <w:sz w:val="20"/>
                <w:szCs w:val="20"/>
              </w:rPr>
              <w:t xml:space="preserve">LOW</w:t>
            </w:r>
          </w:p>
        </w:tc>
        <w:tc>
          <w:tcPr>
            <w:tcW w:type="pct" w:w="12%"/>
          </w:tcPr>
          <w:p>
            <w:r>
              <w:rPr>
                <w:sz w:val="20"/>
                <w:szCs w:val="20"/>
              </w:rPr>
              <w:t xml:space="preserve">Ch.12 (RNN)</w:t>
            </w:r>
          </w:p>
        </w:tc>
        <w:tc>
          <w:tcPr>
            <w:tcW w:type="pct" w:w="22%"/>
          </w:tcPr>
          <w:p>
            <w:r>
              <w:rPr>
                <w:sz w:val="20"/>
                <w:szCs w:val="20"/>
              </w:rPr>
              <w:t xml:space="preserve">lecture_7.tex</w:t>
            </w:r>
          </w:p>
        </w:tc>
        <w:tc>
          <w:tcPr>
            <w:tcW w:type="pct" w:w="56%"/>
          </w:tcPr>
          <w:p>
            <w:r>
              <w:rPr>
                <w:sz w:val="20"/>
                <w:szCs w:val="20"/>
              </w:rPr>
              <w:t xml:space="preserve">Chapter title starts with "Introduction to" — remove prefix for a full-treatment chapter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Georgia" w:cs="Georgia" w:eastAsia="Georgia" w:hAnsi="Georgia"/>
      <w:sz w:val="22"/>
      <w:szCs w:val="22"/>
    </w:rPr>
  </w:style>
  <w:style w:type="paragraph" w:styleId="Heading1">
    <w:name w:val="Heading 1"/>
    <w:basedOn w:val="Normal"/>
    <w:pPr>
      <w:spacing w:before="360" w:after="120"/>
    </w:pPr>
    <w:rPr>
      <w:b/>
      <w:bCs/>
      <w:color w:val="1F3864"/>
      <w:sz w:val="28"/>
      <w:szCs w:val="28"/>
    </w:rPr>
  </w:style>
  <w:style w:type="paragraph" w:styleId="Heading2">
    <w:name w:val="Heading 2"/>
    <w:basedOn w:val="Normal"/>
    <w:pPr>
      <w:spacing w:before="240" w:after="80"/>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2026-03-05T16:08:52.154Z</dcterms:created>
  <dcterms:modified xsi:type="dcterms:W3CDTF">2026-03-05T16:08:52.154Z</dcterms:modified>
</cp:coreProperties>
</file>

<file path=docProps/custom.xml><?xml version="1.0" encoding="utf-8"?>
<Properties xmlns="http://schemas.openxmlformats.org/officeDocument/2006/custom-properties" xmlns:vt="http://schemas.openxmlformats.org/officeDocument/2006/docPropsVTypes"/>
</file>