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b/>
          <w:bCs/>
          <w:sz w:val="30"/>
          <w:szCs w:val="30"/>
        </w:rPr>
        <w:t xml:space="preserve">ADDENDUM TO THIRD-PASS REVIEW</w:t>
      </w:r>
    </w:p>
    <w:p>
      <w:pPr>
        <w:spacing w:before="0" w:after="360"/>
        <w:jc w:val="center"/>
      </w:pPr>
      <w:r>
        <w:rPr>
          <w:i/>
          <w:iCs/>
          <w:sz w:val="24"/>
          <w:szCs w:val="24"/>
        </w:rPr>
        <w:t xml:space="preserve">Chapter 2 Deep Review + Full Graph/Figure Audit</w:t>
      </w:r>
    </w:p>
    <w:p>
      <w:pPr>
        <w:pStyle w:val="Heading1"/>
        <w:spacing w:before="360" w:after="120"/>
      </w:pPr>
      <w:r>
        <w:t xml:space="preserve">6. Chapter 2 Deep Review: Symbolic Integration</w:t>
      </w:r>
    </w:p>
    <w:p>
      <w:pPr>
        <w:pStyle w:val="Heading2"/>
        <w:spacing w:before="240" w:after="80"/>
      </w:pPr>
      <w:r>
        <w:t xml:space="preserve">6.1  Mathematical correctness</w:t>
      </w:r>
    </w:p>
    <w:p>
      <w:pPr>
        <w:spacing w:before="80" w:after="80"/>
      </w:pPr>
      <w:r>
        <w:rPr>
          <w:sz w:val="22"/>
          <w:szCs w:val="22"/>
        </w:rPr>
        <w:t xml:space="preserve">Chapter 2 (lecture_2_part_i.tex) was read in full. All mathematical content is correct:</w:t>
      </w:r>
    </w:p>
    <w:p>
      <w:pPr>
        <w:pStyle w:val="ListParagraph"/>
        <w:numPr>
          <w:ilvl w:val="0"/>
          <w:numId w:val="1"/>
        </w:numPr>
        <w:spacing w:before="40" w:after="40"/>
      </w:pPr>
      <w:r>
        <w:t xml:space="preserve">The safe transformation for linear substitution u = ax+b is correctly derived: dx = du/a and the integral scales by 1/a. Domain invertibility is explicitly stated (a != 0).</w:t>
      </w:r>
    </w:p>
    <w:p>
      <w:pPr>
        <w:pStyle w:val="ListParagraph"/>
        <w:numPr>
          <w:ilvl w:val="0"/>
          <w:numId w:val="1"/>
        </w:numPr>
        <w:spacing w:before="40" w:after="40"/>
      </w:pPr>
      <w:r>
        <w:t xml:space="preserve">The trigonometric substitution x = sin y restricts y to [-pi/2, pi/2] to maintain bijectivity on |x| &lt;= 1, and the branch condition cos y &gt;= 0 is explicitly stated. This is careful and correct.</w:t>
      </w:r>
    </w:p>
    <w:p>
      <w:pPr>
        <w:pStyle w:val="ListParagraph"/>
        <w:numPr>
          <w:ilvl w:val="0"/>
          <w:numId w:val="1"/>
        </w:numPr>
        <w:spacing w:before="40" w:after="40"/>
      </w:pPr>
      <w:r>
        <w:t xml:space="preserve">The reduction from the original integral to 4*integral(sec^4 y dy): the exponent arithmetic (cos y / (cos^2 y)^(5/2) = cos y / cos^5 y = cos^(-4) y = sec^4 y) is shown explicitly and is correct.</w:t>
      </w:r>
    </w:p>
    <w:p>
      <w:pPr>
        <w:pStyle w:val="ListParagraph"/>
        <w:numPr>
          <w:ilvl w:val="0"/>
          <w:numId w:val="1"/>
        </w:numPr>
        <w:spacing w:before="40" w:after="40"/>
      </w:pPr>
      <w:r>
        <w:t xml:space="preserve">Both solution paths (u = tan y substitution and sec^n reduction formula) are verified to give 4 tan y + (4/3) tan^3 y + C. The reduction formula application at n=4 is correct: (sec^2 y tan y)/3 + (2/3) tan y = tan y(1+tan^2 y)/3 + 2 tan y/3 = tan y + tan^3 y/3, then multiplied by 4.</w:t>
      </w:r>
    </w:p>
    <w:p>
      <w:pPr>
        <w:pStyle w:val="ListParagraph"/>
        <w:numPr>
          <w:ilvl w:val="0"/>
          <w:numId w:val="1"/>
        </w:numPr>
        <w:spacing w:before="40" w:after="40"/>
      </w:pPr>
      <w:r>
        <w:t xml:space="preserve">Back-substitution using tan y = x/sqrt(1-x^2) gives F(x) = 4[x(1-x^2)^{-1/2} + x^3/(3(1-x^2)^{3/2})]. Differentiation yields F'(x) = 4(1-x^2)^{-5/2}, which matches the original integrand. Verified independently.</w:t>
      </w:r>
    </w:p>
    <w:p>
      <w:pPr>
        <w:pStyle w:val="ListParagraph"/>
        <w:numPr>
          <w:ilvl w:val="0"/>
          <w:numId w:val="1"/>
        </w:numPr>
        <w:spacing w:before="40" w:after="40"/>
      </w:pPr>
      <w:r>
        <w:t xml:space="preserve">The Beta integral example (lines 546-558) is correctly identified as I(a,b) = Gamma(a)Gamma(b)/Gamma(a+b), and the perturbed integral log(1+x) variant correctly falls through to numeric fallback. The Gauss-Kronrod estimate ~0.0915... with error certificate &lt; 3e-7 is cited as illustrative; this is acceptable for a schematic.</w:t>
      </w:r>
    </w:p>
    <w:p>
      <w:pPr>
        <w:pStyle w:val="ListParagraph"/>
        <w:numPr>
          <w:ilvl w:val="0"/>
          <w:numId w:val="1"/>
        </w:numPr>
        <w:spacing w:before="40" w:after="40"/>
      </w:pPr>
      <w:r>
        <w:t xml:space="preserve">The pseudocode (SolveIntegral function) is internally consistent: it pops from a stack, checks time/depth budgets, passes a residual test, and returns a structured result. The depth-first stack discipline and residual check are correctly described.</w:t>
      </w:r>
    </w:p>
    <w:p/>
    <w:p>
      <w:pPr>
        <w:pStyle w:val="Heading2"/>
        <w:spacing w:before="240" w:after="80"/>
      </w:pPr>
      <w:r>
        <w:t xml:space="preserve">6.2  Chapter 2: Issues found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4%"/>
            <w:shd w:fill="D9E2F3" w:val="clear"/>
          </w:tcPr>
          <w:p>
            <w:r>
              <w:rPr>
                <w:b/>
                <w:bCs/>
                <w:sz w:val="20"/>
                <w:szCs w:val="20"/>
              </w:rPr>
              <w:t xml:space="preserve">File</w:t>
            </w:r>
          </w:p>
        </w:tc>
        <w:tc>
          <w:tcPr>
            <w:tcW w:type="pct" w:w="10%"/>
            <w:shd w:fill="D9E2F3" w:val="clear"/>
          </w:tcPr>
          <w:p>
            <w:r>
              <w:rPr>
                <w:b/>
                <w:bCs/>
                <w:sz w:val="20"/>
                <w:szCs w:val="20"/>
              </w:rPr>
              <w:t xml:space="preserve">Lines</w:t>
            </w:r>
          </w:p>
        </w:tc>
        <w:tc>
          <w:tcPr>
            <w:tcW w:type="pct" w:w="12%"/>
            <w:shd w:fill="D9E2F3" w:val="clear"/>
          </w:tcPr>
          <w:p>
            <w:r>
              <w:rPr>
                <w:b/>
                <w:bCs/>
                <w:sz w:val="20"/>
                <w:szCs w:val="20"/>
              </w:rPr>
              <w:t xml:space="preserve">Category</w:t>
            </w:r>
          </w:p>
        </w:tc>
        <w:tc>
          <w:tcPr>
            <w:tcW w:type="pct" w:w="5%"/>
            <w:shd w:fill="D9E2F3" w:val="clear"/>
          </w:tcPr>
          <w:p>
            <w:r>
              <w:rPr>
                <w:b/>
                <w:bCs/>
                <w:sz w:val="20"/>
                <w:szCs w:val="20"/>
              </w:rPr>
              <w:t xml:space="preserve">Sev.</w:t>
            </w:r>
          </w:p>
        </w:tc>
        <w:tc>
          <w:tcPr>
            <w:tcW w:type="pct" w:w="30%"/>
            <w:shd w:fill="D9E2F3" w:val="clear"/>
          </w:tcPr>
          <w:p>
            <w:r>
              <w:rPr>
                <w:b/>
                <w:bCs/>
                <w:sz w:val="20"/>
                <w:szCs w:val="20"/>
              </w:rPr>
              <w:t xml:space="preserve">Finding</w:t>
            </w:r>
          </w:p>
        </w:tc>
        <w:tc>
          <w:tcPr>
            <w:tcW w:type="pct" w:w="29%"/>
            <w:shd w:fill="D9E2F3" w:val="clear"/>
          </w:tcPr>
          <w:p>
            <w:r>
              <w:rPr>
                <w:b/>
                <w:bCs/>
                <w:sz w:val="20"/>
                <w:szCs w:val="20"/>
              </w:rPr>
              <w:t xml:space="preserve">Recommended Fix</w:t>
            </w:r>
          </w:p>
        </w:tc>
      </w:tr>
      <w:tr>
        <w:tc>
          <w:tcPr>
            <w:tcW w:type="pct" w:w="14%"/>
          </w:tcPr>
          <w:p>
            <w:r>
              <w:rPr>
                <w:sz w:val="20"/>
                <w:szCs w:val="20"/>
              </w:rPr>
              <w:t xml:space="preserve">lecture_2_part_i.tex</w:t>
            </w:r>
          </w:p>
        </w:tc>
        <w:tc>
          <w:tcPr>
            <w:tcW w:type="pct" w:w="10%"/>
          </w:tcPr>
          <w:p>
            <w:r>
              <w:rPr>
                <w:sz w:val="20"/>
                <w:szCs w:val="20"/>
              </w:rPr>
              <w:t xml:space="preserve">252-428
(fig:lec3_transform_tree)</w:t>
            </w:r>
          </w:p>
        </w:tc>
        <w:tc>
          <w:tcPr>
            <w:tcW w:type="pct" w:w="12%"/>
          </w:tcPr>
          <w:p>
            <w:r>
              <w:rPr>
                <w:sz w:val="20"/>
                <w:szCs w:val="20"/>
              </w:rPr>
              <w:t xml:space="preserve">Figure — node styling</w:t>
            </w:r>
          </w:p>
        </w:tc>
        <w:tc>
          <w:tcPr>
            <w:tcW w:type="pct" w:w="5%"/>
          </w:tcPr>
          <w:p>
            <w:r>
              <w:rPr>
                <w:sz w:val="20"/>
                <w:szCs w:val="20"/>
              </w:rPr>
              <w:t xml:space="preserve">MEDIUM</w:t>
            </w:r>
          </w:p>
        </w:tc>
        <w:tc>
          <w:tcPr>
            <w:tcW w:type="pct" w:w="30%"/>
          </w:tcPr>
          <w:p>
            <w:r>
              <w:rPr>
                <w:sz w:val="20"/>
                <w:szCs w:val="20"/>
              </w:rPr>
              <w:t xml:space="preserve">The root node of the transformation tree (the original integral) is styled as a 'safe' [S] move (blue fill, [S] badge). The root is the problem statement, not a transformation at all.</w:t>
            </w:r>
          </w:p>
        </w:tc>
        <w:tc>
          <w:tcPr>
            <w:tcW w:type="pct" w:w="29%"/>
          </w:tcPr>
          <w:p>
            <w:r>
              <w:rPr>
                <w:sz w:val="20"/>
                <w:szCs w:val="20"/>
              </w:rPr>
              <w:t xml:space="preserve">Style the root node with a neutral style (e.g., gray fill, no badge). Only edges and child nodes should be labelled [S] or [H].</w:t>
            </w:r>
          </w:p>
        </w:tc>
      </w:tr>
      <w:tr>
        <w:tc>
          <w:tcPr>
            <w:tcW w:type="pct" w:w="14%"/>
          </w:tcPr>
          <w:p>
            <w:r>
              <w:rPr>
                <w:sz w:val="20"/>
                <w:szCs w:val="20"/>
              </w:rPr>
              <w:t xml:space="preserve">lecture_2_part_i.tex</w:t>
            </w:r>
          </w:p>
        </w:tc>
        <w:tc>
          <w:tcPr>
            <w:tcW w:type="pct" w:w="10%"/>
          </w:tcPr>
          <w:p>
            <w:r>
              <w:rPr>
                <w:sz w:val="20"/>
                <w:szCs w:val="20"/>
              </w:rPr>
              <w:t xml:space="preserve">304-305
(fig:lec3_transform_tree)</w:t>
            </w:r>
          </w:p>
        </w:tc>
        <w:tc>
          <w:tcPr>
            <w:tcW w:type="pct" w:w="12%"/>
          </w:tcPr>
          <w:p>
            <w:r>
              <w:rPr>
                <w:sz w:val="20"/>
                <w:szCs w:val="20"/>
              </w:rPr>
              <w:t xml:space="preserve">Figure — tree logic</w:t>
            </w:r>
          </w:p>
        </w:tc>
        <w:tc>
          <w:tcPr>
            <w:tcW w:type="pct" w:w="5%"/>
          </w:tcPr>
          <w:p>
            <w:r>
              <w:rPr>
                <w:sz w:val="20"/>
                <w:szCs w:val="20"/>
              </w:rPr>
              <w:t xml:space="preserve">MEDIUM</w:t>
            </w:r>
          </w:p>
        </w:tc>
        <w:tc>
          <w:tcPr>
            <w:tcW w:type="pct" w:w="30%"/>
          </w:tcPr>
          <w:p>
            <w:r>
              <w:rPr>
                <w:sz w:val="20"/>
                <w:szCs w:val="20"/>
              </w:rPr>
              <w:t xml:space="preserve">'Use dx=cos y dy' and 'Reduce to 4∫sec⁴y dy' appear as sibling child nodes under 'Substitute x=sin y', implying they are two alternative paths. They are sequential steps of the same branch: first you compute dx, then you simplify the integrand.</w:t>
            </w:r>
          </w:p>
        </w:tc>
        <w:tc>
          <w:tcPr>
            <w:tcW w:type="pct" w:w="29%"/>
          </w:tcPr>
          <w:p>
            <w:r>
              <w:rPr>
                <w:sz w:val="20"/>
                <w:szCs w:val="20"/>
              </w:rPr>
              <w:t xml:space="preserve">Chain the two nodes vertically (Level 3 → Level 4) to show they are sequential, not branching. Alternatively, collapse them into a single node: 'dx=cos y dy; reduce to 4∫sec⁴y dy'.</w:t>
            </w:r>
          </w:p>
        </w:tc>
      </w:tr>
      <w:tr>
        <w:tc>
          <w:tcPr>
            <w:tcW w:type="pct" w:w="14%"/>
          </w:tcPr>
          <w:p>
            <w:r>
              <w:rPr>
                <w:sz w:val="20"/>
                <w:szCs w:val="20"/>
              </w:rPr>
              <w:t xml:space="preserve">lecture_2_part_i.tex</w:t>
            </w:r>
          </w:p>
        </w:tc>
        <w:tc>
          <w:tcPr>
            <w:tcW w:type="pct" w:w="10%"/>
          </w:tcPr>
          <w:p>
            <w:r>
              <w:rPr>
                <w:sz w:val="20"/>
                <w:szCs w:val="20"/>
              </w:rPr>
              <w:t xml:space="preserve">252-428
(fig:lec3_transform_tree)</w:t>
            </w:r>
          </w:p>
        </w:tc>
        <w:tc>
          <w:tcPr>
            <w:tcW w:type="pct" w:w="12%"/>
          </w:tcPr>
          <w:p>
            <w:r>
              <w:rPr>
                <w:sz w:val="20"/>
                <w:szCs w:val="20"/>
              </w:rPr>
              <w:t xml:space="preserve">Figure — missing terminal</w:t>
            </w:r>
          </w:p>
        </w:tc>
        <w:tc>
          <w:tcPr>
            <w:tcW w:type="pct" w:w="5%"/>
          </w:tcPr>
          <w:p>
            <w:r>
              <w:rPr>
                <w:sz w:val="20"/>
                <w:szCs w:val="20"/>
              </w:rPr>
              <w:t xml:space="preserve">LOW</w:t>
            </w:r>
          </w:p>
        </w:tc>
        <w:tc>
          <w:tcPr>
            <w:tcW w:type="pct" w:w="30%"/>
          </w:tcPr>
          <w:p>
            <w:r>
              <w:rPr>
                <w:sz w:val="20"/>
                <w:szCs w:val="20"/>
              </w:rPr>
              <w:t xml:space="preserve">The transformation tree has no 'GOAL' or 'SUCCESS' terminal node. The leftmost branch ends at 'Reduce to 4∫sec⁴y dy' without any indication that the search succeeded. A reader cannot tell where the solution was found.</w:t>
            </w:r>
          </w:p>
        </w:tc>
        <w:tc>
          <w:tcPr>
            <w:tcW w:type="pct" w:w="29%"/>
          </w:tcPr>
          <w:p>
            <w:r>
              <w:rPr>
                <w:sz w:val="20"/>
                <w:szCs w:val="20"/>
              </w:rPr>
              <w:t xml:space="preserve">Add a terminal node (e.g., green fill, check-mark symbol) labeled 'SOLVED: 4tan y + (4/3)tan³y + C' as a leaf below the 'Reduce' node. Add a matching 'BACKTRACK' terminal node below the 'u=1-x² stalls' node for completeness.</w:t>
            </w:r>
          </w:p>
        </w:tc>
      </w:tr>
      <w:tr>
        <w:tc>
          <w:tcPr>
            <w:tcW w:type="pct" w:w="14%"/>
          </w:tcPr>
          <w:p>
            <w:r>
              <w:rPr>
                <w:sz w:val="20"/>
                <w:szCs w:val="20"/>
              </w:rPr>
              <w:t xml:space="preserve">lecture_2_part_i.tex</w:t>
            </w:r>
          </w:p>
        </w:tc>
        <w:tc>
          <w:tcPr>
            <w:tcW w:type="pct" w:w="10%"/>
          </w:tcPr>
          <w:p>
            <w:r>
              <w:rPr>
                <w:sz w:val="20"/>
                <w:szCs w:val="20"/>
              </w:rPr>
              <w:t xml:space="preserve">529</w:t>
            </w:r>
          </w:p>
        </w:tc>
        <w:tc>
          <w:tcPr>
            <w:tcW w:type="pct" w:w="12%"/>
          </w:tcPr>
          <w:p>
            <w:r>
              <w:rPr>
                <w:sz w:val="20"/>
                <w:szCs w:val="20"/>
              </w:rPr>
              <w:t xml:space="preserve">Table caption</w:t>
            </w:r>
          </w:p>
        </w:tc>
        <w:tc>
          <w:tcPr>
            <w:tcW w:type="pct" w:w="5%"/>
          </w:tcPr>
          <w:p>
            <w:r>
              <w:rPr>
                <w:sz w:val="20"/>
                <w:szCs w:val="20"/>
              </w:rPr>
              <w:t xml:space="preserve">LOW</w:t>
            </w:r>
          </w:p>
        </w:tc>
        <w:tc>
          <w:tcPr>
            <w:tcW w:type="pct" w:w="30%"/>
          </w:tcPr>
          <w:p>
            <w:r>
              <w:rPr>
                <w:sz w:val="20"/>
                <w:szCs w:val="20"/>
              </w:rPr>
              <w:t xml:space="preserve">The \caption text inside the table environment begins with 'Table: Transformation toolkit...'. LaTeX already prepends 'Table N:' from the counter, producing the redundant heading 'Table 1: Table: Transformation toolkit...'.</w:t>
            </w:r>
          </w:p>
        </w:tc>
        <w:tc>
          <w:tcPr>
            <w:tcW w:type="pct" w:w="29%"/>
          </w:tcPr>
          <w:p>
            <w:r>
              <w:rPr>
                <w:sz w:val="20"/>
                <w:szCs w:val="20"/>
              </w:rPr>
              <w:t xml:space="preserve">Remove the leading 'Table:' from the caption text. Change to: 'Transformation toolkit (safe vs. heuristic). Preconditions keep domains/branches explicit...'</w:t>
            </w:r>
          </w:p>
        </w:tc>
      </w:tr>
      <w:tr>
        <w:tc>
          <w:tcPr>
            <w:tcW w:type="pct" w:w="14%"/>
          </w:tcPr>
          <w:p>
            <w:r>
              <w:rPr>
                <w:sz w:val="20"/>
                <w:szCs w:val="20"/>
              </w:rPr>
              <w:t xml:space="preserve">lecture_2_part_i.tex</w:t>
            </w:r>
          </w:p>
        </w:tc>
        <w:tc>
          <w:tcPr>
            <w:tcW w:type="pct" w:w="10%"/>
          </w:tcPr>
          <w:p>
            <w:r>
              <w:rPr>
                <w:sz w:val="20"/>
                <w:szCs w:val="20"/>
              </w:rPr>
              <w:t xml:space="preserve">432-436</w:t>
            </w:r>
          </w:p>
        </w:tc>
        <w:tc>
          <w:tcPr>
            <w:tcW w:type="pct" w:w="12%"/>
          </w:tcPr>
          <w:p>
            <w:r>
              <w:rPr>
                <w:sz w:val="20"/>
                <w:szCs w:val="20"/>
              </w:rPr>
              <w:t xml:space="preserve">Stray code fragment</w:t>
            </w:r>
          </w:p>
        </w:tc>
        <w:tc>
          <w:tcPr>
            <w:tcW w:type="pct" w:w="5%"/>
          </w:tcPr>
          <w:p>
            <w:r>
              <w:rPr>
                <w:sz w:val="20"/>
                <w:szCs w:val="20"/>
              </w:rPr>
              <w:t xml:space="preserve">LOW</w:t>
            </w:r>
          </w:p>
        </w:tc>
        <w:tc>
          <w:tcPr>
            <w:tcW w:type="pct" w:w="30%"/>
          </w:tcPr>
          <w:p>
            <w:r>
              <w:rPr>
                <w:sz w:val="20"/>
                <w:szCs w:val="20"/>
              </w:rPr>
              <w:t xml:space="preserve">After the main worked example concludes, a loose paragraph shows: 'Apply substitution u=tan(x) =&gt; integration by parts =&gt; inverse trig identities =&gt; ...' without connecting to any specific integral. This appears to be an unfinished example fragment left over from an earlier draft.</w:t>
            </w:r>
          </w:p>
        </w:tc>
        <w:tc>
          <w:tcPr>
            <w:tcW w:type="pct" w:w="29%"/>
          </w:tcPr>
          <w:p>
            <w:r>
              <w:rPr>
                <w:sz w:val="20"/>
                <w:szCs w:val="20"/>
              </w:rPr>
              <w:t xml:space="preserve">Either (a) develop this into a short worked example with a specific integrand showing those three steps, or (b) remove the fragment and keep only the clean pseudocode/algorithmic outline that follows it.</w:t>
            </w:r>
          </w:p>
        </w:tc>
      </w:tr>
      <w:tr>
        <w:tc>
          <w:tcPr>
            <w:tcW w:type="pct" w:w="14%"/>
          </w:tcPr>
          <w:p>
            <w:r>
              <w:rPr>
                <w:sz w:val="20"/>
                <w:szCs w:val="20"/>
              </w:rPr>
              <w:t xml:space="preserve">lecture_2_part_i.tex</w:t>
            </w:r>
          </w:p>
        </w:tc>
        <w:tc>
          <w:tcPr>
            <w:tcW w:type="pct" w:w="10%"/>
          </w:tcPr>
          <w:p>
            <w:r>
              <w:rPr>
                <w:sz w:val="20"/>
                <w:szCs w:val="20"/>
              </w:rPr>
              <w:t xml:space="preserve">56-66</w:t>
            </w:r>
          </w:p>
        </w:tc>
        <w:tc>
          <w:tcPr>
            <w:tcW w:type="pct" w:w="12%"/>
          </w:tcPr>
          <w:p>
            <w:r>
              <w:rPr>
                <w:sz w:val="20"/>
                <w:szCs w:val="20"/>
              </w:rPr>
              <w:t xml:space="preserve">Notation</w:t>
            </w:r>
          </w:p>
        </w:tc>
        <w:tc>
          <w:tcPr>
            <w:tcW w:type="pct" w:w="5%"/>
          </w:tcPr>
          <w:p>
            <w:r>
              <w:rPr>
                <w:sz w:val="20"/>
                <w:szCs w:val="20"/>
              </w:rPr>
              <w:t xml:space="preserve">LOW</w:t>
            </w:r>
          </w:p>
        </w:tc>
        <w:tc>
          <w:tcPr>
            <w:tcW w:type="pct" w:w="30%"/>
          </w:tcPr>
          <w:p>
            <w:r>
              <w:rPr>
                <w:sz w:val="20"/>
                <w:szCs w:val="20"/>
              </w:rPr>
              <w:t xml:space="preserve">The safe transformations section uses capital F for the antiderivative of f and capital G for the antiderivative of g (constant factor extraction). This convention is correct but is applied silently — no sentence explicitly states 'we use F for the antiderivative of f throughout'.</w:t>
            </w:r>
          </w:p>
        </w:tc>
        <w:tc>
          <w:tcPr>
            <w:tcW w:type="pct" w:w="29%"/>
          </w:tcPr>
          <w:p>
            <w:r>
              <w:rPr>
                <w:sz w:val="20"/>
                <w:szCs w:val="20"/>
              </w:rPr>
              <w:t xml:space="preserve">Add one sentence before the safe transformations list: 'Throughout, we write F for the antiderivative of f and G for the antiderivative of g, so F'(x)=f(x) and G'(x)=g(x) by definition.'</w:t>
            </w:r>
          </w:p>
        </w:tc>
      </w:tr>
    </w:tbl>
    <w:p/>
    <w:p>
      <w:pPr>
        <w:pStyle w:val="Heading2"/>
        <w:spacing w:before="240" w:after="80"/>
      </w:pPr>
      <w:r>
        <w:t xml:space="preserve">6.3  Chapter 2: Strengths</w:t>
      </w:r>
    </w:p>
    <w:p>
      <w:pPr>
        <w:spacing w:before="80" w:after="80"/>
      </w:pPr>
      <w:r>
        <w:rPr>
          <w:sz w:val="22"/>
          <w:szCs w:val="22"/>
        </w:rPr>
        <w:t xml:space="preserve">Several aspects of Chapter 2 are genuinely distinctive:</w:t>
      </w:r>
    </w:p>
    <w:p>
      <w:pPr>
        <w:pStyle w:val="ListParagraph"/>
        <w:numPr>
          <w:ilvl w:val="0"/>
          <w:numId w:val="1"/>
        </w:numPr>
        <w:spacing w:before="40" w:after="40"/>
      </w:pPr>
      <w:r>
        <w:t xml:space="preserve">The dual-verification approach (two independent paths — u-substitution AND reduction formula — converging to the same answer) is a pedagogical strength that most textbooks omit. It directly models the "residual check" principle.</w:t>
      </w:r>
    </w:p>
    <w:p>
      <w:pPr>
        <w:pStyle w:val="ListParagraph"/>
        <w:numPr>
          <w:ilvl w:val="0"/>
          <w:numId w:val="1"/>
        </w:numPr>
        <w:spacing w:before="40" w:after="40"/>
      </w:pPr>
      <w:r>
        <w:t xml:space="preserve">Domain discipline is handled rigorously: the chapter explicitly declares the restriction |x| &lt; 1, notes that x=tanh u is the hyperbolic twin valid on the same domain, and flags what happens for |x| &gt; 1 (cosh substitution). This level of branch-cut awareness is rare in introductory treatments.</w:t>
      </w:r>
    </w:p>
    <w:p>
      <w:pPr>
        <w:pStyle w:val="ListParagraph"/>
        <w:numPr>
          <w:ilvl w:val="0"/>
          <w:numId w:val="1"/>
        </w:numPr>
        <w:spacing w:before="40" w:after="40"/>
      </w:pPr>
      <w:r>
        <w:t xml:space="preserve">The cost heuristic (tree depth + nonlinearity count + symbol count) gives the search algorithm a concrete scoring rule, bridging the chapter to the AI search framing in Chapter 1.</w:t>
      </w:r>
    </w:p>
    <w:p>
      <w:pPr>
        <w:pStyle w:val="ListParagraph"/>
        <w:numPr>
          <w:ilvl w:val="0"/>
          <w:numId w:val="1"/>
        </w:numPr>
        <w:spacing w:before="40" w:after="40"/>
      </w:pPr>
      <w:r>
        <w:t xml:space="preserve">The termination policies box (depth limits, residual checks, numeric fallback with explicit error certificate) is excellent production-quality content that anticipates real CAS implementation concerns.</w:t>
      </w:r>
    </w:p>
    <w:p>
      <w:pPr>
        <w:pStyle w:val="Heading1"/>
        <w:spacing w:before="360" w:after="120"/>
      </w:pPr>
      <w:r>
        <w:t xml:space="preserve">7. Graph and Figure Audit: Clarity and Accuracy</w:t>
      </w:r>
    </w:p>
    <w:p>
      <w:pPr>
        <w:spacing w:before="80" w:after="80"/>
      </w:pPr>
      <w:r>
        <w:rPr>
          <w:sz w:val="22"/>
          <w:szCs w:val="22"/>
        </w:rPr>
        <w:t xml:space="preserve">All pgfplots and TikZ figures were reviewed across the 19 chapters for mathematical accuracy of the plotted functions, axis label clarity, legend completeness, and visual consistency. The book's figure quality is generally high. Four concrete issues were found.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12%"/>
            <w:shd w:fill="D9E2F3" w:val="clear"/>
          </w:tcPr>
          <w:p>
            <w:r>
              <w:rPr>
                <w:b/>
                <w:bCs/>
                <w:sz w:val="20"/>
                <w:szCs w:val="20"/>
              </w:rPr>
              <w:t xml:space="preserve">File</w:t>
            </w:r>
          </w:p>
        </w:tc>
        <w:tc>
          <w:tcPr>
            <w:tcW w:type="pct" w:w="10%"/>
            <w:shd w:fill="D9E2F3" w:val="clear"/>
          </w:tcPr>
          <w:p>
            <w:r>
              <w:rPr>
                <w:b/>
                <w:bCs/>
                <w:sz w:val="20"/>
                <w:szCs w:val="20"/>
              </w:rPr>
              <w:t xml:space="preserve">Lines / Figure</w:t>
            </w:r>
          </w:p>
        </w:tc>
        <w:tc>
          <w:tcPr>
            <w:tcW w:type="pct" w:w="12%"/>
            <w:shd w:fill="D9E2F3" w:val="clear"/>
          </w:tcPr>
          <w:p>
            <w:r>
              <w:rPr>
                <w:b/>
                <w:bCs/>
                <w:sz w:val="20"/>
                <w:szCs w:val="20"/>
              </w:rPr>
              <w:t xml:space="preserve">Category</w:t>
            </w:r>
          </w:p>
        </w:tc>
        <w:tc>
          <w:tcPr>
            <w:tcW w:type="pct" w:w="5%"/>
            <w:shd w:fill="D9E2F3" w:val="clear"/>
          </w:tcPr>
          <w:p>
            <w:r>
              <w:rPr>
                <w:b/>
                <w:bCs/>
                <w:sz w:val="20"/>
                <w:szCs w:val="20"/>
              </w:rPr>
              <w:t xml:space="preserve">Sev.</w:t>
            </w:r>
          </w:p>
        </w:tc>
        <w:tc>
          <w:tcPr>
            <w:tcW w:type="pct" w:w="32%"/>
            <w:shd w:fill="D9E2F3" w:val="clear"/>
          </w:tcPr>
          <w:p>
            <w:r>
              <w:rPr>
                <w:b/>
                <w:bCs/>
                <w:sz w:val="20"/>
                <w:szCs w:val="20"/>
              </w:rPr>
              <w:t xml:space="preserve">Finding</w:t>
            </w:r>
          </w:p>
        </w:tc>
        <w:tc>
          <w:tcPr>
            <w:tcW w:type="pct" w:w="29%"/>
            <w:shd w:fill="D9E2F3" w:val="clear"/>
          </w:tcPr>
          <w:p>
            <w:r>
              <w:rPr>
                <w:b/>
                <w:bCs/>
                <w:sz w:val="20"/>
                <w:szCs w:val="20"/>
              </w:rPr>
              <w:t xml:space="preserve">Recommended Fix</w:t>
            </w:r>
          </w:p>
        </w:tc>
      </w:tr>
      <w:tr>
        <w:tc>
          <w:tcPr>
            <w:tcW w:type="pct" w:w="12%"/>
          </w:tcPr>
          <w:p>
            <w:r>
              <w:rPr>
                <w:sz w:val="20"/>
                <w:szCs w:val="20"/>
              </w:rPr>
              <w:t xml:space="preserve">lecture_6.tex</w:t>
            </w:r>
          </w:p>
        </w:tc>
        <w:tc>
          <w:tcPr>
            <w:tcW w:type="pct" w:w="10%"/>
          </w:tcPr>
          <w:p>
            <w:r>
              <w:rPr>
                <w:sz w:val="20"/>
                <w:szCs w:val="20"/>
              </w:rPr>
              <w:t xml:space="preserve">362-380
(fig:lec6-bn)</w:t>
            </w:r>
          </w:p>
        </w:tc>
        <w:tc>
          <w:tcPr>
            <w:tcW w:type="pct" w:w="12%"/>
          </w:tcPr>
          <w:p>
            <w:r>
              <w:rPr>
                <w:sz w:val="20"/>
                <w:szCs w:val="20"/>
              </w:rPr>
              <w:t xml:space="preserve">Figure accuracy</w:t>
            </w:r>
          </w:p>
        </w:tc>
        <w:tc>
          <w:tcPr>
            <w:tcW w:type="pct" w:w="5%"/>
          </w:tcPr>
          <w:p>
            <w:r>
              <w:rPr>
                <w:sz w:val="20"/>
                <w:szCs w:val="20"/>
              </w:rPr>
              <w:t xml:space="preserve">MEDIUM</w:t>
            </w:r>
          </w:p>
        </w:tc>
        <w:tc>
          <w:tcPr>
            <w:tcW w:type="pct" w:w="32%"/>
          </w:tcPr>
          <w:p>
            <w:r>
              <w:rPr>
                <w:sz w:val="20"/>
                <w:szCs w:val="20"/>
              </w:rPr>
              <w:t xml:space="preserve">Batch normalization figure: the Post-BN subplot shows 'channel 1' (blue) and 'channel 2' (orange) as two separate legend entries, but both curves are plotted as N(0,1) — identical Gaussians that completely overlap. The reader sees only one visible curve; the two legend entries are useless because they cannot be distinguished.</w:t>
            </w:r>
          </w:p>
        </w:tc>
        <w:tc>
          <w:tcPr>
            <w:tcW w:type="pct" w:w="29%"/>
          </w:tcPr>
          <w:p>
            <w:r>
              <w:rPr>
                <w:sz w:val="20"/>
                <w:szCs w:val="20"/>
              </w:rPr>
              <w:t xml:space="preserve">Option A (simplest): plot only a single N(0,1) curve and update the caption to say 'after per-channel normalization, all channels collapse to N(0,1); the learned scale/shift (gamma, beta) then separates them again.' Option B (more informative): show the post-scale/shift distributions (e.g., N(0.5, 1.2) and N(-0.3, 0.8)) with a caption note that these represent the affine-restored distributions after learning gamma and beta.</w:t>
            </w:r>
          </w:p>
        </w:tc>
      </w:tr>
      <w:tr>
        <w:tc>
          <w:tcPr>
            <w:tcW w:type="pct" w:w="12%"/>
          </w:tcPr>
          <w:p>
            <w:r>
              <w:rPr>
                <w:sz w:val="20"/>
                <w:szCs w:val="20"/>
              </w:rPr>
              <w:t xml:space="preserve">lecture_4_part_i.tex</w:t>
            </w:r>
          </w:p>
        </w:tc>
        <w:tc>
          <w:tcPr>
            <w:tcW w:type="pct" w:w="10%"/>
          </w:tcPr>
          <w:p>
            <w:r>
              <w:rPr>
                <w:sz w:val="20"/>
                <w:szCs w:val="20"/>
              </w:rPr>
              <w:t xml:space="preserve">660-700
(fig:lec4-activations)</w:t>
            </w:r>
          </w:p>
        </w:tc>
        <w:tc>
          <w:tcPr>
            <w:tcW w:type="pct" w:w="12%"/>
          </w:tcPr>
          <w:p>
            <w:r>
              <w:rPr>
                <w:sz w:val="20"/>
                <w:szCs w:val="20"/>
              </w:rPr>
              <w:t xml:space="preserve">Figure consistency</w:t>
            </w:r>
          </w:p>
        </w:tc>
        <w:tc>
          <w:tcPr>
            <w:tcW w:type="pct" w:w="5%"/>
          </w:tcPr>
          <w:p>
            <w:r>
              <w:rPr>
                <w:sz w:val="20"/>
                <w:szCs w:val="20"/>
              </w:rPr>
              <w:t xml:space="preserve">LOW</w:t>
            </w:r>
          </w:p>
        </w:tc>
        <w:tc>
          <w:tcPr>
            <w:tcW w:type="pct" w:w="32%"/>
          </w:tcPr>
          <w:p>
            <w:r>
              <w:rPr>
                <w:sz w:val="20"/>
                <w:szCs w:val="20"/>
              </w:rPr>
              <w:t xml:space="preserve">The four-panel activation function figure uses domain=-4:4 for the sigmoid subplot but domain=-3:3 for step, tanh, and ReLU. All four subplots share the same axis size but have inconsistent x-ranges, which makes visual comparison of saturation regions and derivative shapes slightly misleading.</w:t>
            </w:r>
          </w:p>
        </w:tc>
        <w:tc>
          <w:tcPr>
            <w:tcW w:type="pct" w:w="29%"/>
          </w:tcPr>
          <w:p>
            <w:r>
              <w:rPr>
                <w:sz w:val="20"/>
                <w:szCs w:val="20"/>
              </w:rPr>
              <w:t xml:space="preserve">Use a uniform domain for all four panels. Suggested: domain=-4:4 for all (widens step/ReLU/tanh slightly and shows full sigmoid saturation). Alternatively domain=-3:3 for all is fine since the sigmoid is already near-saturated at ±3.</w:t>
            </w:r>
          </w:p>
        </w:tc>
      </w:tr>
      <w:tr>
        <w:tc>
          <w:tcPr>
            <w:tcW w:type="pct" w:w="12%"/>
          </w:tcPr>
          <w:p>
            <w:r>
              <w:rPr>
                <w:sz w:val="20"/>
                <w:szCs w:val="20"/>
              </w:rPr>
              <w:t xml:space="preserve">lecture_5_part_i.tex</w:t>
            </w:r>
          </w:p>
        </w:tc>
        <w:tc>
          <w:tcPr>
            <w:tcW w:type="pct" w:w="10%"/>
          </w:tcPr>
          <w:p>
            <w:r>
              <w:rPr>
                <w:sz w:val="20"/>
                <w:szCs w:val="20"/>
              </w:rPr>
              <w:t xml:space="preserve">549-565
(fig:lec5-regularization-surfaces)</w:t>
            </w:r>
          </w:p>
        </w:tc>
        <w:tc>
          <w:tcPr>
            <w:tcW w:type="pct" w:w="12%"/>
          </w:tcPr>
          <w:p>
            <w:r>
              <w:rPr>
                <w:sz w:val="20"/>
                <w:szCs w:val="20"/>
              </w:rPr>
              <w:t xml:space="preserve">Figure accuracy</w:t>
            </w:r>
          </w:p>
        </w:tc>
        <w:tc>
          <w:tcPr>
            <w:tcW w:type="pct" w:w="5%"/>
          </w:tcPr>
          <w:p>
            <w:r>
              <w:rPr>
                <w:sz w:val="20"/>
                <w:szCs w:val="20"/>
              </w:rPr>
              <w:t xml:space="preserve">MEDIUM</w:t>
            </w:r>
          </w:p>
        </w:tc>
        <w:tc>
          <w:tcPr>
            <w:tcW w:type="pct" w:w="32%"/>
          </w:tcPr>
          <w:p>
            <w:r>
              <w:rPr>
                <w:sz w:val="20"/>
                <w:szCs w:val="20"/>
              </w:rPr>
              <w:t xml:space="preserve">The 'unregularized' objective surface is plotted as 0.4*x^2 + 0.1*y^2 + 0.8*x*y. The Hessian matrix is [[0.8, 0.8], [0.8, 0.2]] with determinant 0.16-0.64 = -0.48 &lt; 0. This is a SADDLE POINT surface (indefinite Hessian), not a bowl with narrow valleys or multiple local minima as the caption implies. The regularized surface (0.25*x^2 + 0.25*y^2 + 0.2*(x-y)^2) correctly has a positive-definite Hessian and a bowl shape.</w:t>
            </w:r>
          </w:p>
        </w:tc>
        <w:tc>
          <w:tcPr>
            <w:tcW w:type="pct" w:w="29%"/>
          </w:tcPr>
          <w:p>
            <w:r>
              <w:rPr>
                <w:sz w:val="20"/>
                <w:szCs w:val="20"/>
              </w:rPr>
              <w:t xml:space="preserve">Replace the unregularized surface with one that has a proper minimum but a narrow, ill-conditioned basin. Example: 0.8*x^2 + 0.05*y^2 (a valid convex bowl that is stretched/narrow). Or use a multi-modal surface (e.g., sum of Gaussians with pgfplotstable) to illustrate 'jagged' more accurately. The current indefinite quadratic form misrepresents the concept.</w:t>
            </w:r>
          </w:p>
        </w:tc>
      </w:tr>
      <w:tr>
        <w:tc>
          <w:tcPr>
            <w:tcW w:type="pct" w:w="12%"/>
          </w:tcPr>
          <w:p>
            <w:r>
              <w:rPr>
                <w:sz w:val="20"/>
                <w:szCs w:val="20"/>
              </w:rPr>
              <w:t xml:space="preserve">lecture_7.tex</w:t>
            </w:r>
          </w:p>
        </w:tc>
        <w:tc>
          <w:tcPr>
            <w:tcW w:type="pct" w:w="10%"/>
          </w:tcPr>
          <w:p>
            <w:r>
              <w:rPr>
                <w:sz w:val="20"/>
                <w:szCs w:val="20"/>
              </w:rPr>
              <w:t xml:space="preserve">282-319
(fig:lec7-rnn-unrolled)</w:t>
            </w:r>
          </w:p>
        </w:tc>
        <w:tc>
          <w:tcPr>
            <w:tcW w:type="pct" w:w="12%"/>
          </w:tcPr>
          <w:p>
            <w:r>
              <w:rPr>
                <w:sz w:val="20"/>
                <w:szCs w:val="20"/>
              </w:rPr>
              <w:t xml:space="preserve">Figure consistency</w:t>
            </w:r>
          </w:p>
        </w:tc>
        <w:tc>
          <w:tcPr>
            <w:tcW w:type="pct" w:w="5%"/>
          </w:tcPr>
          <w:p>
            <w:r>
              <w:rPr>
                <w:sz w:val="20"/>
                <w:szCs w:val="20"/>
              </w:rPr>
              <w:t xml:space="preserve">LOW</w:t>
            </w:r>
          </w:p>
        </w:tc>
        <w:tc>
          <w:tcPr>
            <w:tcW w:type="pct" w:w="32%"/>
          </w:tcPr>
          <w:p>
            <w:r>
              <w:rPr>
                <w:sz w:val="20"/>
                <w:szCs w:val="20"/>
              </w:rPr>
              <w:t xml:space="preserve">In the unrolled RNN diagram, the recurrent arrow from h_{t-1} to h_t is labeled W_{hh} (line 302) but the arrow from h_t to h_{t+1} has no label (line 303). This asymmetry may suggest different weights are used on different recurrent steps, which contradicts the 'shared parameters' message the figure is trying to convey.</w:t>
            </w:r>
          </w:p>
        </w:tc>
        <w:tc>
          <w:tcPr>
            <w:tcW w:type="pct" w:w="29%"/>
          </w:tcPr>
          <w:p>
            <w:r>
              <w:rPr>
                <w:sz w:val="20"/>
                <w:szCs w:val="20"/>
              </w:rPr>
              <w:t xml:space="preserve">Either label ALL recurrent arrows with W_{hh}, or label NONE of them (relying solely on the shared-parameters brace at the bottom for annotation). The current asymmetry is confusing.</w:t>
            </w:r>
          </w:p>
        </w:tc>
      </w:tr>
    </w:tbl>
    <w:p/>
    <w:p>
      <w:pPr>
        <w:pStyle w:val="Heading2"/>
        <w:spacing w:before="240" w:after="80"/>
      </w:pPr>
      <w:r>
        <w:t xml:space="preserve">7.1  Detailed note: Batch normalization figure (lecture_6.tex, fig:lec6-bn)</w:t>
      </w:r>
    </w:p>
    <w:p>
      <w:pPr>
        <w:spacing w:before="80" w:after="80"/>
      </w:pPr>
      <w:r>
        <w:rPr>
          <w:sz w:val="22"/>
          <w:szCs w:val="22"/>
        </w:rPr>
        <w:t xml:space="preserve">This is the most visually confusing figure in the book. The Pre-BN subplot correctly shows two non-identical channel distributions (blue: N(2, sigma^2=1.5), orange: N(-1, sigma^2=0.8)). The Post-BN subplot then shows both channels as N(0,1) in different colors — but since the curves are identical, only one curve is visible despite two legend entries. The issue is not a mathematical error (after per-channel normalization, all channels DO converge to N(0,1)), but a visual design failure: the legend entries "channel 1" and "channel 2" are invisible to the reader.</w:t>
      </w:r>
    </w:p>
    <w:p>
      <w:pPr>
        <w:spacing w:before="80" w:after="80"/>
      </w:pPr>
      <w:r>
        <w:rPr>
          <w:sz w:val="22"/>
          <w:szCs w:val="22"/>
        </w:rPr>
        <w:t xml:space="preserve">The deeper conceptual issue: BN applies learned affine parameters (gamma, beta) AFTER normalization, restoring per-channel scale and shift. A figure showing only the normalized (N(0,1)) state without the affine restoration step understates what BN actually does. The most informative fix is Option B from the table: add a third subplot showing the post-affine distributions, e.g., N(0.8, 1.2^2) and N(-0.4, 0.6^2), demonstrating that BN normalizes AND then re-learns the distribution shape.</w:t>
      </w:r>
    </w:p>
    <w:p/>
    <w:p>
      <w:pPr>
        <w:pStyle w:val="Heading2"/>
        <w:spacing w:before="240" w:after="80"/>
      </w:pPr>
      <w:r>
        <w:t xml:space="preserve">7.2  Detailed note: Unregularized SOM objective surface (lecture_5_part_i.tex)</w:t>
      </w:r>
    </w:p>
    <w:p>
      <w:pPr>
        <w:spacing w:before="80" w:after="80"/>
      </w:pPr>
      <w:r>
        <w:rPr>
          <w:sz w:val="22"/>
          <w:szCs w:val="22"/>
        </w:rPr>
        <w:t xml:space="preserve">The quadratic surface 0.4*x^2 + 0.1*y^2 + 0.8*x*y has Hessian [[0.8, 0.8], [0.8, 0.2]] with determinant = 0.16 - 0.64 = -0.48. A negative determinant means the Hessian is indefinite: the surface has a saddle point at the origin, not a local minimum. This contradicts the caption's description of "jagged" basins (implying multiple local minima) and creates a misleading impression when the figure is presented as an optimization landscape.</w:t>
      </w:r>
    </w:p>
    <w:p>
      <w:pPr>
        <w:spacing w:before="80" w:after="80"/>
      </w:pPr>
      <w:r>
        <w:rPr>
          <w:sz w:val="22"/>
          <w:szCs w:val="22"/>
        </w:rPr>
        <w:t xml:space="preserve">The regularized surface 0.25*x^2 + 0.25*y^2 + 0.2*(x-y)^2 = 0.45*x^2 - 0.4*x*y + 0.45*y^2 has Hessian determinant = 0.81 - 0.16 = 0.65 &gt; 0 and positive trace, so it IS a valid convex bowl. The contrast the figure tries to show (ill-conditioned / jagged vs. smooth / regularized) is correct in concept but the left surface does not support it numerically.</w:t>
      </w:r>
    </w:p>
    <w:p>
      <w:pPr>
        <w:spacing w:before="80" w:after="80"/>
      </w:pPr>
      <w:r>
        <w:rPr>
          <w:sz w:val="22"/>
          <w:szCs w:val="22"/>
        </w:rPr>
        <w:t xml:space="preserve">Recommended replacement for the unregularized surface: 0.8*x^2 + 0.05*y^2 (a strongly elongated but valid convex bowl with condition number 16), which visually illustrates "narrow valley" without being a saddle. Or: (x^2-1)^2 + 0.1*y^2 (a double-well multi-modal surface showing true "jagged landscape").</w:t>
      </w:r>
    </w:p>
    <w:p/>
    <w:p>
      <w:pPr>
        <w:pStyle w:val="Heading2"/>
        <w:spacing w:before="240" w:after="80"/>
      </w:pPr>
      <w:r>
        <w:t xml:space="preserve">7.3  Overall figure quality assessment</w:t>
      </w:r>
    </w:p>
    <w:p>
      <w:pPr>
        <w:spacing w:before="80" w:after="80"/>
      </w:pPr>
      <w:r>
        <w:rPr>
          <w:sz w:val="22"/>
          <w:szCs w:val="22"/>
        </w:rPr>
        <w:t xml:space="preserve">Across 19 chapters, the following observations summarize the figure quality:</w:t>
      </w:r>
    </w:p>
    <w:p>
      <w:pPr>
        <w:pStyle w:val="ListParagraph"/>
        <w:numPr>
          <w:ilvl w:val="0"/>
          <w:numId w:val="1"/>
        </w:numPr>
        <w:spacing w:before="40" w:after="40"/>
      </w:pPr>
      <w:r>
        <w:t xml:space="preserve">Mathematical accuracy of plotted functions: HIGH. Sigmoid, tanh, ReLU, their derivatives, BCE loss curves, early stopping curves, vanishing/exploding gradient plots, attention heatmaps, Gaussian neighborhood kernels — all computed correctly.</w:t>
      </w:r>
    </w:p>
    <w:p>
      <w:pPr>
        <w:pStyle w:val="ListParagraph"/>
        <w:numPr>
          <w:ilvl w:val="0"/>
          <w:numId w:val="1"/>
        </w:numPr>
        <w:spacing w:before="40" w:after="40"/>
      </w:pPr>
      <w:r>
        <w:t xml:space="preserve">Axis labels: GOOD. Most axes have xlabel and ylabel. A few schematic figures (the 2D ellipse SOM figure, the cube projection figure) use bare x/y labels, which is acceptable for conceptual diagrams.</w:t>
      </w:r>
    </w:p>
    <w:p>
      <w:pPr>
        <w:pStyle w:val="ListParagraph"/>
        <w:numPr>
          <w:ilvl w:val="0"/>
          <w:numId w:val="1"/>
        </w:numPr>
        <w:spacing w:before="40" w:after="40"/>
      </w:pPr>
      <w:r>
        <w:t xml:space="preserve">Captions: HIGH quality throughout except the Batch normalization issue above. The Dropout, BPTT, activation, teacher-forcing, LoRA, and Pareto front captions are all clearly written and pedagogically useful.</w:t>
      </w:r>
    </w:p>
    <w:p>
      <w:pPr>
        <w:pStyle w:val="ListParagraph"/>
        <w:numPr>
          <w:ilvl w:val="0"/>
          <w:numId w:val="1"/>
        </w:numPr>
        <w:spacing w:before="40" w:after="40"/>
      </w:pPr>
      <w:r>
        <w:t xml:space="preserve">Source attribution: GOOD. All illustrative/schematic figures carry "Source: author-generated." Key citation figures (LSTM, GRU, attention heatmap) include \citep{} references.</w:t>
      </w:r>
    </w:p>
    <w:p>
      <w:pPr>
        <w:pStyle w:val="ListParagraph"/>
        <w:numPr>
          <w:ilvl w:val="0"/>
          <w:numId w:val="1"/>
        </w:numPr>
        <w:spacing w:before="40" w:after="40"/>
      </w:pPr>
      <w:r>
        <w:t xml:space="preserve">Color scheme: CONSISTENT throughout — the book uses the colorblind-safe palette (cbBlue, cbOrange, cbGreen, cbPink) defined in the preamble. No chapter deviates from it.</w:t>
      </w:r>
    </w:p>
    <w:p>
      <w:pPr>
        <w:pStyle w:val="ListParagraph"/>
        <w:numPr>
          <w:ilvl w:val="0"/>
          <w:numId w:val="1"/>
        </w:numPr>
        <w:spacing w:before="40" w:after="40"/>
      </w:pPr>
      <w:r>
        <w:t xml:space="preserve">EPUB compatibility: Most TikZ/pgfplots figures have \ifdefined\HCode guards or use \resizebox for TeX4ht. The Batch normalization and optimizer figures do NOT have HCode guards — they use pgfplots groupplot directly. TeX4ht has known issues with groupplot. Consider wrapping fig:lec6-bn and fig:lec6-optimizers in \ifdefined\HCode blocks as a fallback for EPUB builds.</w:t>
      </w:r>
    </w:p>
    <w:p>
      <w:pPr>
        <w:pStyle w:val="Heading1"/>
        <w:spacing w:before="360" w:after="120"/>
      </w:pPr>
      <w:r>
        <w:t xml:space="preserve">8. Combined Priority Table (All Three Passes)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shd w:fill="D9E2F3" w:val="clear"/>
          </w:tcPr>
          <w:p>
            <w:r>
              <w:rPr>
                <w:b/>
                <w:bCs/>
                <w:sz w:val="20"/>
                <w:szCs w:val="20"/>
              </w:rPr>
              <w:t xml:space="preserve">Priority</w:t>
            </w:r>
          </w:p>
        </w:tc>
        <w:tc>
          <w:tcPr>
            <w:tcW w:type="pct" w:w="12%"/>
            <w:shd w:fill="D9E2F3" w:val="clear"/>
          </w:tcPr>
          <w:p>
            <w:r>
              <w:rPr>
                <w:b/>
                <w:bCs/>
                <w:sz w:val="20"/>
                <w:szCs w:val="20"/>
              </w:rPr>
              <w:t xml:space="preserve">Chapter</w:t>
            </w:r>
          </w:p>
        </w:tc>
        <w:tc>
          <w:tcPr>
            <w:tcW w:type="pct" w:w="22%"/>
            <w:shd w:fill="D9E2F3" w:val="clear"/>
          </w:tcPr>
          <w:p>
            <w:r>
              <w:rPr>
                <w:b/>
                <w:bCs/>
                <w:sz w:val="20"/>
                <w:szCs w:val="20"/>
              </w:rPr>
              <w:t xml:space="preserve">File</w:t>
            </w:r>
          </w:p>
        </w:tc>
        <w:tc>
          <w:tcPr>
            <w:tcW w:type="pct" w:w="56%"/>
            <w:shd w:fill="D9E2F3" w:val="clear"/>
          </w:tcPr>
          <w:p>
            <w:r>
              <w:rPr>
                <w:b/>
                <w:bCs/>
                <w:sz w:val="20"/>
                <w:szCs w:val="20"/>
              </w:rPr>
              <w:t xml:space="preserve">Issue</w:t>
            </w:r>
          </w:p>
        </w:tc>
      </w:tr>
      <w:tr>
        <w:tc>
          <w:tcPr>
            <w:tcW w:type="pct" w:w="10%"/>
          </w:tcPr>
          <w:p>
            <w:r>
              <w:rPr>
                <w:sz w:val="20"/>
                <w:szCs w:val="20"/>
              </w:rPr>
              <w:t xml:space="preserve">MEDIUM</w:t>
            </w:r>
          </w:p>
        </w:tc>
        <w:tc>
          <w:tcPr>
            <w:tcW w:type="pct" w:w="12%"/>
          </w:tcPr>
          <w:p>
            <w:r>
              <w:rPr>
                <w:sz w:val="20"/>
                <w:szCs w:val="20"/>
              </w:rPr>
              <w:t xml:space="preserve">Ch.2</w:t>
            </w:r>
          </w:p>
        </w:tc>
        <w:tc>
          <w:tcPr>
            <w:tcW w:type="pct" w:w="22%"/>
          </w:tcPr>
          <w:p>
            <w:r>
              <w:rPr>
                <w:sz w:val="20"/>
                <w:szCs w:val="20"/>
              </w:rPr>
              <w:t xml:space="preserve">lecture_2_part_i.tex</w:t>
            </w:r>
          </w:p>
        </w:tc>
        <w:tc>
          <w:tcPr>
            <w:tcW w:type="pct" w:w="56%"/>
          </w:tcPr>
          <w:p>
            <w:r>
              <w:rPr>
                <w:sz w:val="20"/>
                <w:szCs w:val="20"/>
              </w:rPr>
              <w:t xml:space="preserve">Transformation tree root node styled [S] — should be neutral/problem-statement style</w:t>
            </w:r>
          </w:p>
        </w:tc>
      </w:tr>
      <w:tr>
        <w:tc>
          <w:tcPr>
            <w:tcW w:type="pct" w:w="10%"/>
          </w:tcPr>
          <w:p>
            <w:r>
              <w:rPr>
                <w:sz w:val="20"/>
                <w:szCs w:val="20"/>
              </w:rPr>
              <w:t xml:space="preserve">MEDIUM</w:t>
            </w:r>
          </w:p>
        </w:tc>
        <w:tc>
          <w:tcPr>
            <w:tcW w:type="pct" w:w="12%"/>
          </w:tcPr>
          <w:p>
            <w:r>
              <w:rPr>
                <w:sz w:val="20"/>
                <w:szCs w:val="20"/>
              </w:rPr>
              <w:t xml:space="preserve">Ch.2</w:t>
            </w:r>
          </w:p>
        </w:tc>
        <w:tc>
          <w:tcPr>
            <w:tcW w:type="pct" w:w="22%"/>
          </w:tcPr>
          <w:p>
            <w:r>
              <w:rPr>
                <w:sz w:val="20"/>
                <w:szCs w:val="20"/>
              </w:rPr>
              <w:t xml:space="preserve">lecture_2_part_i.tex</w:t>
            </w:r>
          </w:p>
        </w:tc>
        <w:tc>
          <w:tcPr>
            <w:tcW w:type="pct" w:w="56%"/>
          </w:tcPr>
          <w:p>
            <w:r>
              <w:rPr>
                <w:sz w:val="20"/>
                <w:szCs w:val="20"/>
              </w:rPr>
              <w:t xml:space="preserve">Sequential steps "dx=cos y dy" and "Reduce" shown as sibling branches — should be chained</w:t>
            </w:r>
          </w:p>
        </w:tc>
      </w:tr>
      <w:tr>
        <w:tc>
          <w:tcPr>
            <w:tcW w:type="pct" w:w="10%"/>
          </w:tcPr>
          <w:p>
            <w:r>
              <w:rPr>
                <w:sz w:val="20"/>
                <w:szCs w:val="20"/>
              </w:rPr>
              <w:t xml:space="preserve">MEDIUM</w:t>
            </w:r>
          </w:p>
        </w:tc>
        <w:tc>
          <w:tcPr>
            <w:tcW w:type="pct" w:w="12%"/>
          </w:tcPr>
          <w:p>
            <w:r>
              <w:rPr>
                <w:sz w:val="20"/>
                <w:szCs w:val="20"/>
              </w:rPr>
              <w:t xml:space="preserve">Ch.6 (CNN)</w:t>
            </w:r>
          </w:p>
        </w:tc>
        <w:tc>
          <w:tcPr>
            <w:tcW w:type="pct" w:w="22%"/>
          </w:tcPr>
          <w:p>
            <w:r>
              <w:rPr>
                <w:sz w:val="20"/>
                <w:szCs w:val="20"/>
              </w:rPr>
              <w:t xml:space="preserve">lecture_6.tex</w:t>
            </w:r>
          </w:p>
        </w:tc>
        <w:tc>
          <w:tcPr>
            <w:tcW w:type="pct" w:w="56%"/>
          </w:tcPr>
          <w:p>
            <w:r>
              <w:rPr>
                <w:sz w:val="20"/>
                <w:szCs w:val="20"/>
              </w:rPr>
              <w:t xml:space="preserve">Post-BN subplot: two legend entries (channel 1, channel 2) plot identical N(0,1) curves — visually indistinguishable</w:t>
            </w:r>
          </w:p>
        </w:tc>
      </w:tr>
      <w:tr>
        <w:tc>
          <w:tcPr>
            <w:tcW w:type="pct" w:w="10%"/>
          </w:tcPr>
          <w:p>
            <w:r>
              <w:rPr>
                <w:sz w:val="20"/>
                <w:szCs w:val="20"/>
              </w:rPr>
              <w:t xml:space="preserve">MEDIUM</w:t>
            </w:r>
          </w:p>
        </w:tc>
        <w:tc>
          <w:tcPr>
            <w:tcW w:type="pct" w:w="12%"/>
          </w:tcPr>
          <w:p>
            <w:r>
              <w:rPr>
                <w:sz w:val="20"/>
                <w:szCs w:val="20"/>
              </w:rPr>
              <w:t xml:space="preserve">Ch.9 (SOM)</w:t>
            </w:r>
          </w:p>
        </w:tc>
        <w:tc>
          <w:tcPr>
            <w:tcW w:type="pct" w:w="22%"/>
          </w:tcPr>
          <w:p>
            <w:r>
              <w:rPr>
                <w:sz w:val="20"/>
                <w:szCs w:val="20"/>
              </w:rPr>
              <w:t xml:space="preserve">lecture_5_part_i.tex</w:t>
            </w:r>
          </w:p>
        </w:tc>
        <w:tc>
          <w:tcPr>
            <w:tcW w:type="pct" w:w="56%"/>
          </w:tcPr>
          <w:p>
            <w:r>
              <w:rPr>
                <w:sz w:val="20"/>
                <w:szCs w:val="20"/>
              </w:rPr>
              <w:t xml:space="preserve">Unregularized surface has indefinite Hessian (saddle point) — does not illustrate "narrow basins"; replace with elongated convex bowl</w:t>
            </w:r>
          </w:p>
        </w:tc>
      </w:tr>
      <w:tr>
        <w:tc>
          <w:tcPr>
            <w:tcW w:type="pct" w:w="10%"/>
          </w:tcPr>
          <w:p>
            <w:r>
              <w:rPr>
                <w:sz w:val="20"/>
                <w:szCs w:val="20"/>
              </w:rPr>
              <w:t xml:space="preserve">MEDIUM</w:t>
            </w:r>
          </w:p>
        </w:tc>
        <w:tc>
          <w:tcPr>
            <w:tcW w:type="pct" w:w="12%"/>
          </w:tcPr>
          <w:p>
            <w:r>
              <w:rPr>
                <w:sz w:val="20"/>
                <w:szCs w:val="20"/>
              </w:rPr>
              <w:t xml:space="preserve">Ch.7 (Backprop)</w:t>
            </w:r>
          </w:p>
        </w:tc>
        <w:tc>
          <w:tcPr>
            <w:tcW w:type="pct" w:w="22%"/>
          </w:tcPr>
          <w:p>
            <w:r>
              <w:rPr>
                <w:sz w:val="20"/>
                <w:szCs w:val="20"/>
              </w:rPr>
              <w:t xml:space="preserve">lecture_4_part_i.tex</w:t>
            </w:r>
          </w:p>
        </w:tc>
        <w:tc>
          <w:tcPr>
            <w:tcW w:type="pct" w:w="56%"/>
          </w:tcPr>
          <w:p>
            <w:r>
              <w:rPr>
                <w:sz w:val="20"/>
                <w:szCs w:val="20"/>
              </w:rPr>
              <w:t xml:space="preserve">Four subsection titles say "Multi-Layer Perceptrons" — remove qualifier (already in chapter title)</w:t>
            </w:r>
          </w:p>
        </w:tc>
      </w:tr>
      <w:tr>
        <w:tc>
          <w:tcPr>
            <w:tcW w:type="pct" w:w="10%"/>
          </w:tcPr>
          <w:p>
            <w:r>
              <w:rPr>
                <w:sz w:val="20"/>
                <w:szCs w:val="20"/>
              </w:rPr>
              <w:t xml:space="preserve">MEDIUM</w:t>
            </w:r>
          </w:p>
        </w:tc>
        <w:tc>
          <w:tcPr>
            <w:tcW w:type="pct" w:w="12%"/>
          </w:tcPr>
          <w:p>
            <w:r>
              <w:rPr>
                <w:sz w:val="20"/>
                <w:szCs w:val="20"/>
              </w:rPr>
              <w:t xml:space="preserve">Ch.12 (RNN)</w:t>
            </w:r>
          </w:p>
        </w:tc>
        <w:tc>
          <w:tcPr>
            <w:tcW w:type="pct" w:w="22%"/>
          </w:tcPr>
          <w:p>
            <w:r>
              <w:rPr>
                <w:sz w:val="20"/>
                <w:szCs w:val="20"/>
              </w:rPr>
              <w:t xml:space="preserve">lecture_7.tex</w:t>
            </w:r>
          </w:p>
        </w:tc>
        <w:tc>
          <w:tcPr>
            <w:tcW w:type="pct" w:w="56%"/>
          </w:tcPr>
          <w:p>
            <w:r>
              <w:rPr>
                <w:sz w:val="20"/>
                <w:szCs w:val="20"/>
              </w:rPr>
              <w:t xml:space="preserve">HCode caption guards for LSTM and GRU figures: both branches identical; EPUB branch should remove \citep{}</w:t>
            </w:r>
          </w:p>
        </w:tc>
      </w:tr>
      <w:tr>
        <w:tc>
          <w:tcPr>
            <w:tcW w:type="pct" w:w="10%"/>
          </w:tcPr>
          <w:p>
            <w:r>
              <w:rPr>
                <w:sz w:val="20"/>
                <w:szCs w:val="20"/>
              </w:rPr>
              <w:t xml:space="preserve">LOW</w:t>
            </w:r>
          </w:p>
        </w:tc>
        <w:tc>
          <w:tcPr>
            <w:tcW w:type="pct" w:w="12%"/>
          </w:tcPr>
          <w:p>
            <w:r>
              <w:rPr>
                <w:sz w:val="20"/>
                <w:szCs w:val="20"/>
              </w:rPr>
              <w:t xml:space="preserve">Ch.2</w:t>
            </w:r>
          </w:p>
        </w:tc>
        <w:tc>
          <w:tcPr>
            <w:tcW w:type="pct" w:w="22%"/>
          </w:tcPr>
          <w:p>
            <w:r>
              <w:rPr>
                <w:sz w:val="20"/>
                <w:szCs w:val="20"/>
              </w:rPr>
              <w:t xml:space="preserve">lecture_2_part_i.tex</w:t>
            </w:r>
          </w:p>
        </w:tc>
        <w:tc>
          <w:tcPr>
            <w:tcW w:type="pct" w:w="56%"/>
          </w:tcPr>
          <w:p>
            <w:r>
              <w:rPr>
                <w:sz w:val="20"/>
                <w:szCs w:val="20"/>
              </w:rPr>
              <w:t xml:space="preserve">Table caption starts with "Table:" — LaTeX prepends "Table N:" automatically, creating duplicate prefix</w:t>
            </w:r>
          </w:p>
        </w:tc>
      </w:tr>
      <w:tr>
        <w:tc>
          <w:tcPr>
            <w:tcW w:type="pct" w:w="10%"/>
          </w:tcPr>
          <w:p>
            <w:r>
              <w:rPr>
                <w:sz w:val="20"/>
                <w:szCs w:val="20"/>
              </w:rPr>
              <w:t xml:space="preserve">LOW</w:t>
            </w:r>
          </w:p>
        </w:tc>
        <w:tc>
          <w:tcPr>
            <w:tcW w:type="pct" w:w="12%"/>
          </w:tcPr>
          <w:p>
            <w:r>
              <w:rPr>
                <w:sz w:val="20"/>
                <w:szCs w:val="20"/>
              </w:rPr>
              <w:t xml:space="preserve">Ch.2</w:t>
            </w:r>
          </w:p>
        </w:tc>
        <w:tc>
          <w:tcPr>
            <w:tcW w:type="pct" w:w="22%"/>
          </w:tcPr>
          <w:p>
            <w:r>
              <w:rPr>
                <w:sz w:val="20"/>
                <w:szCs w:val="20"/>
              </w:rPr>
              <w:t xml:space="preserve">lecture_2_part_i.tex</w:t>
            </w:r>
          </w:p>
        </w:tc>
        <w:tc>
          <w:tcPr>
            <w:tcW w:type="pct" w:w="56%"/>
          </w:tcPr>
          <w:p>
            <w:r>
              <w:rPr>
                <w:sz w:val="20"/>
                <w:szCs w:val="20"/>
              </w:rPr>
              <w:t xml:space="preserve">Stray transformation fragment (u=tan(x) =&gt; IBP =&gt; ...) at lines 432-436 — disconnected from any specific integral</w:t>
            </w:r>
          </w:p>
        </w:tc>
      </w:tr>
      <w:tr>
        <w:tc>
          <w:tcPr>
            <w:tcW w:type="pct" w:w="10%"/>
          </w:tcPr>
          <w:p>
            <w:r>
              <w:rPr>
                <w:sz w:val="20"/>
                <w:szCs w:val="20"/>
              </w:rPr>
              <w:t xml:space="preserve">LOW</w:t>
            </w:r>
          </w:p>
        </w:tc>
        <w:tc>
          <w:tcPr>
            <w:tcW w:type="pct" w:w="12%"/>
          </w:tcPr>
          <w:p>
            <w:r>
              <w:rPr>
                <w:sz w:val="20"/>
                <w:szCs w:val="20"/>
              </w:rPr>
              <w:t xml:space="preserve">Ch.2</w:t>
            </w:r>
          </w:p>
        </w:tc>
        <w:tc>
          <w:tcPr>
            <w:tcW w:type="pct" w:w="22%"/>
          </w:tcPr>
          <w:p>
            <w:r>
              <w:rPr>
                <w:sz w:val="20"/>
                <w:szCs w:val="20"/>
              </w:rPr>
              <w:t xml:space="preserve">lecture_2_part_i.tex</w:t>
            </w:r>
          </w:p>
        </w:tc>
        <w:tc>
          <w:tcPr>
            <w:tcW w:type="pct" w:w="56%"/>
          </w:tcPr>
          <w:p>
            <w:r>
              <w:rPr>
                <w:sz w:val="20"/>
                <w:szCs w:val="20"/>
              </w:rPr>
              <w:t xml:space="preserve">No "GOAL" / "SUCCESS" terminal node in transformation tree figure</w:t>
            </w:r>
          </w:p>
        </w:tc>
      </w:tr>
      <w:tr>
        <w:tc>
          <w:tcPr>
            <w:tcW w:type="pct" w:w="10%"/>
          </w:tcPr>
          <w:p>
            <w:r>
              <w:rPr>
                <w:sz w:val="20"/>
                <w:szCs w:val="20"/>
              </w:rPr>
              <w:t xml:space="preserve">LOW</w:t>
            </w:r>
          </w:p>
        </w:tc>
        <w:tc>
          <w:tcPr>
            <w:tcW w:type="pct" w:w="12%"/>
          </w:tcPr>
          <w:p>
            <w:r>
              <w:rPr>
                <w:sz w:val="20"/>
                <w:szCs w:val="20"/>
              </w:rPr>
              <w:t xml:space="preserve">Ch.12 (RNN)</w:t>
            </w:r>
          </w:p>
        </w:tc>
        <w:tc>
          <w:tcPr>
            <w:tcW w:type="pct" w:w="22%"/>
          </w:tcPr>
          <w:p>
            <w:r>
              <w:rPr>
                <w:sz w:val="20"/>
                <w:szCs w:val="20"/>
              </w:rPr>
              <w:t xml:space="preserve">lecture_7.tex</w:t>
            </w:r>
          </w:p>
        </w:tc>
        <w:tc>
          <w:tcPr>
            <w:tcW w:type="pct" w:w="56%"/>
          </w:tcPr>
          <w:p>
            <w:r>
              <w:rPr>
                <w:sz w:val="20"/>
                <w:szCs w:val="20"/>
              </w:rPr>
              <w:t xml:space="preserve">Unrolled RNN diagram: h1-&gt;h2 arrow labeled W_{hh} but h2-&gt;h3 arrow is unlabeled — inconsistent</w:t>
            </w:r>
          </w:p>
        </w:tc>
      </w:tr>
      <w:tr>
        <w:tc>
          <w:tcPr>
            <w:tcW w:type="pct" w:w="10%"/>
          </w:tcPr>
          <w:p>
            <w:r>
              <w:rPr>
                <w:sz w:val="20"/>
                <w:szCs w:val="20"/>
              </w:rPr>
              <w:t xml:space="preserve">LOW</w:t>
            </w:r>
          </w:p>
        </w:tc>
        <w:tc>
          <w:tcPr>
            <w:tcW w:type="pct" w:w="12%"/>
          </w:tcPr>
          <w:p>
            <w:r>
              <w:rPr>
                <w:sz w:val="20"/>
                <w:szCs w:val="20"/>
              </w:rPr>
              <w:t xml:space="preserve">Ch.7 (Backprop)</w:t>
            </w:r>
          </w:p>
        </w:tc>
        <w:tc>
          <w:tcPr>
            <w:tcW w:type="pct" w:w="22%"/>
          </w:tcPr>
          <w:p>
            <w:r>
              <w:rPr>
                <w:sz w:val="20"/>
                <w:szCs w:val="20"/>
              </w:rPr>
              <w:t xml:space="preserve">lecture_4_part_i.tex</w:t>
            </w:r>
          </w:p>
        </w:tc>
        <w:tc>
          <w:tcPr>
            <w:tcW w:type="pct" w:w="56%"/>
          </w:tcPr>
          <w:p>
            <w:r>
              <w:rPr>
                <w:sz w:val="20"/>
                <w:szCs w:val="20"/>
              </w:rPr>
              <w:t xml:space="preserve">Sigmoid plotted on domain -4:4; other activations on -3:3. Standardize domain across all four panels</w:t>
            </w:r>
          </w:p>
        </w:tc>
      </w:tr>
      <w:tr>
        <w:tc>
          <w:tcPr>
            <w:tcW w:type="pct" w:w="10%"/>
          </w:tcPr>
          <w:p>
            <w:r>
              <w:rPr>
                <w:sz w:val="20"/>
                <w:szCs w:val="20"/>
              </w:rPr>
              <w:t xml:space="preserve">LOW</w:t>
            </w:r>
          </w:p>
        </w:tc>
        <w:tc>
          <w:tcPr>
            <w:tcW w:type="pct" w:w="12%"/>
          </w:tcPr>
          <w:p>
            <w:r>
              <w:rPr>
                <w:sz w:val="20"/>
                <w:szCs w:val="20"/>
              </w:rPr>
              <w:t xml:space="preserve">Ch.17 (Fuzzy)</w:t>
            </w:r>
          </w:p>
        </w:tc>
        <w:tc>
          <w:tcPr>
            <w:tcW w:type="pct" w:w="22%"/>
          </w:tcPr>
          <w:p>
            <w:r>
              <w:rPr>
                <w:sz w:val="20"/>
                <w:szCs w:val="20"/>
              </w:rPr>
              <w:t xml:space="preserve">lecture_10_part_i.tex</w:t>
            </w:r>
          </w:p>
        </w:tc>
        <w:tc>
          <w:tcPr>
            <w:tcW w:type="pct" w:w="56%"/>
          </w:tcPr>
          <w:p>
            <w:r>
              <w:rPr>
                <w:sz w:val="20"/>
                <w:szCs w:val="20"/>
              </w:rPr>
              <w:t xml:space="preserve">Chapter title "Fuzzy Set Transformations Between Related Universes" — rename to include "Relations" and "Extension Principle"</w:t>
            </w:r>
          </w:p>
        </w:tc>
      </w:tr>
      <w:tr>
        <w:tc>
          <w:tcPr>
            <w:tcW w:type="pct" w:w="10%"/>
          </w:tcPr>
          <w:p>
            <w:r>
              <w:rPr>
                <w:sz w:val="20"/>
                <w:szCs w:val="20"/>
              </w:rPr>
              <w:t xml:space="preserve">LOW</w:t>
            </w:r>
          </w:p>
        </w:tc>
        <w:tc>
          <w:tcPr>
            <w:tcW w:type="pct" w:w="12%"/>
          </w:tcPr>
          <w:p>
            <w:r>
              <w:rPr>
                <w:sz w:val="20"/>
                <w:szCs w:val="20"/>
              </w:rPr>
              <w:t xml:space="preserve">Ch.19 (Evo)</w:t>
            </w:r>
          </w:p>
        </w:tc>
        <w:tc>
          <w:tcPr>
            <w:tcW w:type="pct" w:w="22%"/>
          </w:tcPr>
          <w:p>
            <w:r>
              <w:rPr>
                <w:sz w:val="20"/>
                <w:szCs w:val="20"/>
              </w:rPr>
              <w:t xml:space="preserve">lecture_11.tex</w:t>
            </w:r>
          </w:p>
        </w:tc>
        <w:tc>
          <w:tcPr>
            <w:tcW w:type="pct" w:w="56%"/>
          </w:tcPr>
          <w:p>
            <w:r>
              <w:rPr>
                <w:sz w:val="20"/>
                <w:szCs w:val="20"/>
              </w:rPr>
              <w:t xml:space="preserve">Chapter title starts with "Introduction to" — remove prefix for a full-treatment chapter</w:t>
            </w:r>
          </w:p>
        </w:tc>
      </w:tr>
      <w:tr>
        <w:tc>
          <w:tcPr>
            <w:tcW w:type="pct" w:w="10%"/>
          </w:tcPr>
          <w:p>
            <w:r>
              <w:rPr>
                <w:sz w:val="20"/>
                <w:szCs w:val="20"/>
              </w:rPr>
              <w:t xml:space="preserve">LOW</w:t>
            </w:r>
          </w:p>
        </w:tc>
        <w:tc>
          <w:tcPr>
            <w:tcW w:type="pct" w:w="12%"/>
          </w:tcPr>
          <w:p>
            <w:r>
              <w:rPr>
                <w:sz w:val="20"/>
                <w:szCs w:val="20"/>
              </w:rPr>
              <w:t xml:space="preserve">Ch.12 (RNN)</w:t>
            </w:r>
          </w:p>
        </w:tc>
        <w:tc>
          <w:tcPr>
            <w:tcW w:type="pct" w:w="22%"/>
          </w:tcPr>
          <w:p>
            <w:r>
              <w:rPr>
                <w:sz w:val="20"/>
                <w:szCs w:val="20"/>
              </w:rPr>
              <w:t xml:space="preserve">lecture_7.tex</w:t>
            </w:r>
          </w:p>
        </w:tc>
        <w:tc>
          <w:tcPr>
            <w:tcW w:type="pct" w:w="56%"/>
          </w:tcPr>
          <w:p>
            <w:r>
              <w:rPr>
                <w:sz w:val="20"/>
                <w:szCs w:val="20"/>
              </w:rPr>
              <w:t xml:space="preserve">Chapter title starts with "Introduction to" — remove prefix for a full-treatment chapter</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Georgia" w:cs="Georgia" w:eastAsia="Georgia" w:hAnsi="Georgia"/>
      <w:sz w:val="22"/>
      <w:szCs w:val="22"/>
    </w:rPr>
  </w:style>
  <w:style w:type="paragraph" w:styleId="Heading1">
    <w:name w:val="Heading 1"/>
    <w:basedOn w:val="Normal"/>
    <w:pPr>
      <w:spacing w:before="360" w:after="120"/>
    </w:pPr>
    <w:rPr>
      <w:b/>
      <w:bCs/>
      <w:color w:val="1F3864"/>
      <w:sz w:val="28"/>
      <w:szCs w:val="28"/>
    </w:rPr>
  </w:style>
  <w:style w:type="paragraph" w:styleId="Heading2">
    <w:name w:val="Heading 2"/>
    <w:basedOn w:val="Normal"/>
    <w:pPr>
      <w:spacing w:before="240" w:after="80"/>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2026-03-05T15:27:48.860Z</dcterms:created>
  <dcterms:modified xsi:type="dcterms:W3CDTF">2026-03-05T15:27:48.861Z</dcterms:modified>
</cp:coreProperties>
</file>

<file path=docProps/custom.xml><?xml version="1.0" encoding="utf-8"?>
<Properties xmlns="http://schemas.openxmlformats.org/officeDocument/2006/custom-properties" xmlns:vt="http://schemas.openxmlformats.org/officeDocument/2006/docPropsVTypes"/>
</file>