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GPU Computing: Assignment 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Task (1)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4386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results shown above represent the local device we are using and were obtained by running DeviceQuery on Visual Studio.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*All of the following tests were performed using matrices sizes A(2000x1500) and B (1500x2300) to exploit parallelism advantage.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*Host time only accounts for the multiplication function and not memory allocation and initializations overhead because the O(n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b w:val="1"/>
          <w:sz w:val="20"/>
          <w:szCs w:val="20"/>
          <w:rtl w:val="0"/>
        </w:rPr>
        <w:t xml:space="preserve">) for loop is dominant and also because these steps are both necessary for the host and device.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(2)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For 4x4 blocks: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943600" cy="3124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For 8x8 blocks: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943600" cy="3035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16x16 blocks: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</w:rPr>
        <w:drawing>
          <wp:inline distB="114300" distT="114300" distL="114300" distR="114300">
            <wp:extent cx="5943600" cy="3035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For 32x32 blocks: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943600" cy="3048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(3)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For 4x4 Tiles: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8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8x8 Tiles: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16x16 Tiles: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32x32 Tiles: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(4): with increased thread granularity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4x4 Tiles: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943600" cy="3136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8x8 Tiles: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943600" cy="3098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16x16 Tiles: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943600" cy="3111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32x32 Tiles: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943600" cy="3111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Haitham Samir  900172026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Youmna Sabik  900160339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