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F3302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关于图表类数据：</w:t>
      </w:r>
    </w:p>
    <w:p w14:paraId="06525182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1. 按数据类型分组呈现</w:t>
      </w:r>
    </w:p>
    <w:p w14:paraId="15A0359F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不同量纲或业务含义的数据（如金额、订单量、人数等）应分开制图，各自独立对比。切勿将异类数据强行混入同一图表，以免造成视觉混淆，降低可读性。</w:t>
      </w:r>
    </w:p>
    <w:p w14:paraId="00EE50E5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2. 注意金额数据的量级差距</w:t>
      </w:r>
    </w:p>
    <w:p w14:paraId="6C1F80E6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当两组金额数据数量级悬殊（例如一组为两位数/三位数，另一组为五位数/六位数）时，不宜放在同一坐标系中对比。否则小量级数据会被压缩至难以辨识，失去可视化意义。若需对比，可考虑拆分图表。</w:t>
      </w:r>
    </w:p>
    <w:p w14:paraId="60A4A9AB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3. 根据时间粒度选择图表类型</w:t>
      </w:r>
    </w:p>
    <w:p w14:paraId="75E1247B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以时间为横轴时，需根据密度决定呈现方式：</w:t>
      </w:r>
    </w:p>
    <w:p w14:paraId="5EC388A6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年度或长周期数据（横轴密集）：采用折线图，重点展示整体走势与波峰波谷，无需标注每个数据点。</w:t>
      </w:r>
    </w:p>
    <w:p w14:paraId="0E005125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周或短周期数据（横轴稀疏）：采用柱状图，并标注具体数值，便于观察每日或各时段的细节变化。</w:t>
      </w:r>
    </w:p>
    <w:p w14:paraId="28CFD3D7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4. 饼图专用于占比分析</w:t>
      </w:r>
    </w:p>
    <w:p w14:paraId="5AA48C1A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饼图仅适用于展示不同业务类别在整体中的构成比例。应避免将其用于比较趋势或绝对值。</w:t>
      </w:r>
    </w:p>
    <w:p w14:paraId="308F34BC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5. 颜色与图例需保证清晰区分</w:t>
      </w:r>
    </w:p>
    <w:p w14:paraId="2113A04F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当图表包含多条折线或多个系列时，可考虑拆分图表，并确保图例简洁、可交互（点击隐藏/显示）。同时，对长时间趋势图应避免使用过多不同线型，以保持视觉整洁。</w:t>
      </w:r>
    </w:p>
    <w:p w14:paraId="54B6A210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6. 时间序列图应提供交互式时间筛选器</w:t>
      </w:r>
    </w:p>
    <w:p w14:paraId="5B3624D6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为提升探索效率，应在时间序列图中添加范围选择器（如“近7天”、“近30天”、“全部”），允许用户灵活缩放查看不同时间段，同时保留悬停查看详细数值的功能，增强数据探索的便捷性。</w:t>
      </w:r>
    </w:p>
    <w:p w14:paraId="7C20D834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核心目标</w:t>
      </w:r>
      <w:r>
        <w:rPr>
          <w:rFonts w:hint="eastAsia" w:ascii="微软雅黑" w:hAnsi="微软雅黑" w:eastAsia="微软雅黑" w:cs="微软雅黑"/>
          <w:lang w:val="en-US" w:eastAsia="zh-CN"/>
        </w:rPr>
        <w:t>：所有图表选择与设计，均应服务于“直观呈现数据、简化复杂信息、降低理解门槛”这一根本目的。AI 应根据数据特征自动判断最优图表类型，而非机械套用模板。</w:t>
      </w:r>
    </w:p>
    <w:p w14:paraId="7AE8E712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0304EAF8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关于表格类数据：</w:t>
      </w:r>
    </w:p>
    <w:p w14:paraId="6156A5EE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1. 理解并正确使用业务货币单位</w:t>
      </w:r>
    </w:p>
    <w:p w14:paraId="3C53864E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AI需准确识别元梦空间的货币体系（如元豆、银豆、碎片等），在输出表格报表时正确标注和使用对应单位，确保数据数值准确无误，避免单位混淆导致的报告错误。</w:t>
      </w:r>
    </w:p>
    <w:p w14:paraId="6BB08F80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2. 主动进行多维度数据陈列</w:t>
      </w:r>
    </w:p>
    <w:p w14:paraId="3A77E410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AI不应仅按单一维度拉取数据，而应主动替运营考虑可能遗漏的分析维度，进行多维度数据陈列。常规需覆盖的维度包括但不限于：</w:t>
      </w:r>
    </w:p>
    <w:p w14:paraId="381F474C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时间维度：按星期、周、月、季度等周期拆分</w:t>
      </w:r>
    </w:p>
    <w:p w14:paraId="6CDB7FAD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人群维度：新老用户、活跃度分层、付费/非付费</w:t>
      </w:r>
    </w:p>
    <w:p w14:paraId="31C05ECB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用户画像维度：等级区间、空间持有量、消费能力分层</w:t>
      </w:r>
    </w:p>
    <w:p w14:paraId="6E796DE5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业务维度：不同空间类型、不同区域等</w:t>
      </w:r>
      <w:bookmarkStart w:id="0" w:name="_GoBack"/>
      <w:bookmarkEnd w:id="0"/>
    </w:p>
    <w:p w14:paraId="4AFFAE25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3. AI负责数据提醒，运营负责内容分析</w:t>
      </w:r>
    </w:p>
    <w:p w14:paraId="64253CFE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鉴于AI对实际业务理解有限，且无法及时同步最新市场政策与活动信息，因此：</w:t>
      </w:r>
    </w:p>
    <w:p w14:paraId="355BE4F0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AI职责：拉取数据、整理报表、标注峰值/波谷/异常点等关键数据特征</w:t>
      </w:r>
    </w:p>
    <w:p w14:paraId="1BD86139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运营职责：结合业务上下文、市场动态、活动情况，撰写具体的数据分析解读文字</w:t>
      </w:r>
    </w:p>
    <w:p w14:paraId="7CA603D3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核心目标：</w:t>
      </w:r>
      <w:r>
        <w:rPr>
          <w:rFonts w:hint="eastAsia" w:ascii="微软雅黑" w:hAnsi="微软雅黑" w:eastAsia="微软雅黑" w:cs="微软雅黑"/>
          <w:lang w:val="en-US" w:eastAsia="zh-CN"/>
        </w:rPr>
        <w:t>多维度呈现同一组数据，替运营查漏补缺。AI负责数据拉取、整理与异常提醒，帮助运营快速定位问题；运营基于业务经验与最新信息，负责具体分析和结论输出，实现人机协作的最优分工。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5E750C"/>
    <w:multiLevelType w:val="singleLevel"/>
    <w:tmpl w:val="A15E750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935967"/>
    <w:rsid w:val="3CCA2A44"/>
    <w:rsid w:val="45280308"/>
    <w:rsid w:val="462D10CC"/>
    <w:rsid w:val="4EF37BD9"/>
    <w:rsid w:val="59B85CA7"/>
    <w:rsid w:val="68D04F89"/>
    <w:rsid w:val="6BBD539F"/>
    <w:rsid w:val="731F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2026-07-14T02:27:33Z</dcterms:created>
  <dc:creator>46414</dc:creator>
  <cp:lastModifiedBy>Jor xu</cp:lastModifiedBy>
  <dcterms:modified xsi:type="dcterms:W3CDTF">2026-07-14T04:05:57Z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eyJoZGlkIjoiOGU1NWVkNTg0NmYxMGY4NmEyZjM2ZjhiOGJmZThmNjIiLCJ1c2VySWQiOiIxMjM4MDA2NTM0In0=</vt:lpwstr>
  </property>
  <property fmtid="{D5CDD505-2E9C-101B-9397-08002B2CF9AE}" pid="4" name="ICV">
    <vt:lpwstr>6CAC453538A44ADBB39B58B0A094A6EE_12</vt:lpwstr>
  </property>
</Properties>
</file>