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D52430F" w14:textId="77777777" w:rsidR="0037305A" w:rsidRDefault="0037305A" w:rsidP="003730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7305A">
        <w:rPr>
          <w:rFonts w:ascii="Times New Roman" w:eastAsia="Times New Roman" w:hAnsi="Times New Roman" w:cs="Times New Roman"/>
          <w:b/>
          <w:bCs/>
          <w:kern w:val="36"/>
          <w:sz w:val="48"/>
          <w:szCs w:val="48"/>
          <w14:ligatures w14:val="none"/>
        </w:rPr>
        <w:t>Identification of a Homozygous ZNF423 Variant in a Consanguineous Family With Severe Neurodevelopmental Phenotype: A Whole-Exome Sequencing-Based Case Report</w:t>
      </w:r>
    </w:p>
    <w:p w14:paraId="324C247D" w14:textId="77777777" w:rsidR="004C613F" w:rsidRDefault="004C613F" w:rsidP="003730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13CC876C" w14:textId="77777777" w:rsidR="004C613F" w:rsidRPr="00FD0675" w:rsidRDefault="004C613F" w:rsidP="004C613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0675">
        <w:rPr>
          <w:rFonts w:ascii="Times New Roman" w:eastAsia="Times New Roman" w:hAnsi="Times New Roman" w:cs="Times New Roman"/>
          <w:b/>
          <w:bCs/>
          <w:kern w:val="0"/>
          <w:sz w:val="27"/>
          <w:szCs w:val="27"/>
          <w14:ligatures w14:val="none"/>
        </w:rPr>
        <w:t>Author Contributions</w:t>
      </w:r>
    </w:p>
    <w:p w14:paraId="2873E89E" w14:textId="386BA4D0" w:rsidR="004C613F" w:rsidRPr="00FD0675" w:rsidRDefault="004C613F" w:rsidP="004C613F">
      <w:pPr>
        <w:spacing w:before="100" w:beforeAutospacing="1" w:after="100" w:afterAutospacing="1" w:line="240" w:lineRule="auto"/>
        <w:rPr>
          <w:rFonts w:ascii="Times New Roman" w:eastAsia="Times New Roman" w:hAnsi="Times New Roman" w:cs="Times New Roman"/>
          <w:kern w:val="0"/>
          <w14:ligatures w14:val="none"/>
        </w:rPr>
      </w:pPr>
      <w:r w:rsidRPr="00FD0675">
        <w:rPr>
          <w:rFonts w:ascii="Times New Roman" w:eastAsia="Times New Roman" w:hAnsi="Times New Roman" w:cs="Times New Roman"/>
          <w:b/>
          <w:bCs/>
          <w:kern w:val="0"/>
          <w14:ligatures w14:val="none"/>
        </w:rPr>
        <w:t>Mohammad Mahdi Navid:</w:t>
      </w:r>
      <w:r w:rsidRPr="00FD0675">
        <w:rPr>
          <w:rFonts w:ascii="Times New Roman" w:eastAsia="Times New Roman" w:hAnsi="Times New Roman" w:cs="Times New Roman"/>
          <w:kern w:val="0"/>
          <w14:ligatures w14:val="none"/>
        </w:rPr>
        <w:t xml:space="preserve"> WES data analysis, variant filtering, candidate-gene prioritization, literature review, and preparation of the initial manuscript.</w:t>
      </w:r>
    </w:p>
    <w:p w14:paraId="01AFB996" w14:textId="77777777" w:rsidR="004C613F" w:rsidRPr="00FD0675" w:rsidRDefault="004C613F" w:rsidP="004C613F">
      <w:pPr>
        <w:spacing w:before="100" w:beforeAutospacing="1" w:after="100" w:afterAutospacing="1" w:line="240" w:lineRule="auto"/>
        <w:rPr>
          <w:rFonts w:ascii="Times New Roman" w:eastAsia="Times New Roman" w:hAnsi="Times New Roman" w:cs="Times New Roman"/>
          <w:kern w:val="0"/>
          <w14:ligatures w14:val="none"/>
        </w:rPr>
      </w:pPr>
      <w:r w:rsidRPr="00FD0675">
        <w:rPr>
          <w:rFonts w:ascii="Times New Roman" w:eastAsia="Times New Roman" w:hAnsi="Times New Roman" w:cs="Times New Roman"/>
          <w:b/>
          <w:bCs/>
          <w:kern w:val="0"/>
          <w14:ligatures w14:val="none"/>
        </w:rPr>
        <w:t>Dr. Sara Cheraghi:</w:t>
      </w:r>
      <w:r w:rsidRPr="00FD0675">
        <w:rPr>
          <w:rFonts w:ascii="Times New Roman" w:eastAsia="Times New Roman" w:hAnsi="Times New Roman" w:cs="Times New Roman"/>
          <w:kern w:val="0"/>
          <w14:ligatures w14:val="none"/>
        </w:rPr>
        <w:t xml:space="preserve"> Scientific supervision, guidance in genomic data interpretation, and review of the manuscript.</w:t>
      </w:r>
    </w:p>
    <w:p w14:paraId="4D6F6E35" w14:textId="77777777" w:rsidR="004C613F" w:rsidRPr="00FD0675" w:rsidRDefault="004C613F" w:rsidP="004C613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0675">
        <w:rPr>
          <w:rFonts w:ascii="Times New Roman" w:eastAsia="Times New Roman" w:hAnsi="Times New Roman" w:cs="Times New Roman"/>
          <w:b/>
          <w:bCs/>
          <w:kern w:val="0"/>
          <w:sz w:val="27"/>
          <w:szCs w:val="27"/>
          <w14:ligatures w14:val="none"/>
        </w:rPr>
        <w:t>Acknowledgments</w:t>
      </w:r>
    </w:p>
    <w:p w14:paraId="46E3C25E" w14:textId="77777777" w:rsidR="004C613F" w:rsidRPr="00FD0675" w:rsidRDefault="004C613F" w:rsidP="004C613F">
      <w:pPr>
        <w:spacing w:before="100" w:beforeAutospacing="1" w:after="100" w:afterAutospacing="1" w:line="240" w:lineRule="auto"/>
        <w:rPr>
          <w:rFonts w:ascii="Times New Roman" w:eastAsia="Times New Roman" w:hAnsi="Times New Roman" w:cs="Times New Roman"/>
          <w:kern w:val="0"/>
          <w14:ligatures w14:val="none"/>
        </w:rPr>
      </w:pPr>
      <w:r w:rsidRPr="00FD0675">
        <w:rPr>
          <w:rFonts w:ascii="Times New Roman" w:eastAsia="Times New Roman" w:hAnsi="Times New Roman" w:cs="Times New Roman"/>
          <w:kern w:val="0"/>
          <w14:ligatures w14:val="none"/>
        </w:rPr>
        <w:t xml:space="preserve">The authors would like to acknowledge </w:t>
      </w:r>
      <w:r w:rsidRPr="00FD0675">
        <w:rPr>
          <w:rFonts w:ascii="Times New Roman" w:eastAsia="Times New Roman" w:hAnsi="Times New Roman" w:cs="Times New Roman"/>
          <w:b/>
          <w:bCs/>
          <w:kern w:val="0"/>
          <w14:ligatures w14:val="none"/>
        </w:rPr>
        <w:t>Iran Genomics Institute (</w:t>
      </w:r>
      <w:r w:rsidRPr="00FD0675">
        <w:rPr>
          <w:rFonts w:ascii="Times New Roman" w:eastAsia="Times New Roman" w:hAnsi="Times New Roman" w:cs="Times New Roman"/>
          <w:b/>
          <w:bCs/>
          <w:kern w:val="0"/>
          <w:rtl/>
          <w14:ligatures w14:val="none"/>
        </w:rPr>
        <w:t>شرکت ژنومیکس ایران</w:t>
      </w:r>
      <w:r w:rsidRPr="00FD0675">
        <w:rPr>
          <w:rFonts w:ascii="Times New Roman" w:eastAsia="Times New Roman" w:hAnsi="Times New Roman" w:cs="Times New Roman"/>
          <w:b/>
          <w:bCs/>
          <w:kern w:val="0"/>
          <w14:ligatures w14:val="none"/>
        </w:rPr>
        <w:t>)</w:t>
      </w:r>
      <w:r w:rsidRPr="00FD0675">
        <w:rPr>
          <w:rFonts w:ascii="Times New Roman" w:eastAsia="Times New Roman" w:hAnsi="Times New Roman" w:cs="Times New Roman"/>
          <w:kern w:val="0"/>
          <w14:ligatures w14:val="none"/>
        </w:rPr>
        <w:t xml:space="preserve"> for providing the educational framework and facilities under which this genomic analysis was performed.</w:t>
      </w:r>
    </w:p>
    <w:p w14:paraId="2AA47C32" w14:textId="77777777" w:rsidR="004C613F" w:rsidRPr="00FD0675" w:rsidRDefault="004C613F" w:rsidP="004C613F">
      <w:pPr>
        <w:spacing w:before="100" w:beforeAutospacing="1" w:after="100" w:afterAutospacing="1" w:line="240" w:lineRule="auto"/>
        <w:rPr>
          <w:rFonts w:ascii="Times New Roman" w:eastAsia="Times New Roman" w:hAnsi="Times New Roman" w:cs="Times New Roman"/>
          <w:kern w:val="0"/>
          <w14:ligatures w14:val="none"/>
        </w:rPr>
      </w:pPr>
      <w:r w:rsidRPr="00FD0675">
        <w:rPr>
          <w:rFonts w:ascii="Times New Roman" w:eastAsia="Times New Roman" w:hAnsi="Times New Roman" w:cs="Times New Roman"/>
          <w:kern w:val="0"/>
          <w14:ligatures w14:val="none"/>
        </w:rPr>
        <w:t xml:space="preserve">The authors also acknowledge the </w:t>
      </w:r>
      <w:r w:rsidRPr="00FD0675">
        <w:rPr>
          <w:rFonts w:ascii="Times New Roman" w:eastAsia="Times New Roman" w:hAnsi="Times New Roman" w:cs="Times New Roman"/>
          <w:b/>
          <w:bCs/>
          <w:kern w:val="0"/>
          <w14:ligatures w14:val="none"/>
        </w:rPr>
        <w:t>Helix, USA</w:t>
      </w:r>
      <w:r w:rsidRPr="00FD0675">
        <w:rPr>
          <w:rFonts w:ascii="Times New Roman" w:eastAsia="Times New Roman" w:hAnsi="Times New Roman" w:cs="Times New Roman"/>
          <w:kern w:val="0"/>
          <w14:ligatures w14:val="none"/>
        </w:rPr>
        <w:t xml:space="preserve"> training program/course materials that were provided to Iran Genomics Institute and used as part of the educational program.</w:t>
      </w:r>
    </w:p>
    <w:p w14:paraId="033D6129" w14:textId="77777777" w:rsidR="004C613F" w:rsidRPr="00FD0675" w:rsidRDefault="004C613F" w:rsidP="004C613F">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FD0675">
        <w:rPr>
          <w:rFonts w:ascii="Times New Roman" w:eastAsia="Times New Roman" w:hAnsi="Times New Roman" w:cs="Times New Roman"/>
          <w:b/>
          <w:bCs/>
          <w:kern w:val="0"/>
          <w:sz w:val="27"/>
          <w:szCs w:val="27"/>
          <w14:ligatures w14:val="none"/>
        </w:rPr>
        <w:t>Conflict of Interest</w:t>
      </w:r>
    </w:p>
    <w:p w14:paraId="64C510F3" w14:textId="77777777" w:rsidR="004C613F" w:rsidRPr="00FD0675" w:rsidRDefault="004C613F" w:rsidP="004C613F">
      <w:pPr>
        <w:spacing w:before="100" w:beforeAutospacing="1" w:after="100" w:afterAutospacing="1" w:line="240" w:lineRule="auto"/>
        <w:rPr>
          <w:rFonts w:ascii="Times New Roman" w:eastAsia="Times New Roman" w:hAnsi="Times New Roman" w:cs="Times New Roman"/>
          <w:kern w:val="0"/>
          <w14:ligatures w14:val="none"/>
        </w:rPr>
      </w:pPr>
      <w:r w:rsidRPr="00FD0675">
        <w:rPr>
          <w:rFonts w:ascii="Times New Roman" w:eastAsia="Times New Roman" w:hAnsi="Times New Roman" w:cs="Times New Roman"/>
          <w:kern w:val="0"/>
          <w14:ligatures w14:val="none"/>
        </w:rPr>
        <w:t>The authors declare that they have no conflict of interest.</w:t>
      </w:r>
    </w:p>
    <w:p w14:paraId="351578EA" w14:textId="77777777" w:rsidR="004C613F" w:rsidRPr="0037305A" w:rsidRDefault="004C613F" w:rsidP="003730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p>
    <w:p w14:paraId="47E351B8" w14:textId="77777777" w:rsidR="0037305A" w:rsidRPr="0037305A" w:rsidRDefault="0037305A" w:rsidP="0037305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305A">
        <w:rPr>
          <w:rFonts w:ascii="Times New Roman" w:eastAsia="Times New Roman" w:hAnsi="Times New Roman" w:cs="Times New Roman"/>
          <w:b/>
          <w:bCs/>
          <w:kern w:val="0"/>
          <w:sz w:val="36"/>
          <w:szCs w:val="36"/>
          <w14:ligatures w14:val="none"/>
        </w:rPr>
        <w:t>Abstract</w:t>
      </w:r>
    </w:p>
    <w:p w14:paraId="76C2CD51" w14:textId="77777777" w:rsidR="0037305A" w:rsidRPr="0037305A" w:rsidRDefault="0037305A" w:rsidP="003730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7305A">
        <w:rPr>
          <w:rFonts w:ascii="Times New Roman" w:eastAsia="Times New Roman" w:hAnsi="Times New Roman" w:cs="Times New Roman"/>
          <w:b/>
          <w:bCs/>
          <w:kern w:val="0"/>
          <w:sz w:val="27"/>
          <w:szCs w:val="27"/>
          <w14:ligatures w14:val="none"/>
        </w:rPr>
        <w:t>Background</w:t>
      </w:r>
    </w:p>
    <w:p w14:paraId="2A4B9596"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 xml:space="preserve">Neurodevelopmental disorders characterized by developmental delay, intellectual disability, severe motor impairment, speech impairment, seizures, and behavioral abnormalities are genetically heterogeneous. Whole-exome sequencing (WES) is an important diagnostic approach </w:t>
      </w:r>
      <w:r w:rsidRPr="0037305A">
        <w:rPr>
          <w:rFonts w:ascii="Times New Roman" w:eastAsia="Times New Roman" w:hAnsi="Times New Roman" w:cs="Times New Roman"/>
          <w:kern w:val="0"/>
          <w14:ligatures w14:val="none"/>
        </w:rPr>
        <w:lastRenderedPageBreak/>
        <w:t>for identifying rare genetic variants, particularly in consanguineous families in which autosomal recessive inheritance is suspected.</w:t>
      </w:r>
    </w:p>
    <w:p w14:paraId="30B66A65" w14:textId="77777777" w:rsidR="0037305A" w:rsidRPr="0037305A" w:rsidRDefault="0037305A" w:rsidP="003730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7305A">
        <w:rPr>
          <w:rFonts w:ascii="Times New Roman" w:eastAsia="Times New Roman" w:hAnsi="Times New Roman" w:cs="Times New Roman"/>
          <w:b/>
          <w:bCs/>
          <w:kern w:val="0"/>
          <w:sz w:val="27"/>
          <w:szCs w:val="27"/>
          <w14:ligatures w14:val="none"/>
        </w:rPr>
        <w:t>Case Presentation</w:t>
      </w:r>
    </w:p>
    <w:p w14:paraId="611C626E"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We investigated a consanguineous family in which three children were affected by a severe neurodevelopmental phenotype, while three male and one female siblings were reported to be unaffected. The affected individual analyzed by WES presented with developmental delay, severe intellectual disability, severe motor impairment, speech disorder, seizures, and self-injurious behavior. Because of the consanguineous background and recurrence of the phenotype among siblings, an autosomal recessive mode of inheritance was considered a major hypothesis.</w:t>
      </w:r>
    </w:p>
    <w:p w14:paraId="18F90994"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Whole-exome sequencing data were subjected to variant filtering and annotation, with emphasis on rare exonic and splice-region variants, zygosity, population frequency, predicted functional impact, and available clinical databases. A homozygous missense variant in ZNF423 was identified at chromosome 16 and was selected for further investigation based on its homozygous state, rarity in population databases, computational evidence, and the established association of ZNF423 with ciliopathy-related disorders.</w:t>
      </w:r>
    </w:p>
    <w:p w14:paraId="24F130A9" w14:textId="77777777" w:rsidR="0037305A" w:rsidRPr="0037305A" w:rsidRDefault="0037305A" w:rsidP="003730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7305A">
        <w:rPr>
          <w:rFonts w:ascii="Times New Roman" w:eastAsia="Times New Roman" w:hAnsi="Times New Roman" w:cs="Times New Roman"/>
          <w:b/>
          <w:bCs/>
          <w:kern w:val="0"/>
          <w:sz w:val="27"/>
          <w:szCs w:val="27"/>
          <w14:ligatures w14:val="none"/>
        </w:rPr>
        <w:t>Results</w:t>
      </w:r>
    </w:p>
    <w:p w14:paraId="53E47838"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candidate ZNF423 variant was identified as a homozygous missense alteration at chr16:49669632 C&gt;A in the analyzed WES dataset. In the annotation used in the dataset, the variant was reported as NM_015069:c.3431G&gt;T, p.Arg1144Leu. The variant had a high-quality sequencing genotype, with a reported depth of approximately 48 reads and all observed reads supporting the alternative allele. It was rare in population databases and was classified as a variant of uncertain significance (VUS) by the available annotation.</w:t>
      </w:r>
    </w:p>
    <w:p w14:paraId="7EE4D85A"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ZNF423 is an established disease-associated gene involved in ciliopathy phenotypes, including nephronophthisis-related disease and Joubert syndrome. ClinGen currently supports a moderate-strength relationship between ZNF423 and autosomal recessive ciliopathy. Previous studies have also identified homozygous ZNF423 missense variants in affected individuals with nephronophthisis-related ciliopathy.</w:t>
      </w:r>
    </w:p>
    <w:p w14:paraId="2C4CF6FF" w14:textId="77777777" w:rsidR="0037305A" w:rsidRPr="0037305A" w:rsidRDefault="0037305A" w:rsidP="0037305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7305A">
        <w:rPr>
          <w:rFonts w:ascii="Times New Roman" w:eastAsia="Times New Roman" w:hAnsi="Times New Roman" w:cs="Times New Roman"/>
          <w:b/>
          <w:bCs/>
          <w:kern w:val="0"/>
          <w:sz w:val="27"/>
          <w:szCs w:val="27"/>
          <w14:ligatures w14:val="none"/>
        </w:rPr>
        <w:t>Conclusion</w:t>
      </w:r>
    </w:p>
    <w:p w14:paraId="1FAC69AF"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homozygous ZNF423 missense variant represents a biologically and genetically plausible candidate in this consanguineous family. However, the available evidence is insufficient to establish the variant as pathogenic or to confirm ZNF423 as the molecular cause of the patient’s phenotype. Additional evidence, particularly segregation analysis, phenotype refinement, variant-level database review using a standardized transcript, and independent clinical or functional evidence, would be required to establish causality.</w:t>
      </w:r>
    </w:p>
    <w:p w14:paraId="345F1845"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Keywords:</w:t>
      </w:r>
      <w:r w:rsidRPr="0037305A">
        <w:rPr>
          <w:rFonts w:ascii="Times New Roman" w:eastAsia="Times New Roman" w:hAnsi="Times New Roman" w:cs="Times New Roman"/>
          <w:kern w:val="0"/>
          <w14:ligatures w14:val="none"/>
        </w:rPr>
        <w:t xml:space="preserve"> Whole-exome sequencing; ZNF423; developmental delay; intellectual disability; seizures; consanguinity; autosomal recessive; ciliopathy; variant interpretation</w:t>
      </w:r>
    </w:p>
    <w:p w14:paraId="3F32E3A9" w14:textId="77777777" w:rsidR="0037305A" w:rsidRPr="0037305A" w:rsidRDefault="00C30AB2" w:rsidP="0037305A">
      <w:pPr>
        <w:spacing w:after="0" w:line="240" w:lineRule="auto"/>
        <w:rPr>
          <w:rFonts w:ascii="Times New Roman" w:eastAsia="Times New Roman" w:hAnsi="Times New Roman" w:cs="Times New Roman"/>
          <w:kern w:val="0"/>
          <w14:ligatures w14:val="none"/>
        </w:rPr>
      </w:pPr>
      <w:r>
        <w:rPr>
          <w:noProof/>
        </w:rPr>
      </w:r>
      <w:r>
        <w:pict w14:anchorId="20D450F2">
          <v:rect id="Horizontal Line 1"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E54A702" w14:textId="77777777" w:rsidR="0037305A" w:rsidRPr="0037305A" w:rsidRDefault="0037305A" w:rsidP="003730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7305A">
        <w:rPr>
          <w:rFonts w:ascii="Times New Roman" w:eastAsia="Times New Roman" w:hAnsi="Times New Roman" w:cs="Times New Roman"/>
          <w:b/>
          <w:bCs/>
          <w:kern w:val="36"/>
          <w:sz w:val="48"/>
          <w:szCs w:val="48"/>
          <w14:ligatures w14:val="none"/>
        </w:rPr>
        <w:t>1. Introduction</w:t>
      </w:r>
    </w:p>
    <w:p w14:paraId="3097BEAF"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Neurodevelopmental disorders comprise a genetically heterogeneous group of conditions characterized by abnormalities in cognitive, motor, language, behavioral, and neurological development. Identification of the underlying molecular cause can be challenging because overlapping clinical phenotypes may result from variants in many different genes.</w:t>
      </w:r>
    </w:p>
    <w:p w14:paraId="487B19F0"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Whole-exome sequencing has become an important tool for investigating genetically heterogeneous disorders, particularly in families with consanguinity or multiple affected individuals. In such families, homozygous rare variants inherited through a common ancestral allele are an important category of candidate variants.</w:t>
      </w:r>
    </w:p>
    <w:p w14:paraId="359EE846"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ZNF423 encodes zinc finger protein 423, a multifunctional nuclear protein containing multiple zinc-finger domains. The gene has been implicated in ciliopathy-related phenotypes, including nephronophthisis 14 and Joubert syndrome 19. ClinGen currently classifies the gene-disease relationship between ZNF423 and ciliopathy as having moderate evidence for autosomal recessive inheritance. (</w:t>
      </w:r>
      <w:hyperlink r:id="rId5" w:history="1">
        <w:r w:rsidRPr="0037305A">
          <w:rPr>
            <w:rFonts w:ascii="Times New Roman" w:eastAsia="Times New Roman" w:hAnsi="Times New Roman" w:cs="Times New Roman"/>
            <w:color w:val="0000FF"/>
            <w:kern w:val="0"/>
            <w:u w:val="single"/>
            <w14:ligatures w14:val="none"/>
          </w:rPr>
          <w:t>ClinGen</w:t>
        </w:r>
      </w:hyperlink>
      <w:r w:rsidRPr="0037305A">
        <w:rPr>
          <w:rFonts w:ascii="Times New Roman" w:eastAsia="Times New Roman" w:hAnsi="Times New Roman" w:cs="Times New Roman"/>
          <w:kern w:val="0"/>
          <w14:ligatures w14:val="none"/>
        </w:rPr>
        <w:t>)</w:t>
      </w:r>
    </w:p>
    <w:p w14:paraId="2C41A856"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first reports linking biallelic ZNF423 variants to nephronophthisis-related ciliopathy included a homozygous missense variant, p.Pro913Leu, identified in affected individuals. (</w:t>
      </w:r>
      <w:hyperlink r:id="rId6" w:history="1">
        <w:r w:rsidRPr="0037305A">
          <w:rPr>
            <w:rFonts w:ascii="Times New Roman" w:eastAsia="Times New Roman" w:hAnsi="Times New Roman" w:cs="Times New Roman"/>
            <w:color w:val="0000FF"/>
            <w:kern w:val="0"/>
            <w:u w:val="single"/>
            <w14:ligatures w14:val="none"/>
          </w:rPr>
          <w:t>PubMed Central (PMC)</w:t>
        </w:r>
      </w:hyperlink>
      <w:r w:rsidRPr="0037305A">
        <w:rPr>
          <w:rFonts w:ascii="Times New Roman" w:eastAsia="Times New Roman" w:hAnsi="Times New Roman" w:cs="Times New Roman"/>
          <w:kern w:val="0"/>
          <w14:ligatures w14:val="none"/>
        </w:rPr>
        <w:t>)</w:t>
      </w:r>
    </w:p>
    <w:p w14:paraId="6DE3BC16"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Here, we describe a consanguineous family with a severe neurodevelopmental phenotype in which WES identified a rare homozygous missense variant in ZNF423. We discuss the potential relationship between the variant and the observed phenotype while emphasizing the limitations of the currently available evidence.</w:t>
      </w:r>
    </w:p>
    <w:p w14:paraId="54B397D2" w14:textId="77777777" w:rsidR="0037305A" w:rsidRPr="0037305A" w:rsidRDefault="00C30AB2" w:rsidP="0037305A">
      <w:pPr>
        <w:spacing w:after="0" w:line="240" w:lineRule="auto"/>
        <w:rPr>
          <w:rFonts w:ascii="Times New Roman" w:eastAsia="Times New Roman" w:hAnsi="Times New Roman" w:cs="Times New Roman"/>
          <w:kern w:val="0"/>
          <w14:ligatures w14:val="none"/>
        </w:rPr>
      </w:pPr>
      <w:r>
        <w:rPr>
          <w:noProof/>
        </w:rPr>
      </w:r>
      <w:r>
        <w:pict w14:anchorId="70DC6559">
          <v:rect id="Horizontal Line 2"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8D4287C" w14:textId="77777777" w:rsidR="0037305A" w:rsidRPr="0037305A" w:rsidRDefault="0037305A" w:rsidP="003730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7305A">
        <w:rPr>
          <w:rFonts w:ascii="Times New Roman" w:eastAsia="Times New Roman" w:hAnsi="Times New Roman" w:cs="Times New Roman"/>
          <w:b/>
          <w:bCs/>
          <w:kern w:val="36"/>
          <w:sz w:val="48"/>
          <w:szCs w:val="48"/>
          <w14:ligatures w14:val="none"/>
        </w:rPr>
        <w:t>2. Materials and Methods</w:t>
      </w:r>
    </w:p>
    <w:p w14:paraId="4E21E4AE" w14:textId="77777777" w:rsidR="0037305A" w:rsidRPr="0037305A" w:rsidRDefault="0037305A" w:rsidP="0037305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305A">
        <w:rPr>
          <w:rFonts w:ascii="Times New Roman" w:eastAsia="Times New Roman" w:hAnsi="Times New Roman" w:cs="Times New Roman"/>
          <w:b/>
          <w:bCs/>
          <w:kern w:val="0"/>
          <w:sz w:val="36"/>
          <w:szCs w:val="36"/>
          <w14:ligatures w14:val="none"/>
        </w:rPr>
        <w:t>2.1 Family and Clinical Phenotype</w:t>
      </w:r>
    </w:p>
    <w:p w14:paraId="054EB391"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investigated family was consanguineous, with the parents reported to be first cousins. Three children were affected, whereas three male and one female siblings were reported to be unaffected.</w:t>
      </w:r>
    </w:p>
    <w:p w14:paraId="374B78AD"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affected individual available for WES analysis exhibited:</w:t>
      </w:r>
    </w:p>
    <w:p w14:paraId="656144C2" w14:textId="77777777" w:rsidR="0037305A" w:rsidRPr="0037305A" w:rsidRDefault="0037305A" w:rsidP="003730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Developmental delay</w:t>
      </w:r>
    </w:p>
    <w:p w14:paraId="5F97C45B" w14:textId="77777777" w:rsidR="0037305A" w:rsidRPr="0037305A" w:rsidRDefault="0037305A" w:rsidP="003730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Severe intellectual disability</w:t>
      </w:r>
    </w:p>
    <w:p w14:paraId="5C54B6E4" w14:textId="77777777" w:rsidR="0037305A" w:rsidRPr="0037305A" w:rsidRDefault="0037305A" w:rsidP="003730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Severe motor impairment</w:t>
      </w:r>
    </w:p>
    <w:p w14:paraId="38F92EE2" w14:textId="77777777" w:rsidR="0037305A" w:rsidRPr="0037305A" w:rsidRDefault="0037305A" w:rsidP="003730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lastRenderedPageBreak/>
        <w:t>Speech disorder</w:t>
      </w:r>
    </w:p>
    <w:p w14:paraId="4A8856B6" w14:textId="77777777" w:rsidR="0037305A" w:rsidRPr="0037305A" w:rsidRDefault="0037305A" w:rsidP="003730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Seizures</w:t>
      </w:r>
    </w:p>
    <w:p w14:paraId="6B737050" w14:textId="77777777" w:rsidR="0037305A" w:rsidRPr="0037305A" w:rsidRDefault="0037305A" w:rsidP="0037305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Self-injurious behavior</w:t>
      </w:r>
    </w:p>
    <w:p w14:paraId="46A891FE"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No additional detailed neurological, renal, ophthalmological, or neuroimaging findings were available for the present analysis.</w:t>
      </w:r>
    </w:p>
    <w:p w14:paraId="4BF58A86"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Because multiple siblings were affected in a consanguineous family, autosomal recessive inheritance was considered a primary inheritance model.</w:t>
      </w:r>
    </w:p>
    <w:p w14:paraId="25D01AF0" w14:textId="77777777" w:rsidR="0037305A" w:rsidRPr="0037305A" w:rsidRDefault="0037305A" w:rsidP="0037305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305A">
        <w:rPr>
          <w:rFonts w:ascii="Times New Roman" w:eastAsia="Times New Roman" w:hAnsi="Times New Roman" w:cs="Times New Roman"/>
          <w:b/>
          <w:bCs/>
          <w:kern w:val="0"/>
          <w:sz w:val="36"/>
          <w:szCs w:val="36"/>
          <w14:ligatures w14:val="none"/>
        </w:rPr>
        <w:t>2.2 Whole-Exome Sequencing and Variant Analysis</w:t>
      </w:r>
    </w:p>
    <w:p w14:paraId="3BA61E03"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Whole-exome sequencing data were provided in annotated variant format and analyzed using variant-level information including:</w:t>
      </w:r>
    </w:p>
    <w:p w14:paraId="6EDA3519" w14:textId="77777777" w:rsidR="0037305A" w:rsidRPr="0037305A" w:rsidRDefault="0037305A" w:rsidP="003730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Chromosomal position</w:t>
      </w:r>
    </w:p>
    <w:p w14:paraId="44340262" w14:textId="77777777" w:rsidR="0037305A" w:rsidRPr="0037305A" w:rsidRDefault="0037305A" w:rsidP="003730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Reference and alternative alleles</w:t>
      </w:r>
    </w:p>
    <w:p w14:paraId="1A4C3EA6" w14:textId="77777777" w:rsidR="0037305A" w:rsidRPr="0037305A" w:rsidRDefault="0037305A" w:rsidP="003730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Gene annotation</w:t>
      </w:r>
    </w:p>
    <w:p w14:paraId="7A0C1FFF" w14:textId="77777777" w:rsidR="0037305A" w:rsidRPr="0037305A" w:rsidRDefault="0037305A" w:rsidP="003730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Functional consequence</w:t>
      </w:r>
    </w:p>
    <w:p w14:paraId="3E347498" w14:textId="77777777" w:rsidR="0037305A" w:rsidRPr="0037305A" w:rsidRDefault="0037305A" w:rsidP="003730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Amino-acid change</w:t>
      </w:r>
    </w:p>
    <w:p w14:paraId="7D69C7E7" w14:textId="77777777" w:rsidR="0037305A" w:rsidRPr="0037305A" w:rsidRDefault="0037305A" w:rsidP="003730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Population allele frequencies</w:t>
      </w:r>
    </w:p>
    <w:p w14:paraId="5E26DD35" w14:textId="77777777" w:rsidR="0037305A" w:rsidRPr="0037305A" w:rsidRDefault="0037305A" w:rsidP="003730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In-silico prediction scores</w:t>
      </w:r>
    </w:p>
    <w:p w14:paraId="14011080" w14:textId="77777777" w:rsidR="0037305A" w:rsidRPr="0037305A" w:rsidRDefault="0037305A" w:rsidP="003730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ClinVar annotation</w:t>
      </w:r>
    </w:p>
    <w:p w14:paraId="07E2B49A" w14:textId="77777777" w:rsidR="0037305A" w:rsidRPr="0037305A" w:rsidRDefault="0037305A" w:rsidP="003730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InterVar/ACMG-related annotations</w:t>
      </w:r>
    </w:p>
    <w:p w14:paraId="1F3730F8" w14:textId="77777777" w:rsidR="0037305A" w:rsidRPr="0037305A" w:rsidRDefault="0037305A" w:rsidP="0037305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Variant quality and genotype information</w:t>
      </w:r>
    </w:p>
    <w:p w14:paraId="235E5657"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initial analysis focused on rare variants, particularly homozygous variants compatible with a potential autosomal recessive inheritance model.</w:t>
      </w:r>
    </w:p>
    <w:p w14:paraId="7522FC94"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Candidate variants were subsequently evaluated according to:</w:t>
      </w:r>
    </w:p>
    <w:p w14:paraId="5A40A3B7" w14:textId="77777777" w:rsidR="0037305A" w:rsidRPr="0037305A" w:rsidRDefault="0037305A" w:rsidP="0037305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Zygosity</w:t>
      </w:r>
    </w:p>
    <w:p w14:paraId="7CD5772C" w14:textId="77777777" w:rsidR="0037305A" w:rsidRPr="0037305A" w:rsidRDefault="0037305A" w:rsidP="0037305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Population frequency</w:t>
      </w:r>
    </w:p>
    <w:p w14:paraId="2449CF11" w14:textId="77777777" w:rsidR="0037305A" w:rsidRPr="0037305A" w:rsidRDefault="0037305A" w:rsidP="0037305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Functional consequence</w:t>
      </w:r>
    </w:p>
    <w:p w14:paraId="3E999139" w14:textId="77777777" w:rsidR="0037305A" w:rsidRPr="0037305A" w:rsidRDefault="0037305A" w:rsidP="0037305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Computational prediction</w:t>
      </w:r>
    </w:p>
    <w:p w14:paraId="24650D94" w14:textId="77777777" w:rsidR="0037305A" w:rsidRPr="0037305A" w:rsidRDefault="0037305A" w:rsidP="0037305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Clinical database annotations</w:t>
      </w:r>
    </w:p>
    <w:p w14:paraId="53C6A062" w14:textId="77777777" w:rsidR="0037305A" w:rsidRPr="0037305A" w:rsidRDefault="0037305A" w:rsidP="0037305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Gene-disease association</w:t>
      </w:r>
    </w:p>
    <w:p w14:paraId="0603C398" w14:textId="77777777" w:rsidR="0037305A" w:rsidRPr="0037305A" w:rsidRDefault="0037305A" w:rsidP="0037305A">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Compatibility between the reported phenotype and known gene-associated phenotypes</w:t>
      </w:r>
    </w:p>
    <w:p w14:paraId="59735896" w14:textId="77777777" w:rsidR="0037305A" w:rsidRPr="0037305A" w:rsidRDefault="00C30AB2" w:rsidP="0037305A">
      <w:pPr>
        <w:spacing w:after="0" w:line="240" w:lineRule="auto"/>
        <w:rPr>
          <w:rFonts w:ascii="Times New Roman" w:eastAsia="Times New Roman" w:hAnsi="Times New Roman" w:cs="Times New Roman"/>
          <w:kern w:val="0"/>
          <w14:ligatures w14:val="none"/>
        </w:rPr>
      </w:pPr>
      <w:r>
        <w:rPr>
          <w:noProof/>
        </w:rPr>
      </w:r>
      <w:r>
        <w:pict w14:anchorId="51F4EED4">
          <v:rect id="Horizontal Line 3"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91A5F70" w14:textId="77777777" w:rsidR="0037305A" w:rsidRPr="0037305A" w:rsidRDefault="0037305A" w:rsidP="003730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7305A">
        <w:rPr>
          <w:rFonts w:ascii="Times New Roman" w:eastAsia="Times New Roman" w:hAnsi="Times New Roman" w:cs="Times New Roman"/>
          <w:b/>
          <w:bCs/>
          <w:kern w:val="36"/>
          <w:sz w:val="48"/>
          <w:szCs w:val="48"/>
          <w14:ligatures w14:val="none"/>
        </w:rPr>
        <w:t>3. Results</w:t>
      </w:r>
    </w:p>
    <w:p w14:paraId="43CC2993" w14:textId="77777777" w:rsidR="0037305A" w:rsidRPr="0037305A" w:rsidRDefault="0037305A" w:rsidP="0037305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305A">
        <w:rPr>
          <w:rFonts w:ascii="Times New Roman" w:eastAsia="Times New Roman" w:hAnsi="Times New Roman" w:cs="Times New Roman"/>
          <w:b/>
          <w:bCs/>
          <w:kern w:val="0"/>
          <w:sz w:val="36"/>
          <w:szCs w:val="36"/>
          <w14:ligatures w14:val="none"/>
        </w:rPr>
        <w:t>3.1 Identification of a Homozygous ZNF423 Variant</w:t>
      </w:r>
    </w:p>
    <w:p w14:paraId="0A63B6BC"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lastRenderedPageBreak/>
        <w:t xml:space="preserve">Among the filtered candidate variants, a homozygous missense variant in </w:t>
      </w:r>
      <w:r w:rsidRPr="0037305A">
        <w:rPr>
          <w:rFonts w:ascii="Times New Roman" w:eastAsia="Times New Roman" w:hAnsi="Times New Roman" w:cs="Times New Roman"/>
          <w:b/>
          <w:bCs/>
          <w:kern w:val="0"/>
          <w14:ligatures w14:val="none"/>
        </w:rPr>
        <w:t>ZNF423</w:t>
      </w:r>
      <w:r w:rsidRPr="0037305A">
        <w:rPr>
          <w:rFonts w:ascii="Times New Roman" w:eastAsia="Times New Roman" w:hAnsi="Times New Roman" w:cs="Times New Roman"/>
          <w:kern w:val="0"/>
          <w14:ligatures w14:val="none"/>
        </w:rPr>
        <w:t xml:space="preserve"> was identified at:</w:t>
      </w:r>
    </w:p>
    <w:p w14:paraId="2E6604F8"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chr16:49669632 C&gt;A</w:t>
      </w:r>
    </w:p>
    <w:p w14:paraId="1AD95A30"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WES annotation reported the variant as:</w:t>
      </w:r>
    </w:p>
    <w:p w14:paraId="1F65B0D7"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NM_015069:c.3431G&gt;T, p.Arg1144Leu</w:t>
      </w:r>
    </w:p>
    <w:p w14:paraId="1B3DF3EF"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sequencing data showed a high-confidence homozygous genotype, with approximately 48 reads covering the position and the observed reads supporting the alternative allele.</w:t>
      </w:r>
    </w:p>
    <w:p w14:paraId="32C3EAC5"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 xml:space="preserve">The variant was reported as rare in population databases and was annotated as a </w:t>
      </w:r>
      <w:r w:rsidRPr="0037305A">
        <w:rPr>
          <w:rFonts w:ascii="Times New Roman" w:eastAsia="Times New Roman" w:hAnsi="Times New Roman" w:cs="Times New Roman"/>
          <w:b/>
          <w:bCs/>
          <w:kern w:val="0"/>
          <w14:ligatures w14:val="none"/>
        </w:rPr>
        <w:t>variant of uncertain significance (VUS)</w:t>
      </w:r>
      <w:r w:rsidRPr="0037305A">
        <w:rPr>
          <w:rFonts w:ascii="Times New Roman" w:eastAsia="Times New Roman" w:hAnsi="Times New Roman" w:cs="Times New Roman"/>
          <w:kern w:val="0"/>
          <w14:ligatures w14:val="none"/>
        </w:rPr>
        <w:t xml:space="preserve"> in the available interpretation data.</w:t>
      </w:r>
    </w:p>
    <w:p w14:paraId="21126454"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variant was also associated with the dbSNP identifier:</w:t>
      </w:r>
    </w:p>
    <w:p w14:paraId="599FBF68"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rs375010326</w:t>
      </w:r>
    </w:p>
    <w:p w14:paraId="607EF144"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Importantly, transcript-dependent differences in nucleotide and amino-acid numbering have been observed for ZNF423. Therefore, the HGVS nomenclature should be normalized against the current reference transcript and genome assembly before publication.</w:t>
      </w:r>
    </w:p>
    <w:p w14:paraId="00FA9A8B" w14:textId="77777777" w:rsidR="0037305A" w:rsidRPr="0037305A" w:rsidRDefault="0037305A" w:rsidP="0037305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305A">
        <w:rPr>
          <w:rFonts w:ascii="Times New Roman" w:eastAsia="Times New Roman" w:hAnsi="Times New Roman" w:cs="Times New Roman"/>
          <w:b/>
          <w:bCs/>
          <w:kern w:val="0"/>
          <w:sz w:val="36"/>
          <w:szCs w:val="36"/>
          <w14:ligatures w14:val="none"/>
        </w:rPr>
        <w:t>3.2 Computational Evidence</w:t>
      </w:r>
    </w:p>
    <w:p w14:paraId="29077BFF"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variant demonstrated evidence of potential functional impact in several computational prediction tools. The original WES annotation reported:</w:t>
      </w:r>
    </w:p>
    <w:p w14:paraId="1F2CB3A4" w14:textId="77777777" w:rsidR="0037305A" w:rsidRPr="0037305A" w:rsidRDefault="0037305A" w:rsidP="0037305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CADD: approximately 23</w:t>
      </w:r>
    </w:p>
    <w:p w14:paraId="10F45CEE" w14:textId="77777777" w:rsidR="0037305A" w:rsidRPr="0037305A" w:rsidRDefault="0037305A" w:rsidP="0037305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REVEL: approximately 0.20</w:t>
      </w:r>
    </w:p>
    <w:p w14:paraId="099DD717" w14:textId="77777777" w:rsidR="0037305A" w:rsidRPr="0037305A" w:rsidRDefault="0037305A" w:rsidP="0037305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PM1: applied in the original annotation</w:t>
      </w:r>
    </w:p>
    <w:p w14:paraId="0751472B" w14:textId="77777777" w:rsidR="0037305A" w:rsidRPr="0037305A" w:rsidRDefault="0037305A" w:rsidP="0037305A">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PM2: applied in the original annotation</w:t>
      </w:r>
    </w:p>
    <w:p w14:paraId="5423E21F"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Although several computational tools predicted a potentially damaging effect, in-silico predictions alone cannot establish pathogenicity.</w:t>
      </w:r>
    </w:p>
    <w:p w14:paraId="7FA6A8DF"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Therefore, these results were considered supportive evidence for prioritization rather than definitive evidence of disease causality.</w:t>
      </w:r>
    </w:p>
    <w:p w14:paraId="37A960EF" w14:textId="77777777" w:rsidR="0037305A" w:rsidRPr="0037305A" w:rsidRDefault="0037305A" w:rsidP="0037305A">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7305A">
        <w:rPr>
          <w:rFonts w:ascii="Times New Roman" w:eastAsia="Times New Roman" w:hAnsi="Times New Roman" w:cs="Times New Roman"/>
          <w:b/>
          <w:bCs/>
          <w:kern w:val="0"/>
          <w:sz w:val="36"/>
          <w:szCs w:val="36"/>
          <w14:ligatures w14:val="none"/>
        </w:rPr>
        <w:t>3.3 ZNF423 and Human Disease</w:t>
      </w:r>
    </w:p>
    <w:p w14:paraId="77F87648"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 xml:space="preserve">ZNF423 has an established relationship with ciliopathy-related disease. ClinGen currently assigns a </w:t>
      </w:r>
      <w:r w:rsidRPr="0037305A">
        <w:rPr>
          <w:rFonts w:ascii="Times New Roman" w:eastAsia="Times New Roman" w:hAnsi="Times New Roman" w:cs="Times New Roman"/>
          <w:b/>
          <w:bCs/>
          <w:kern w:val="0"/>
          <w14:ligatures w14:val="none"/>
        </w:rPr>
        <w:t>Moderate</w:t>
      </w:r>
      <w:r w:rsidRPr="0037305A">
        <w:rPr>
          <w:rFonts w:ascii="Times New Roman" w:eastAsia="Times New Roman" w:hAnsi="Times New Roman" w:cs="Times New Roman"/>
          <w:kern w:val="0"/>
          <w14:ligatures w14:val="none"/>
        </w:rPr>
        <w:t xml:space="preserve"> level of gene-disease validity for ZNF423 and autosomal recessive ciliopathy. The associated disease spectrum includes nephronophthisis 14 and Joubert syndrome 19. (</w:t>
      </w:r>
      <w:hyperlink r:id="rId7" w:history="1">
        <w:r w:rsidRPr="0037305A">
          <w:rPr>
            <w:rFonts w:ascii="Times New Roman" w:eastAsia="Times New Roman" w:hAnsi="Times New Roman" w:cs="Times New Roman"/>
            <w:color w:val="0000FF"/>
            <w:kern w:val="0"/>
            <w:u w:val="single"/>
            <w14:ligatures w14:val="none"/>
          </w:rPr>
          <w:t>ClinGen</w:t>
        </w:r>
      </w:hyperlink>
      <w:r w:rsidRPr="0037305A">
        <w:rPr>
          <w:rFonts w:ascii="Times New Roman" w:eastAsia="Times New Roman" w:hAnsi="Times New Roman" w:cs="Times New Roman"/>
          <w:kern w:val="0"/>
          <w14:ligatures w14:val="none"/>
        </w:rPr>
        <w:t>)</w:t>
      </w:r>
    </w:p>
    <w:p w14:paraId="11DE909C"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lastRenderedPageBreak/>
        <w:t>Previous research identified homozygous ZNF423 variants in individuals with nephronophthisis-related ciliopathy. One reported study identified a homozygous p.Pro913Leu variant in affected individuals and subsequently identified additional heterozygous variants in individuals with Joubert syndrome. (</w:t>
      </w:r>
      <w:hyperlink r:id="rId8" w:history="1">
        <w:r w:rsidRPr="0037305A">
          <w:rPr>
            <w:rFonts w:ascii="Times New Roman" w:eastAsia="Times New Roman" w:hAnsi="Times New Roman" w:cs="Times New Roman"/>
            <w:color w:val="0000FF"/>
            <w:kern w:val="0"/>
            <w:u w:val="single"/>
            <w14:ligatures w14:val="none"/>
          </w:rPr>
          <w:t>PubMed Central (PMC)</w:t>
        </w:r>
      </w:hyperlink>
      <w:r w:rsidRPr="0037305A">
        <w:rPr>
          <w:rFonts w:ascii="Times New Roman" w:eastAsia="Times New Roman" w:hAnsi="Times New Roman" w:cs="Times New Roman"/>
          <w:kern w:val="0"/>
          <w14:ligatures w14:val="none"/>
        </w:rPr>
        <w:t>)</w:t>
      </w:r>
    </w:p>
    <w:p w14:paraId="225E6C18"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biological relevance of ZNF423 to neurological development is also supported by experimental studies, and the protein contains multiple zinc-finger domains. (</w:t>
      </w:r>
      <w:hyperlink r:id="rId9" w:history="1">
        <w:r w:rsidRPr="0037305A">
          <w:rPr>
            <w:rFonts w:ascii="Times New Roman" w:eastAsia="Times New Roman" w:hAnsi="Times New Roman" w:cs="Times New Roman"/>
            <w:color w:val="0000FF"/>
            <w:kern w:val="0"/>
            <w:u w:val="single"/>
            <w14:ligatures w14:val="none"/>
          </w:rPr>
          <w:t>PubMed Central (PMC)</w:t>
        </w:r>
      </w:hyperlink>
      <w:r w:rsidRPr="0037305A">
        <w:rPr>
          <w:rFonts w:ascii="Times New Roman" w:eastAsia="Times New Roman" w:hAnsi="Times New Roman" w:cs="Times New Roman"/>
          <w:kern w:val="0"/>
          <w14:ligatures w14:val="none"/>
        </w:rPr>
        <w:t>)</w:t>
      </w:r>
    </w:p>
    <w:p w14:paraId="1B6589C5" w14:textId="77777777" w:rsidR="0037305A" w:rsidRPr="0037305A" w:rsidRDefault="00C30AB2" w:rsidP="0037305A">
      <w:pPr>
        <w:spacing w:after="0" w:line="240" w:lineRule="auto"/>
        <w:rPr>
          <w:rFonts w:ascii="Times New Roman" w:eastAsia="Times New Roman" w:hAnsi="Times New Roman" w:cs="Times New Roman"/>
          <w:kern w:val="0"/>
          <w14:ligatures w14:val="none"/>
        </w:rPr>
      </w:pPr>
      <w:r>
        <w:rPr>
          <w:noProof/>
        </w:rPr>
      </w:r>
      <w:r>
        <w:pict w14:anchorId="763D5BA2">
          <v:rect id="Horizontal Line 4"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163151F" w14:textId="77777777" w:rsidR="0037305A" w:rsidRPr="0037305A" w:rsidRDefault="0037305A" w:rsidP="003730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7305A">
        <w:rPr>
          <w:rFonts w:ascii="Times New Roman" w:eastAsia="Times New Roman" w:hAnsi="Times New Roman" w:cs="Times New Roman"/>
          <w:b/>
          <w:bCs/>
          <w:kern w:val="36"/>
          <w:sz w:val="48"/>
          <w:szCs w:val="48"/>
          <w14:ligatures w14:val="none"/>
        </w:rPr>
        <w:t>4. Discussion</w:t>
      </w:r>
    </w:p>
    <w:p w14:paraId="712E15D5"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major finding of this analysis was the identification of a rare homozygous missense variant in ZNF423 in an affected individual from a consanguineous family with a severe neurodevelopmental phenotype.</w:t>
      </w:r>
    </w:p>
    <w:p w14:paraId="100888D7"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Several characteristics made this variant suitable for prioritization.</w:t>
      </w:r>
    </w:p>
    <w:p w14:paraId="32764858"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First, the variant was homozygous, which is compatible with the suspected autosomal recessive inheritance pattern. The presence of multiple affected siblings in a consanguineous family further supports consideration of recessive disease mechanisms.</w:t>
      </w:r>
    </w:p>
    <w:p w14:paraId="7EC22032"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Second, the variant was rare in population databases. A very low population frequency is expected for a highly penetrant pathogenic variant causing a severe rare disorder.</w:t>
      </w:r>
    </w:p>
    <w:p w14:paraId="785A2242"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Third, the affected individual exhibited developmental and neurological abnormalities, including developmental delay, severe intellectual disability, motor impairment, speech impairment, and seizures. These findings overlap with the neurological manifestations that can occur in ZNF423-associated ciliopathy disorders.</w:t>
      </w:r>
    </w:p>
    <w:p w14:paraId="34E1472C"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Fourth, ZNF423 is an established disease-associated gene. ClinGen has classified its relationship with autosomal recessive ciliopathy as having moderate evidence. (</w:t>
      </w:r>
      <w:hyperlink r:id="rId10" w:history="1">
        <w:r w:rsidRPr="0037305A">
          <w:rPr>
            <w:rFonts w:ascii="Times New Roman" w:eastAsia="Times New Roman" w:hAnsi="Times New Roman" w:cs="Times New Roman"/>
            <w:color w:val="0000FF"/>
            <w:kern w:val="0"/>
            <w:u w:val="single"/>
            <w14:ligatures w14:val="none"/>
          </w:rPr>
          <w:t>ClinGen</w:t>
        </w:r>
      </w:hyperlink>
      <w:r w:rsidRPr="0037305A">
        <w:rPr>
          <w:rFonts w:ascii="Times New Roman" w:eastAsia="Times New Roman" w:hAnsi="Times New Roman" w:cs="Times New Roman"/>
          <w:kern w:val="0"/>
          <w14:ligatures w14:val="none"/>
        </w:rPr>
        <w:t>)</w:t>
      </w:r>
    </w:p>
    <w:p w14:paraId="41742CF0"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Nevertheless, the evidence currently available for the specific variant is not sufficient to classify it as pathogenic.</w:t>
      </w:r>
    </w:p>
    <w:p w14:paraId="20ECD7BE"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most important limitation is the absence of segregation data. Because only one affected individual was available for WES analysis, it is currently unknown whether the variant is present in the other affected siblings and whether unaffected family members are heterozygous or lack the variant.</w:t>
      </w:r>
    </w:p>
    <w:p w14:paraId="391D64B9"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 xml:space="preserve">A second limitation is the incomplete clinical phenotype. ZNF423-associated ciliopathy can involve renal, ocular, cerebellar, and other systemic manifestations. The absence of detailed </w:t>
      </w:r>
      <w:r w:rsidRPr="0037305A">
        <w:rPr>
          <w:rFonts w:ascii="Times New Roman" w:eastAsia="Times New Roman" w:hAnsi="Times New Roman" w:cs="Times New Roman"/>
          <w:kern w:val="0"/>
          <w14:ligatures w14:val="none"/>
        </w:rPr>
        <w:lastRenderedPageBreak/>
        <w:t>MRI, renal, ophthalmological, and other phenotypic information limits assessment of phenotype-genotype concordance. (</w:t>
      </w:r>
      <w:hyperlink r:id="rId11" w:history="1">
        <w:r w:rsidRPr="0037305A">
          <w:rPr>
            <w:rFonts w:ascii="Times New Roman" w:eastAsia="Times New Roman" w:hAnsi="Times New Roman" w:cs="Times New Roman"/>
            <w:color w:val="0000FF"/>
            <w:kern w:val="0"/>
            <w:u w:val="single"/>
            <w14:ligatures w14:val="none"/>
          </w:rPr>
          <w:t>NCBI</w:t>
        </w:r>
      </w:hyperlink>
      <w:r w:rsidRPr="0037305A">
        <w:rPr>
          <w:rFonts w:ascii="Times New Roman" w:eastAsia="Times New Roman" w:hAnsi="Times New Roman" w:cs="Times New Roman"/>
          <w:kern w:val="0"/>
          <w14:ligatures w14:val="none"/>
        </w:rPr>
        <w:t>)</w:t>
      </w:r>
    </w:p>
    <w:p w14:paraId="37ADD8BC"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A third limitation is that computational prediction does not establish pathogenicity. Even when multiple prediction algorithms indicate a potentially damaging effect, these results should be interpreted as supportive rather than decisive evidence.</w:t>
      </w:r>
    </w:p>
    <w:p w14:paraId="236081BC"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Finally, the variant nomenclature requires careful normalization. The WES annotation uses NM_015069 and reports p.Arg1144Leu, while alternative/current transcript representations may produce different nucleotide and amino-acid numbering. Therefore, the final report should use a single standardized transcript and explicitly state the genome assembly.</w:t>
      </w:r>
    </w:p>
    <w:p w14:paraId="485DD02E" w14:textId="77777777" w:rsidR="0037305A" w:rsidRPr="0037305A" w:rsidRDefault="00C30AB2" w:rsidP="0037305A">
      <w:pPr>
        <w:spacing w:after="0" w:line="240" w:lineRule="auto"/>
        <w:rPr>
          <w:rFonts w:ascii="Times New Roman" w:eastAsia="Times New Roman" w:hAnsi="Times New Roman" w:cs="Times New Roman"/>
          <w:kern w:val="0"/>
          <w14:ligatures w14:val="none"/>
        </w:rPr>
      </w:pPr>
      <w:r>
        <w:rPr>
          <w:noProof/>
        </w:rPr>
      </w:r>
      <w:r>
        <w:pict w14:anchorId="7997C0D2">
          <v:rect id="Horizontal Line 5"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208481B" w14:textId="77777777" w:rsidR="0037305A" w:rsidRPr="0037305A" w:rsidRDefault="0037305A" w:rsidP="003730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7305A">
        <w:rPr>
          <w:rFonts w:ascii="Times New Roman" w:eastAsia="Times New Roman" w:hAnsi="Times New Roman" w:cs="Times New Roman"/>
          <w:b/>
          <w:bCs/>
          <w:kern w:val="36"/>
          <w:sz w:val="48"/>
          <w:szCs w:val="48"/>
          <w14:ligatures w14:val="none"/>
        </w:rPr>
        <w:t>5. ACMG/AMP Interpretation</w:t>
      </w:r>
    </w:p>
    <w:p w14:paraId="22C31405"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 xml:space="preserve">Based on the currently available information, the variant should </w:t>
      </w:r>
      <w:r w:rsidRPr="0037305A">
        <w:rPr>
          <w:rFonts w:ascii="Times New Roman" w:eastAsia="Times New Roman" w:hAnsi="Times New Roman" w:cs="Times New Roman"/>
          <w:b/>
          <w:bCs/>
          <w:kern w:val="0"/>
          <w14:ligatures w14:val="none"/>
        </w:rPr>
        <w:t>not</w:t>
      </w:r>
      <w:r w:rsidRPr="0037305A">
        <w:rPr>
          <w:rFonts w:ascii="Times New Roman" w:eastAsia="Times New Roman" w:hAnsi="Times New Roman" w:cs="Times New Roman"/>
          <w:kern w:val="0"/>
          <w14:ligatures w14:val="none"/>
        </w:rPr>
        <w:t xml:space="preserve"> be reported as pathogenic solely on the basis of the WES findings.</w:t>
      </w:r>
    </w:p>
    <w:p w14:paraId="30E3BFFC"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A provisional interpretation can be summarized as:</w:t>
      </w:r>
    </w:p>
    <w:tbl>
      <w:tblPr>
        <w:tblW w:w="5000" w:type="pct"/>
        <w:tblBorders>
          <w:top w:val="single" w:sz="6" w:space="0" w:color="auto"/>
          <w:left w:val="single" w:sz="6" w:space="0" w:color="auto"/>
          <w:bottom w:val="single" w:sz="6" w:space="0" w:color="auto"/>
          <w:right w:val="single" w:sz="6" w:space="0" w:color="auto"/>
        </w:tblBorders>
        <w:tblCellMar>
          <w:top w:w="160" w:type="dxa"/>
          <w:left w:w="160" w:type="dxa"/>
          <w:bottom w:w="160" w:type="dxa"/>
          <w:right w:w="160" w:type="dxa"/>
        </w:tblCellMar>
        <w:tblLook w:val="04A0" w:firstRow="1" w:lastRow="0" w:firstColumn="1" w:lastColumn="0" w:noHBand="0" w:noVBand="1"/>
      </w:tblPr>
      <w:tblGrid>
        <w:gridCol w:w="4790"/>
        <w:gridCol w:w="4554"/>
      </w:tblGrid>
      <w:tr w:rsidR="0037305A" w:rsidRPr="0037305A" w14:paraId="4737BF96" w14:textId="77777777">
        <w:trPr>
          <w:tblHeader/>
        </w:trPr>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C48FAEB" w14:textId="77777777" w:rsidR="0037305A" w:rsidRPr="0037305A" w:rsidRDefault="0037305A" w:rsidP="0037305A">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37305A">
              <w:rPr>
                <w:rFonts w:ascii="Times New Roman" w:eastAsia="Times New Roman" w:hAnsi="Times New Roman" w:cs="Times New Roman"/>
                <w:b/>
                <w:bCs/>
                <w:kern w:val="0"/>
                <w14:ligatures w14:val="none"/>
              </w:rPr>
              <w:t>Evidence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6CED115" w14:textId="77777777" w:rsidR="0037305A" w:rsidRPr="0037305A" w:rsidRDefault="0037305A" w:rsidP="0037305A">
            <w:pPr>
              <w:spacing w:before="100" w:beforeAutospacing="1" w:after="100" w:afterAutospacing="1" w:line="240" w:lineRule="auto"/>
              <w:jc w:val="center"/>
              <w:rPr>
                <w:rFonts w:ascii="Times New Roman" w:eastAsia="Times New Roman" w:hAnsi="Times New Roman" w:cs="Times New Roman"/>
                <w:b/>
                <w:bCs/>
                <w:kern w:val="0"/>
                <w14:ligatures w14:val="none"/>
              </w:rPr>
            </w:pPr>
            <w:r w:rsidRPr="0037305A">
              <w:rPr>
                <w:rFonts w:ascii="Times New Roman" w:eastAsia="Times New Roman" w:hAnsi="Times New Roman" w:cs="Times New Roman"/>
                <w:b/>
                <w:bCs/>
                <w:kern w:val="0"/>
                <w14:ligatures w14:val="none"/>
              </w:rPr>
              <w:t>Interpretation</w:t>
            </w:r>
          </w:p>
        </w:tc>
      </w:tr>
      <w:tr w:rsidR="0037305A" w:rsidRPr="0037305A" w14:paraId="3A5AF07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0BDB6BB"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Homozygous genotype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9180A96"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Compatible with suspected AR inheritance</w:t>
            </w:r>
          </w:p>
        </w:tc>
      </w:tr>
      <w:tr w:rsidR="0037305A" w:rsidRPr="0037305A" w14:paraId="0D350373"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C8B6A3"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Very low population frequency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8137324"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Supports rarity</w:t>
            </w:r>
          </w:p>
        </w:tc>
      </w:tr>
      <w:tr w:rsidR="0037305A" w:rsidRPr="0037305A" w14:paraId="7CB09A7F"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5D1FE50"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Computational predictions</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24160AFF"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Supportive but not definitive</w:t>
            </w:r>
          </w:p>
        </w:tc>
      </w:tr>
      <w:tr w:rsidR="0037305A" w:rsidRPr="0037305A" w14:paraId="0439C71A"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E23ED61"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ZNF423 established disease gene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35663A6"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Supports biological plausibility</w:t>
            </w:r>
          </w:p>
        </w:tc>
      </w:tr>
      <w:tr w:rsidR="0037305A" w:rsidRPr="0037305A" w14:paraId="018964B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3797E439"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Phenotypic overlap</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91B25E3"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Partially supportive</w:t>
            </w:r>
          </w:p>
        </w:tc>
      </w:tr>
      <w:tr w:rsidR="0037305A" w:rsidRPr="0037305A" w14:paraId="585C5D9D"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0EEA5006"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Known pathogenic variant at same residue</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E0CB3D9"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Not established from current evidence</w:t>
            </w:r>
          </w:p>
        </w:tc>
      </w:tr>
      <w:tr w:rsidR="0037305A" w:rsidRPr="0037305A" w14:paraId="30C51F1C"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A804718"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Segregation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5634559C"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Not available</w:t>
            </w:r>
          </w:p>
        </w:tc>
      </w:tr>
      <w:tr w:rsidR="0037305A" w:rsidRPr="0037305A" w14:paraId="36CD26E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15473C0F"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Functional assay</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D7B87B"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Not available</w:t>
            </w:r>
          </w:p>
        </w:tc>
      </w:tr>
      <w:tr w:rsidR="0037305A" w:rsidRPr="0037305A" w14:paraId="58602F74"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759DB5B"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Independent affected cases with same variant</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4D412CCA"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Requires verification</w:t>
            </w:r>
          </w:p>
        </w:tc>
      </w:tr>
      <w:tr w:rsidR="0037305A" w:rsidRPr="0037305A" w14:paraId="3BC9E289" w14:textId="77777777">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7D094875"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Final variant classification</w:t>
            </w:r>
          </w:p>
        </w:tc>
        <w:tc>
          <w:tcPr>
            <w:tcW w:w="0" w:type="auto"/>
            <w:tcBorders>
              <w:top w:val="single" w:sz="6" w:space="0" w:color="auto"/>
              <w:left w:val="single" w:sz="6" w:space="0" w:color="auto"/>
              <w:bottom w:val="single" w:sz="6" w:space="0" w:color="auto"/>
              <w:right w:val="single" w:sz="6" w:space="0" w:color="auto"/>
            </w:tcBorders>
            <w:noWrap/>
            <w:tcMar>
              <w:top w:w="120" w:type="dxa"/>
              <w:left w:w="180" w:type="dxa"/>
              <w:bottom w:w="120" w:type="dxa"/>
              <w:right w:w="180" w:type="dxa"/>
            </w:tcMar>
            <w:vAlign w:val="center"/>
            <w:hideMark/>
          </w:tcPr>
          <w:p w14:paraId="682DB01B"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VUS / candidate variant</w:t>
            </w:r>
          </w:p>
        </w:tc>
      </w:tr>
    </w:tbl>
    <w:p w14:paraId="4B047CBB"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Thus, the most defensible current interpretation is:</w:t>
      </w:r>
    </w:p>
    <w:p w14:paraId="0631FF68"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lastRenderedPageBreak/>
        <w:t>ZNF423: rare homozygous missense variant, currently best classified as a candidate/VUS rather than a confirmed pathogenic variant.</w:t>
      </w:r>
    </w:p>
    <w:p w14:paraId="471FFAB8" w14:textId="77777777" w:rsidR="0037305A" w:rsidRPr="0037305A" w:rsidRDefault="00C30AB2" w:rsidP="0037305A">
      <w:pPr>
        <w:spacing w:after="0" w:line="240" w:lineRule="auto"/>
        <w:rPr>
          <w:rFonts w:ascii="Times New Roman" w:eastAsia="Times New Roman" w:hAnsi="Times New Roman" w:cs="Times New Roman"/>
          <w:kern w:val="0"/>
          <w14:ligatures w14:val="none"/>
        </w:rPr>
      </w:pPr>
      <w:r>
        <w:rPr>
          <w:noProof/>
        </w:rPr>
      </w:r>
      <w:r>
        <w:pict w14:anchorId="71084CF8">
          <v:rect id="Horizontal Line 6"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0E238B1" w14:textId="77777777" w:rsidR="0037305A" w:rsidRPr="0037305A" w:rsidRDefault="0037305A" w:rsidP="003730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7305A">
        <w:rPr>
          <w:rFonts w:ascii="Times New Roman" w:eastAsia="Times New Roman" w:hAnsi="Times New Roman" w:cs="Times New Roman"/>
          <w:b/>
          <w:bCs/>
          <w:kern w:val="36"/>
          <w:sz w:val="48"/>
          <w:szCs w:val="48"/>
          <w14:ligatures w14:val="none"/>
        </w:rPr>
        <w:t>6. Conclusion</w:t>
      </w:r>
    </w:p>
    <w:p w14:paraId="71A59B97"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Whole-exome sequencing identified a rare homozygous missense variant in ZNF423 in an affected individual from a consanguineous family with severe neurodevelopmental abnormalities.</w:t>
      </w:r>
    </w:p>
    <w:p w14:paraId="794EE005"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combination of homozygosity, rarity, computational evidence, and the established association of ZNF423 with autosomal recessive ciliopathy makes this variant a strong candidate for further investigation.</w:t>
      </w:r>
    </w:p>
    <w:p w14:paraId="61F51CDF"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However, the available evidence does not currently establish a definitive molecular diagnosis. Further evaluation, including detailed phenotype assessment, standardized variant annotation, segregation analysis in affected and unaffected family members, and independent clinical or functional evidence, would be necessary to determine whether the ZNF423 variant is responsible for the phenotype.</w:t>
      </w:r>
    </w:p>
    <w:p w14:paraId="136176FF"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This case illustrates the importance of integrating family structure, phenotype, variant-level evidence, and gene-disease validity when interpreting WES data in consanguineous families.</w:t>
      </w:r>
    </w:p>
    <w:p w14:paraId="1D1EE244" w14:textId="77777777" w:rsidR="0037305A" w:rsidRPr="0037305A" w:rsidRDefault="00C30AB2" w:rsidP="0037305A">
      <w:pPr>
        <w:spacing w:after="0" w:line="240" w:lineRule="auto"/>
        <w:rPr>
          <w:rFonts w:ascii="Times New Roman" w:eastAsia="Times New Roman" w:hAnsi="Times New Roman" w:cs="Times New Roman"/>
          <w:kern w:val="0"/>
          <w14:ligatures w14:val="none"/>
        </w:rPr>
      </w:pPr>
      <w:r>
        <w:rPr>
          <w:noProof/>
        </w:rPr>
      </w:r>
      <w:r>
        <w:pict w14:anchorId="6470DD61">
          <v:rect id="Horizontal Line 7"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4DB0513" w14:textId="77777777" w:rsidR="0037305A" w:rsidRPr="0037305A" w:rsidRDefault="0037305A" w:rsidP="0037305A">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37305A">
        <w:rPr>
          <w:rFonts w:ascii="Times New Roman" w:eastAsia="Times New Roman" w:hAnsi="Times New Roman" w:cs="Times New Roman"/>
          <w:b/>
          <w:bCs/>
          <w:kern w:val="36"/>
          <w:sz w:val="48"/>
          <w:szCs w:val="48"/>
          <w14:ligatures w14:val="none"/>
        </w:rPr>
        <w:t>7. Recommended Next Steps</w:t>
      </w:r>
    </w:p>
    <w:p w14:paraId="215E707D"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Before this report is submitted as a scientific case report, the following analyses should be completed:</w:t>
      </w:r>
    </w:p>
    <w:p w14:paraId="3F0E22EF" w14:textId="77777777" w:rsidR="0037305A" w:rsidRPr="0037305A" w:rsidRDefault="0037305A" w:rsidP="0037305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Normalize the ZNF423 variant</w:t>
      </w:r>
    </w:p>
    <w:p w14:paraId="1C5EF528"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Confirm GRCh37 vs GRCh38.</w:t>
      </w:r>
    </w:p>
    <w:p w14:paraId="01EFBA34"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Confirm the exact genomic coordinate.</w:t>
      </w:r>
    </w:p>
    <w:p w14:paraId="64C718FB"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Use the current MANE transcript where available.</w:t>
      </w:r>
    </w:p>
    <w:p w14:paraId="451648F3"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Generate final HGVS c. and p. notation.</w:t>
      </w:r>
    </w:p>
    <w:p w14:paraId="02F9751D" w14:textId="77777777" w:rsidR="0037305A" w:rsidRPr="0037305A" w:rsidRDefault="0037305A" w:rsidP="0037305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Recheck the exact variant in ClinVar</w:t>
      </w:r>
    </w:p>
    <w:p w14:paraId="370E7D0D"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Search by genomic coordinate.</w:t>
      </w:r>
    </w:p>
    <w:p w14:paraId="41E03950"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Search by rsID.</w:t>
      </w:r>
    </w:p>
    <w:p w14:paraId="52037785"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Search by HGVS.</w:t>
      </w:r>
    </w:p>
    <w:p w14:paraId="6A0D11C4"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Record all submissions and dates.</w:t>
      </w:r>
    </w:p>
    <w:p w14:paraId="126F6DFD" w14:textId="77777777" w:rsidR="0037305A" w:rsidRPr="0037305A" w:rsidRDefault="0037305A" w:rsidP="0037305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Check gnomAD</w:t>
      </w:r>
    </w:p>
    <w:p w14:paraId="57DB37F5"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Confirm allele frequency.</w:t>
      </w:r>
    </w:p>
    <w:p w14:paraId="0FFEA2ED"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Check homozygote count.</w:t>
      </w:r>
    </w:p>
    <w:p w14:paraId="36BD074F"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lastRenderedPageBreak/>
        <w:t>Check ancestry-specific frequency.</w:t>
      </w:r>
    </w:p>
    <w:p w14:paraId="0CCE37CC" w14:textId="77777777" w:rsidR="0037305A" w:rsidRPr="0037305A" w:rsidRDefault="0037305A" w:rsidP="0037305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Check population databases</w:t>
      </w:r>
    </w:p>
    <w:p w14:paraId="5E3F3545"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gnomAD</w:t>
      </w:r>
    </w:p>
    <w:p w14:paraId="39EB7FB1"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TOPMed if available</w:t>
      </w:r>
    </w:p>
    <w:p w14:paraId="1A8E8B29"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1000 Genomes</w:t>
      </w:r>
    </w:p>
    <w:p w14:paraId="697D5FE9"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ExAC where historically relevant</w:t>
      </w:r>
    </w:p>
    <w:p w14:paraId="09D55A72" w14:textId="77777777" w:rsidR="0037305A" w:rsidRPr="0037305A" w:rsidRDefault="0037305A" w:rsidP="0037305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Check variant-level literature</w:t>
      </w:r>
    </w:p>
    <w:p w14:paraId="58FB7100"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Search the exact genomic variant.</w:t>
      </w:r>
    </w:p>
    <w:p w14:paraId="412ADF92"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Search the exact protein change.</w:t>
      </w:r>
    </w:p>
    <w:p w14:paraId="24CFC453"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Search the residue and surrounding region.</w:t>
      </w:r>
    </w:p>
    <w:p w14:paraId="51AB674A" w14:textId="77777777" w:rsidR="0037305A" w:rsidRPr="0037305A" w:rsidRDefault="0037305A" w:rsidP="0037305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Perform phenotype-driven analysis</w:t>
      </w:r>
    </w:p>
    <w:p w14:paraId="37A65222"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Compare the patient’s phenotype with ZNF423-associated phenotypes.</w:t>
      </w:r>
    </w:p>
    <w:p w14:paraId="02A9AA70"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Specifically look for renal disease, nephronophthisis, retinal/ocular abnormalities, cerebellar vermis abnormalities, and Joubert-related findings.</w:t>
      </w:r>
    </w:p>
    <w:p w14:paraId="41FC3420" w14:textId="77777777" w:rsidR="0037305A" w:rsidRPr="0037305A" w:rsidRDefault="0037305A" w:rsidP="0037305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Reanalyze the remaining WES candidates</w:t>
      </w:r>
    </w:p>
    <w:p w14:paraId="03687444"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Do not stop at ZNF423.</w:t>
      </w:r>
    </w:p>
    <w:p w14:paraId="59410781"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Search for second variants in genes represented by one heterozygous variant.</w:t>
      </w:r>
    </w:p>
    <w:p w14:paraId="2EC9BF8C"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Consider compound heterozygosity.</w:t>
      </w:r>
    </w:p>
    <w:p w14:paraId="0CC635FA"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Consider CNVs/SVs that WES may not detect reliably.</w:t>
      </w:r>
    </w:p>
    <w:p w14:paraId="2B1182AD"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Keep alternative inheritance models available.</w:t>
      </w:r>
    </w:p>
    <w:p w14:paraId="59CEEBEE" w14:textId="77777777" w:rsidR="0037305A" w:rsidRPr="0037305A" w:rsidRDefault="0037305A" w:rsidP="0037305A">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b/>
          <w:bCs/>
          <w:kern w:val="0"/>
          <w14:ligatures w14:val="none"/>
        </w:rPr>
        <w:t>If family DNA becomes available</w:t>
      </w:r>
    </w:p>
    <w:p w14:paraId="723DF56E"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Test the three affected siblings.</w:t>
      </w:r>
    </w:p>
    <w:p w14:paraId="4DFD7359"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Test unaffected siblings.</w:t>
      </w:r>
    </w:p>
    <w:p w14:paraId="0F3EF6E0"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Test both parents.</w:t>
      </w:r>
    </w:p>
    <w:p w14:paraId="7D91A52C" w14:textId="77777777" w:rsidR="0037305A" w:rsidRPr="0037305A" w:rsidRDefault="0037305A" w:rsidP="0037305A">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Establish whether the ZNF423 variant segregates with disease.</w:t>
      </w:r>
    </w:p>
    <w:p w14:paraId="577A72DB" w14:textId="77777777" w:rsidR="0037305A" w:rsidRPr="0037305A" w:rsidRDefault="0037305A" w:rsidP="0037305A">
      <w:pPr>
        <w:spacing w:before="100" w:beforeAutospacing="1" w:after="100" w:afterAutospacing="1" w:line="240" w:lineRule="auto"/>
        <w:rPr>
          <w:rFonts w:ascii="Times New Roman" w:eastAsia="Times New Roman" w:hAnsi="Times New Roman" w:cs="Times New Roman"/>
          <w:kern w:val="0"/>
          <w14:ligatures w14:val="none"/>
        </w:rPr>
      </w:pPr>
      <w:r w:rsidRPr="0037305A">
        <w:rPr>
          <w:rFonts w:ascii="Times New Roman" w:eastAsia="Times New Roman" w:hAnsi="Times New Roman" w:cs="Times New Roman"/>
          <w:kern w:val="0"/>
          <w14:ligatures w14:val="none"/>
        </w:rPr>
        <w:t>The strongest possible upgrade to this case would be finding the same homozygous variant in the other affected siblings while demonstrating that unaffected family members do not carry the homozygous genotype.</w:t>
      </w:r>
    </w:p>
    <w:p w14:paraId="52F5A728" w14:textId="77777777" w:rsidR="0048120C" w:rsidRDefault="0048120C" w:rsidP="00D936D1">
      <w:pPr>
        <w:rPr>
          <w:lang w:bidi="fa-IR"/>
        </w:rPr>
      </w:pPr>
    </w:p>
    <w:sectPr w:rsidR="0048120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6771216"/>
    <w:multiLevelType w:val="multilevel"/>
    <w:tmpl w:val="F5EC1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A302C48"/>
    <w:multiLevelType w:val="multilevel"/>
    <w:tmpl w:val="612A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9B4274"/>
    <w:multiLevelType w:val="multilevel"/>
    <w:tmpl w:val="35C8A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D206C55"/>
    <w:multiLevelType w:val="multilevel"/>
    <w:tmpl w:val="877C1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D5D66A5"/>
    <w:multiLevelType w:val="multilevel"/>
    <w:tmpl w:val="2AC4F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7275145">
    <w:abstractNumId w:val="1"/>
  </w:num>
  <w:num w:numId="2" w16cid:durableId="600457028">
    <w:abstractNumId w:val="0"/>
  </w:num>
  <w:num w:numId="3" w16cid:durableId="584652947">
    <w:abstractNumId w:val="2"/>
  </w:num>
  <w:num w:numId="4" w16cid:durableId="1812479301">
    <w:abstractNumId w:val="4"/>
  </w:num>
  <w:num w:numId="5" w16cid:durableId="1288780485">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305A"/>
    <w:rsid w:val="00024CA8"/>
    <w:rsid w:val="00064F17"/>
    <w:rsid w:val="000721BA"/>
    <w:rsid w:val="000A214D"/>
    <w:rsid w:val="00135843"/>
    <w:rsid w:val="00187C22"/>
    <w:rsid w:val="001A7F62"/>
    <w:rsid w:val="002450A6"/>
    <w:rsid w:val="002C3A5D"/>
    <w:rsid w:val="002D00E8"/>
    <w:rsid w:val="003059A9"/>
    <w:rsid w:val="00345A3E"/>
    <w:rsid w:val="0037305A"/>
    <w:rsid w:val="003B34A4"/>
    <w:rsid w:val="00454E1C"/>
    <w:rsid w:val="0048120C"/>
    <w:rsid w:val="004B778A"/>
    <w:rsid w:val="004C613F"/>
    <w:rsid w:val="00520B5D"/>
    <w:rsid w:val="0064135D"/>
    <w:rsid w:val="006878D7"/>
    <w:rsid w:val="006B7513"/>
    <w:rsid w:val="006F60B1"/>
    <w:rsid w:val="00721E37"/>
    <w:rsid w:val="00786DCA"/>
    <w:rsid w:val="00790E5C"/>
    <w:rsid w:val="007B3B9A"/>
    <w:rsid w:val="007F5AA6"/>
    <w:rsid w:val="007F7CCA"/>
    <w:rsid w:val="008273FF"/>
    <w:rsid w:val="0083680D"/>
    <w:rsid w:val="008449A8"/>
    <w:rsid w:val="00867D4D"/>
    <w:rsid w:val="0088399F"/>
    <w:rsid w:val="00967D43"/>
    <w:rsid w:val="00993BAC"/>
    <w:rsid w:val="009F5D36"/>
    <w:rsid w:val="00A156F9"/>
    <w:rsid w:val="00A4388C"/>
    <w:rsid w:val="00AB68EF"/>
    <w:rsid w:val="00AC1C90"/>
    <w:rsid w:val="00AD0DAD"/>
    <w:rsid w:val="00B52373"/>
    <w:rsid w:val="00B52850"/>
    <w:rsid w:val="00BF5564"/>
    <w:rsid w:val="00C30AB2"/>
    <w:rsid w:val="00C35169"/>
    <w:rsid w:val="00CF624F"/>
    <w:rsid w:val="00D20B50"/>
    <w:rsid w:val="00D46169"/>
    <w:rsid w:val="00D936D1"/>
    <w:rsid w:val="00DC660E"/>
    <w:rsid w:val="00DD3E4D"/>
    <w:rsid w:val="00DE621B"/>
    <w:rsid w:val="00E3708E"/>
    <w:rsid w:val="00E72B15"/>
    <w:rsid w:val="00F06127"/>
    <w:rsid w:val="00F276D5"/>
    <w:rsid w:val="00F36EEA"/>
    <w:rsid w:val="00F53924"/>
    <w:rsid w:val="00F60803"/>
    <w:rsid w:val="00FD0675"/>
    <w:rsid w:val="00FD360C"/>
    <w:rsid w:val="00FE359E"/>
    <w:rsid w:val="00FF71B9"/>
    <w:rsid w:val="00FF7C3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1C5C8E4E"/>
  <w15:chartTrackingRefBased/>
  <w15:docId w15:val="{FB6251B2-4773-E846-A03F-41D105145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30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3730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3730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30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30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30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0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0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0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0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3730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3730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30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30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30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0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0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05A"/>
    <w:rPr>
      <w:rFonts w:eastAsiaTheme="majorEastAsia" w:cstheme="majorBidi"/>
      <w:color w:val="272727" w:themeColor="text1" w:themeTint="D8"/>
    </w:rPr>
  </w:style>
  <w:style w:type="paragraph" w:styleId="Title">
    <w:name w:val="Title"/>
    <w:basedOn w:val="Normal"/>
    <w:next w:val="Normal"/>
    <w:link w:val="TitleChar"/>
    <w:uiPriority w:val="10"/>
    <w:qFormat/>
    <w:rsid w:val="003730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0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0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0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305A"/>
    <w:pPr>
      <w:spacing w:before="160"/>
      <w:jc w:val="center"/>
    </w:pPr>
    <w:rPr>
      <w:i/>
      <w:iCs/>
      <w:color w:val="404040" w:themeColor="text1" w:themeTint="BF"/>
    </w:rPr>
  </w:style>
  <w:style w:type="character" w:customStyle="1" w:styleId="QuoteChar">
    <w:name w:val="Quote Char"/>
    <w:basedOn w:val="DefaultParagraphFont"/>
    <w:link w:val="Quote"/>
    <w:uiPriority w:val="29"/>
    <w:rsid w:val="0037305A"/>
    <w:rPr>
      <w:i/>
      <w:iCs/>
      <w:color w:val="404040" w:themeColor="text1" w:themeTint="BF"/>
    </w:rPr>
  </w:style>
  <w:style w:type="paragraph" w:styleId="ListParagraph">
    <w:name w:val="List Paragraph"/>
    <w:basedOn w:val="Normal"/>
    <w:uiPriority w:val="34"/>
    <w:qFormat/>
    <w:rsid w:val="0037305A"/>
    <w:pPr>
      <w:ind w:left="720"/>
      <w:contextualSpacing/>
    </w:pPr>
  </w:style>
  <w:style w:type="character" w:styleId="IntenseEmphasis">
    <w:name w:val="Intense Emphasis"/>
    <w:basedOn w:val="DefaultParagraphFont"/>
    <w:uiPriority w:val="21"/>
    <w:qFormat/>
    <w:rsid w:val="0037305A"/>
    <w:rPr>
      <w:i/>
      <w:iCs/>
      <w:color w:val="2F5496" w:themeColor="accent1" w:themeShade="BF"/>
    </w:rPr>
  </w:style>
  <w:style w:type="paragraph" w:styleId="IntenseQuote">
    <w:name w:val="Intense Quote"/>
    <w:basedOn w:val="Normal"/>
    <w:next w:val="Normal"/>
    <w:link w:val="IntenseQuoteChar"/>
    <w:uiPriority w:val="30"/>
    <w:qFormat/>
    <w:rsid w:val="003730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305A"/>
    <w:rPr>
      <w:i/>
      <w:iCs/>
      <w:color w:val="2F5496" w:themeColor="accent1" w:themeShade="BF"/>
    </w:rPr>
  </w:style>
  <w:style w:type="character" w:styleId="IntenseReference">
    <w:name w:val="Intense Reference"/>
    <w:basedOn w:val="DefaultParagraphFont"/>
    <w:uiPriority w:val="32"/>
    <w:qFormat/>
    <w:rsid w:val="0037305A"/>
    <w:rPr>
      <w:b/>
      <w:bCs/>
      <w:smallCaps/>
      <w:color w:val="2F5496" w:themeColor="accent1" w:themeShade="BF"/>
      <w:spacing w:val="5"/>
    </w:rPr>
  </w:style>
  <w:style w:type="character" w:customStyle="1" w:styleId="s1">
    <w:name w:val="s1"/>
    <w:basedOn w:val="DefaultParagraphFont"/>
    <w:rsid w:val="0037305A"/>
  </w:style>
  <w:style w:type="paragraph" w:customStyle="1" w:styleId="p3">
    <w:name w:val="p3"/>
    <w:basedOn w:val="Normal"/>
    <w:rsid w:val="0037305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4">
    <w:name w:val="p4"/>
    <w:basedOn w:val="Normal"/>
    <w:rsid w:val="0037305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yperlink">
    <w:name w:val="Hyperlink"/>
    <w:basedOn w:val="DefaultParagraphFont"/>
    <w:uiPriority w:val="99"/>
    <w:semiHidden/>
    <w:unhideWhenUsed/>
    <w:rsid w:val="0037305A"/>
    <w:rPr>
      <w:color w:val="0000FF"/>
      <w:u w:val="single"/>
    </w:rPr>
  </w:style>
  <w:style w:type="paragraph" w:customStyle="1" w:styleId="p5">
    <w:name w:val="p5"/>
    <w:basedOn w:val="Normal"/>
    <w:rsid w:val="0037305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6">
    <w:name w:val="p6"/>
    <w:basedOn w:val="Normal"/>
    <w:rsid w:val="0037305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7">
    <w:name w:val="p7"/>
    <w:basedOn w:val="Normal"/>
    <w:rsid w:val="0037305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1">
    <w:name w:val="p1"/>
    <w:basedOn w:val="Normal"/>
    <w:rsid w:val="0037305A"/>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p2">
    <w:name w:val="p2"/>
    <w:basedOn w:val="Normal"/>
    <w:rsid w:val="00FD0675"/>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mc.ncbi.nlm.nih.gov/articles/PMC3433835/?utm_source=chatgpt.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earch.clinicalgenome.org/kb/conditions/MONDO%3A0005308/by-gene?utm_source=chatgpt.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pmc.ncbi.nlm.nih.gov/articles/PMC3433835/?utm_source=chatgpt.com" TargetMode="External"/><Relationship Id="rId11" Type="http://schemas.openxmlformats.org/officeDocument/2006/relationships/hyperlink" Target="https://www.ncbi.nlm.nih.gov/books/NBK368475/?utm_source=chatgpt.com" TargetMode="External"/><Relationship Id="rId5" Type="http://schemas.openxmlformats.org/officeDocument/2006/relationships/hyperlink" Target="https://search.clinicalgenome.org/kb/conditions/MONDO%3A0005308/by-gene?utm_source=chatgpt.com" TargetMode="External"/><Relationship Id="rId10" Type="http://schemas.openxmlformats.org/officeDocument/2006/relationships/hyperlink" Target="https://search.clinicalgenome.org/kb/gene-validity/CGGV%3Aassertion_c61623dd-07b1-41c5-b445-3f9f8575cc06-2024-06-26T04%3A00%3A00.000Z?utm_source=chatgpt.com" TargetMode="External"/><Relationship Id="rId4" Type="http://schemas.openxmlformats.org/officeDocument/2006/relationships/webSettings" Target="webSettings.xml"/><Relationship Id="rId9" Type="http://schemas.openxmlformats.org/officeDocument/2006/relationships/hyperlink" Target="https://pmc.ncbi.nlm.nih.gov/articles/PMC3433835/?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9</Pages>
  <Words>2478</Words>
  <Characters>14129</Characters>
  <Application>Microsoft Office Word</Application>
  <DocSecurity>0</DocSecurity>
  <Lines>117</Lines>
  <Paragraphs>33</Paragraphs>
  <ScaleCrop>false</ScaleCrop>
  <Company/>
  <LinksUpToDate>false</LinksUpToDate>
  <CharactersWithSpaces>16574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Hossein Navid</dc:creator>
  <cp:keywords/>
  <dc:description/>
  <cp:lastModifiedBy>Hossein Navid</cp:lastModifiedBy>
  <cp:revision>6</cp:revision>
  <dcterms:created xsi:type="dcterms:W3CDTF">2026-09-19T20:10:00Z</dcterms:created>
  <dcterms:modified xsi:type="dcterms:W3CDTF">2026-09-20T17:27:00Z</dcterms:modified>
</cp:coreProperties>
</file>