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jc w:val="center"/>
      </w:pPr>
      <w:r>
        <w:rPr>
          <w:sz w:val="48"/>
          <w:rFonts w:hint="eastAsia"/>
          <w:b w:val="1"/>
        </w:rPr>
        <w:t xml:space="preserve">ScanTool操作说明</w:t>
      </w:r>
      <w:r>
        <w:br w:type="textWrapping"/>
      </w:r>
      <w:r>
        <w:rPr>
          <w:sz w:val="48"/>
          <w:rFonts w:hint="eastAsia"/>
          <w:b w:val="1"/>
        </w:rPr>
      </w:r>
    </w:p>
    <w:p>
      <w:pPr>
        <w:ind/>
      </w:pPr>
      <w:r>
        <w:rPr>
          <w:color w:val="404040"/>
        </w:rPr>
        <w:t xml:space="preserve">扫描设备：使用RJ45（TCP/IP）时，点击“扫描设备”查询设备IP地址、Mac地址、端口、网络掩码、网关等</w:t>
      </w:r>
    </w:p>
    <w:p>
      <w:pPr>
        <w:ind/>
        <w:numPr>
          <w:ilvl w:val="0"/>
          <w:numId w:val="1"/>
        </w:numPr>
      </w:pPr>
      <w:r>
        <w:rPr>
          <w:rFonts w:hint="eastAsia"/>
        </w:rPr>
        <w:t xml:space="preserve">打开软件V1</w:t>
      </w:r>
      <w:r>
        <w:t xml:space="preserve">.2</w:t>
      </w:r>
      <w:r>
        <w:rPr>
          <w:rFonts w:hint="eastAsia"/>
        </w:rPr>
        <w:t xml:space="preserve">以上，点击扫描</w:t>
      </w:r>
    </w:p>
    <w:p>
      <w:pPr>
        <w:ind/>
      </w:pPr>
      <w:r>
        <w:rPr>
          <w:color w:val="FE0300"/>
        </w:rPr>
        <w:t xml:space="preserve">注：需打开软件V1.2以上版本（包括V1.2）</w:t>
      </w:r>
    </w:p>
    <w:p>
      <w:pPr/>
      <w:r/>
      <w:r>
        <w:drawing>
          <wp:inline distT="0" distB="0" distL="0" distR="0">
            <wp:extent cx="5276850" cy="2604962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5276850" cy="260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r>
        <w:rPr>
          <w:rFonts w:hint="eastAsia"/>
        </w:rPr>
        <w:t xml:space="preserve">2</w:t>
      </w:r>
      <w:r>
        <w:t xml:space="preserve">.</w:t>
      </w:r>
      <w:r>
        <w:rPr>
          <w:rFonts w:hint="eastAsia"/>
        </w:rPr>
        <w:t xml:space="preserve">弹出搜索窗，点击开始搜索</w:t>
      </w:r>
    </w:p>
    <w:p>
      <w:pPr/>
      <w:r/>
      <w:r>
        <w:drawing>
          <wp:inline distT="0" distB="0" distL="0" distR="0">
            <wp:extent cx="5276850" cy="3417960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5276850" cy="341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r>
        <w:rPr>
          <w:rFonts w:hint="eastAsia"/>
        </w:rPr>
        <w:t xml:space="preserve">3</w:t>
      </w:r>
      <w:r>
        <w:t xml:space="preserve">.</w:t>
      </w:r>
      <w:r>
        <w:rPr>
          <w:rFonts w:hint="eastAsia"/>
        </w:rPr>
        <w:t xml:space="preserve">搜索到设备后会显示读卡器，双击要修改的读卡器数据；</w:t>
      </w:r>
    </w:p>
    <w:p>
      <w:pPr/>
      <w:r/>
      <w:r>
        <w:drawing>
          <wp:inline distT="0" distB="0" distL="0" distR="0">
            <wp:extent cx="5276850" cy="3417960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5276850" cy="341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rPr>
          <w:color w:val="FF0000"/>
        </w:rPr>
      </w:pPr>
      <w:r>
        <w:rPr>
          <w:rFonts w:hint="eastAsia"/>
          <w:color w:val="FF0000"/>
        </w:rPr>
        <w:t xml:space="preserve">3</w:t>
      </w:r>
      <w:r>
        <w:rPr>
          <w:color w:val="FF0000"/>
        </w:rPr>
        <w:t xml:space="preserve">.1</w:t>
      </w:r>
      <w:r>
        <w:rPr>
          <w:rFonts w:hint="eastAsia"/>
          <w:color w:val="FF0000"/>
        </w:rPr>
        <w:t xml:space="preserve"> 若设备ip与本地ip不在一个网段，需要修改本地设备IP与设备ip在同一网络才能设置。</w:t>
      </w:r>
    </w:p>
    <w:p>
      <w:pPr>
        <w:rPr>
          <w:color w:val="FF0000"/>
        </w:rPr>
      </w:pPr>
      <w:r>
        <w:rPr>
          <w:rFonts w:hint="eastAsia"/>
          <w:color w:val="FF0000"/>
        </w:rPr>
        <w:t xml:space="preserve">例如本地ip为1</w:t>
      </w:r>
      <w:r>
        <w:rPr>
          <w:color w:val="FF0000"/>
        </w:rPr>
        <w:t xml:space="preserve">92.168.1.100</w:t>
      </w:r>
      <w:r>
        <w:rPr>
          <w:rFonts w:hint="eastAsia"/>
          <w:color w:val="FF0000"/>
        </w:rPr>
        <w:t xml:space="preserve">（网段为1</w:t>
      </w:r>
      <w:r>
        <w:rPr>
          <w:color w:val="FF0000"/>
        </w:rPr>
        <w:t xml:space="preserve">92.168.1</w:t>
      </w:r>
      <w:r>
        <w:rPr>
          <w:rFonts w:hint="eastAsia"/>
          <w:color w:val="FF0000"/>
        </w:rPr>
        <w:t xml:space="preserve">），读卡器ip为1</w:t>
      </w:r>
      <w:r>
        <w:rPr>
          <w:color w:val="FF0000"/>
        </w:rPr>
        <w:t xml:space="preserve">92.168.31.201</w:t>
      </w:r>
      <w:r>
        <w:rPr>
          <w:rFonts w:hint="eastAsia"/>
          <w:color w:val="FF0000"/>
        </w:rPr>
        <w:t xml:space="preserve">（网段为1</w:t>
      </w:r>
      <w:r>
        <w:rPr>
          <w:color w:val="FF0000"/>
        </w:rPr>
        <w:t xml:space="preserve">92.168.31</w:t>
      </w:r>
      <w:r>
        <w:rPr>
          <w:rFonts w:hint="eastAsia"/>
          <w:color w:val="FF0000"/>
        </w:rPr>
        <w:t xml:space="preserve">），需将本地ip地址修改为与读卡器同一网段</w:t>
      </w:r>
    </w:p>
    <w:p>
      <w:pPr>
        <w:rPr>
          <w:color w:val="FF0000"/>
        </w:rPr>
      </w:pPr>
      <w:r/>
    </w:p>
    <w:p>
      <w:pPr>
        <w:rPr>
          <w:color w:val="FF0000"/>
        </w:rPr>
      </w:pPr>
      <w:r>
        <w:rPr>
          <w:rFonts w:hint="eastAsia"/>
          <w:color w:val="FF0000"/>
        </w:rPr>
        <w:t xml:space="preserve">设置方法：</w:t>
      </w:r>
    </w:p>
    <w:p>
      <w:pPr>
        <w:rPr>
          <w:color w:val="FF0000"/>
        </w:rPr>
      </w:pPr>
      <w:r>
        <w:rPr>
          <w:rFonts w:hint="eastAsia"/>
          <w:color w:val="FF0000"/>
        </w:rPr>
        <w:t xml:space="preserve">控制面板</w:t>
      </w:r>
      <w:r>
        <w:rPr>
          <w:color w:val="FF0000"/>
        </w:rPr>
        <w:t xml:space="preserve">\网络和 Internet\网络连接</w:t>
      </w:r>
    </w:p>
    <w:p>
      <w:pPr>
        <w:rPr>
          <w:color w:val="FF0000"/>
        </w:rPr>
      </w:pPr>
      <w:r/>
    </w:p>
    <w:p>
      <w:pPr>
        <w:rPr>
          <w:rFonts w:hint="eastAsia"/>
          <w:color w:val="FF0000"/>
        </w:rPr>
      </w:pPr>
      <w:r/>
      <w:r>
        <w:drawing>
          <wp:inline distT="0" distB="0" distL="0" distR="0">
            <wp:extent cx="5274278" cy="4365022"/>
            <wp:effectExtent b="0" l="0" r="2572" t="0"/>
            <wp:docPr id="4" name="图片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5274278" cy="436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rPr>
          <w:color w:val="FF0000"/>
        </w:rPr>
      </w:pPr>
      <w:r/>
    </w:p>
    <w:p>
      <w:pPr>
        <w:rPr>
          <w:rFonts w:hint="eastAsia"/>
        </w:rPr>
      </w:pPr>
      <w:r/>
    </w:p>
    <w:p>
      <w:r>
        <w:rPr>
          <w:rFonts w:hint="eastAsia"/>
        </w:rPr>
        <w:t xml:space="preserve">4</w:t>
      </w:r>
      <w:r>
        <w:t xml:space="preserve">.</w:t>
      </w:r>
      <w:r>
        <w:rPr>
          <w:rFonts w:hint="eastAsia"/>
        </w:rPr>
        <w:t xml:space="preserve">弹出修改窗口，修改数据后点击设置；</w:t>
      </w:r>
    </w:p>
    <w:p>
      <w:r/>
      <w:r>
        <w:drawing>
          <wp:inline distT="0" distB="0" distL="0" distR="0">
            <wp:extent cx="5274278" cy="2086642"/>
            <wp:effectExtent b="8858" l="0" r="2572" t="0"/>
            <wp:docPr id="5" name="图片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5274278" cy="208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r>
        <w:rPr>
          <w:rFonts w:hint="eastAsia"/>
        </w:rPr>
        <w:t xml:space="preserve">4，设置成功</w:t>
      </w:r>
    </w:p>
    <w:p>
      <w:r/>
      <w:r>
        <w:drawing>
          <wp:inline distT="0" distB="0" distL="0" distR="0">
            <wp:extent cx="5274278" cy="3500723"/>
            <wp:effectExtent b="4477" l="0" r="2572" t="0"/>
            <wp:docPr id="6" name="图片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5274278" cy="350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sectPr>
      <w:pgSz w:w="11905.95" w:h="16837.95" w:orient="landscape"/>
      <w:pgMar w:top="1440" w:right="1800" w:bottom="1440" w:left="1800" w:header="850.95" w:footer="991.95" w:gutter="0"/>
      <w:docGrid w:linePitch="312" w:type="lines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1" w:styleId="a">
    <w:name w:val="Normal"/>
    <w:tcPr/>
    <w:pPr>
      <w:widowControl w:val="0"/>
    </w:pPr>
  </w:style>
  <w:style w:type="character" w:default="1" w:styleId="a0">
    <w:name w:val="Default Paragraph Font"/>
    <w:tcPr/>
  </w:style>
  <w:style w:type="table" w:default="1" w:styleId="a1">
    <w:name w:val="Normal Table"/>
    <w:tblPr>
      <w:tblStyle w:val="TableGrid"/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</w:style>
  <w:style w:type="numbering" w:default="1" w:styleId="a2">
    <w:name w:val="No List"/>
    <w:tcPr/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