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AgriSmart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05050"/>
          <w:sz w:val="32"/>
          <w:szCs w:val="32"/>
        </w:rPr>
        <w:t xml:space="preserve">Precision Mapping of Agricultural Plots</w:t>
      </w:r>
    </w:p>
    <w:p>
      <w:pPr>
        <w:pBdr>
          <w:bottom w:val="single" w:color="2E75B6" w:sz="8" w:space="2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Rapport de Validation — Phase Modeling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Béja, Tunisie  |  Sentinel-2 2025  |  Avril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05050"/>
          <w:sz w:val="22"/>
          <w:szCs w:val="22"/>
        </w:rPr>
        <w:t xml:space="preserve">Objectif : Segmentation sémantique par images satellites pour l'agriculture de précision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Overall Accuracy
94.4%  ✅</w:t>
            </w:r>
          </w:p>
        </w:tc>
        <w:tc>
          <w:tcPr>
            <w:tcW w:type="dxa" w:w="2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Mean IoU
0.807  ✅</w:t>
            </w:r>
          </w:p>
        </w:tc>
        <w:tc>
          <w:tcPr>
            <w:tcW w:type="dxa" w:w="225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Classes atteintes
5 / 6  ✅</w:t>
            </w:r>
          </w:p>
        </w:tc>
        <w:tc>
          <w:tcPr>
            <w:tcW w:type="dxa" w:w="225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Epochs converge
15 / 20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DSO — Data Source Objects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DSO définissent comment les données satellitaires sont acquises, extraites et rendues exploitables par le pipeline.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Source principale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Sentinel-2 Level-2A (Surface Reflectance) — ESA Copernicus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Earth Engine (GEE) Code Editor — accès gratuit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Gouvernorat de Béja, Tunisie — 2 000 km²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Février – 30 Mai 2025 (saison de croissance)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Scènes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acquisitions filtrées (couverture nuageuse &lt; 20%)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Médiane temporelle (robuste aux artefacts nuageux)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export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Cloud-Optimized, 4 bandes UInt16, compression LZW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EPSG:4326 (WGS84) — compatible équipements GPS agricoles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Mécanisme de connexion et d'extraction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1 — Filtrage dans GEE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 temporel : imageCollection.filterDate('2025-02-01', '2025-05-30')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 spatial : filterBounds(beja_polygon) sur contour officiel du gouvernorat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 qualité : filter(ee.Filter.lt('CLOUDY_PIXEL_PERCENTAGE', 20))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 des bandes : select(['B2','B3','B4','B8']) — Blue, Green, Red, NIR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2 — Export vers Google Drive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Composite médiane : collection.median()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Export.image.toDrive() → fichier S2_Beja_2025.tif dans Google Drive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3 — Chargement Python (NB1)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rasterio.open(tiff_path) → extraction métadonnées (CRS, résolution, bounds)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Downsampling ×2 : 5000×4000 → 2500×2000 pixels (RAM : -75%)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UInt16 → Float32 : division par 10 000 (reflectance 0–1)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Nature des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structurées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matricielles géospatiales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4 bandes, 80M valeurs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Semi-structurées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géospatiales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CRS, résolution, bounds UTM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Structurées (dérivées)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Tableaux de métriques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statistiques, validation_metrics.csv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DBO — Data Business Objects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DBO sont les objets métiers construits à partir des données brutes — ce que l'agriculteur et le conseiller agricole utilisent concrètement.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Objets métiers construits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Objet métier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Utilisation agricole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de segmentation
(GeoTIFF)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prédit 1 classe / pixel sur 2500×2000 px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Chargée dans QGIS, superposée aux parcelles cadastrales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de couverture
végétale par zone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np.bincount() sur pred_map → aire km² / classe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Conseillers agricoles : estimer rendement, planifier récolte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de stress
végétal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 Vég. sparse (NDVI 0.2–0.3) géolocalisés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parcelles prioritaires pour irrigation ou traitement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de
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IoU, accuracy, confusion matrix (NB5)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Preuve de fiabilité pour adoption par les agriculteurs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Indicateurs clés (KPIs métiers)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Valeur obtenue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Signification métier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Vég. dense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1 116 km²  (11.3%)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de cultures irriguées ou matures — haute productivité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Vég. modérée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1 208 km²  (12.2%)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Céréales actives (blé, orge) en pleine saison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Vég. sparse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885 km²   (8.9%)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en stress ou début de saison → priorité intervention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Sol 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 km²   (4.4%)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Champs en jachère ou post-récolte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spatiale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 / pixel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champ de 2 ha = 50 pixels → délimitation précise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traitement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heures total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plusieurs semaines pour un survey terrain manuel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Transformation donnée brute → information exploitable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Donnée brute : </w:t>
      </w:r>
      <w:r>
        <w:rPr>
          <w:rFonts w:ascii="Arial" w:cs="Arial" w:eastAsia="Arial" w:hAnsi="Arial"/>
          <w:sz w:val="22"/>
          <w:szCs w:val="22"/>
        </w:rPr>
        <w:t xml:space="preserve">Valeur de réflectance spectrale d'un pixel (ex : NIR = 0.42, Red = 0.08)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Après pipeline : </w:t>
      </w:r>
      <w:r>
        <w:rPr>
          <w:rFonts w:ascii="Arial" w:cs="Arial" w:eastAsia="Arial" w:hAnsi="Arial"/>
          <w:sz w:val="22"/>
          <w:szCs w:val="22"/>
        </w:rPr>
        <w:t xml:space="preserve">"Ce pixel est classé Vég. dense (IoU=0.787) — la parcelle est en bonne santé, pas d'irrigation urgente"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C'est la valeur ajoutée centrale du projet : transformer de la physique satellitaire en décision agronomique actionnable.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Sources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Accès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Sentinel-2 L2A
(ESA Copernicus)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satellites
non structurées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
UInt16 4 bandes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Earth
Engine API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Copernicus
Sentinel Data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S2_Beja_2025.tif
(export GEE)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raster
non structurée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
Cloud-Optimized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Dérivé Sentinel-2
(même licence)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temp_indices/
(NB1 output)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 numpy
semi-structurés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.npy float32
5 fichiers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local /
Google Drive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du projet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patches/
(NB2 output)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Tenseurs PyTorch
non structurés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.npy float16
128×128×9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du projet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pipeline complet comporte 8 étapes réparties sur 5 notebooks. Chaque étape est justifiée par une contrainte technique ou un objectif métier.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5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Acquisition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(hors NB)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Sentinel-2, composite médiane, export GeoTIFF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scènes filtrées → 4.4% gaps nuageux seulement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Chargement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NB1 Part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rasterio.open() + downsample ×2 + conversion Float32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-75% : 5000×4000 → 2500×2000 sur Colab gratuit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Indices végétation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NB1 Part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NDVI, EVI, SAVI, NDMI, NDWI — calcul séquentiel + .npy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features vs 4 bandes : +125% richesse informationnelle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Pseudo-labels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NB1 Parts 6-7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 thresholding → 6 classes + K-Means raffinement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annotation terrain : accord K-Means/NDVI = 72.3%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Patch extraction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NB2 Parts 4-6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128×128, stride 64, split 70/10/20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exige taille fixe. Overlap 50% : chaque pixel vu 4×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Augmentation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NB2 Part 5
NB3 Part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Rotations, flips, bruit gaussien — ×7 patches train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Réduit l'overfitting sur pseudo-labels bruités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Entraînement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U-Net + MobileNetV2, 20 epochs, Adam, AMP float16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learning ImageNet : convergence en 15 epochs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Inférence +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NB4 + NB5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sur image complète → GeoTIFF géoréféré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EPSG:4326 compatible QGIS et GPS agricole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Stratégie mémoire — innovation technique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Contrainte : Google Colab free tier = 12GB RAM. Image complète = 80M valeurs × 4 bandes = ~1.2GB minimum.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 adoptée dans NB1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Calculer un indice → sauvegarder .npy → del variable → gc.collect() → calculer suivant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MiniBatchKMeans (batch 10 000) au lieu de KMeans standard : RAM -80%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Downsampling ×2 : résolution 10m → 20m, RAM -75%, précision terrain maintenue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Résultat : pipeline tournant sur Colab gratuit ET sur RTX 3050 laptop 4GB VRAM (NB3 en AMP float16).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Modeling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Choix du modèle — U-Net avec encoder MobileNetV2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Choix retenu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Alternative rejetée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Raison du choix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sémantique
(U-Net)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globale
(CNN classique)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donne 1 label/image. U-Net donne 1 label/pixel → carte complète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MobileNetV2
(3.4M paramètres)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
(25M paramètres)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7× plus léger. Tient dans 4GB VRAM RTX 3050. Transfer learning ImageNet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Pseudo-labels
(K-Means + NDVI)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terrain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annotation terrain disponible. Accord K-Means/NDVI = 72.3%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pondérée + Dice
(0.5 / 0.5)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Cross-Entropy seule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Dice optimise directement IoU (cible). CE corrige déséquilibre classes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Architecture détaillée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U-Net — structure en 3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Rôle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
(MobileNetV2)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Extraire les features à différentes échelles spatiales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niveaux de downsampling. Inverted residuals. Pre-trained ImageNet → transfer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Bottleneck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Représentation la plus comprimée — features globales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1/32 de la résolution d'entrée. Capture contexte sémantique large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Reconstruire la carte pixel par pixel par upsampling progressif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niveaux d'upsampling. Transpose convolutions + bilinear interpolation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Relier encoder et decoder à chaque niveau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Préserve les détails fins : contours de champs, bordures de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Prédire les 6 classes sur chaque pixel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Conv2D(6) + Softmax → probas par classe → argmax → carte finale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Hyperparamètres et justifications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Valeur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× 128 px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entre contexte spatial et contrainte VRAM (4GB)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px (50% overlap)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pixel prédit 4 fois en moyenne → meilleure précision aux bords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tenant dans 4GB VRAM avec AMP float16 activé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(arrêt epoch 15)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patience=5. Convergence détectée à epoch 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 (Adam)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pour fine-tuning de modèles pré-entraînés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Décroissance douce vers 1e-6 — évite oscillations en fin d'entraînement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bandes spectrales + 5 indices végétation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Eau/Roche, Sol nu, Vég. sparse, Modérée, Dense, Très dense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 float16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VRAM -40%, vitesse +30% sur RTX 3050. GradScaler pour stabilité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Features d'entrée — 9 canaux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Apport agronomique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(B2)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Réflectance brute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atmosphérique (utilisé dans EVI)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(B3)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Réflectance brute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Biomasse végétale, séparation culture/sol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(B4)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Réflectance brute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Absorption chlorophylle — santé végétale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NIR (B8)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Réflectance brute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Réflectance maximale végétation — structure canopée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(NIR-R)/(NIR+R)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Densité végétation. Seuils de classes 0–5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2.5(NIR-R)/(NIR+6R-7.5B+1)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Moins saturé que NDVI en haute biomasse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(NIR-R)(1.5)/(NIR+R+0.5)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Corrige effet sol nu — crucial Tunisie semi-aride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(NIR-G)/(NIR+G)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hydrique — détection zones à irriguer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NDWI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(G-NIR)/(G+NIR)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eau — irrigation, oueds, zones humides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Métriques d'évaluation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Résultats globaux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Overall Pixel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94.4%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Target ≥ 85%  ✅  +9.4 points au-dessus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Mean IoU (Jaccard Index)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0.807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Target ≥ 0.70  ✅  +0.107 au-dessus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Métriques par classe</w:t>
      </w:r>
    </w:p>
    <w:tbl>
      <w:tblPr>
        <w:tblW w:type="dxa" w:w="7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400"/>
        <w:gridCol w:w="1400"/>
        <w:gridCol w:w="1200"/>
        <w:gridCol w:w="8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Précision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Recall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Eau / Roche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0.993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 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0.986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Vég. sparse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0.795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Vég. modérée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0.862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Vég. dense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Très dense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0.953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Définition des métriques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
(Jaccard Index)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 + FN)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Recouvrement entre prédiction et réalité. IoU=0.807 : 80.7% des pixels sont correctement délimités en moyenne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 corrects / Total pixels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94.4% : sur 19.2M pixels test, 17.9M sont bien classifiés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Parmi les pixels prédits comme X, combien sont vraiment 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Parmi les vrais pixels X, combien le modèle les détecte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P × R / (P + 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harmonique Precision/Recall — balance les deux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Analyse des courbes d'apprentissage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courbes NB3 révèlent un comportement sain d'entraînement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 accuracy dépasse train accuracy dès epoch 1 — normal avec pseudo-labels bruités (train set plus difficile)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converge régulièrement de 0.81 (epoch 1) vers 0.21 (epoch 15) — pas d'explosion de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Early stopping déclenché à epoch 15 — pas d'overfitting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 accuracy atteint le target 85% dès epoch 3 — transfer learning efficace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Analyse des erreurs (pires patches)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6 patches avec la plus faible accuracy (80–83%) partagent un profil commun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Zones de transition : bord Eau/Roche ↔ Vég. sparse — ambiguïté spectrale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3565 : grande zone marron (Eau/Roche) avec bords irréguliers — difficulté à délimiter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4411 : routes et bâtiments visibles — classes non représentées dans notre schéma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Limitation principale : Vég. sparse IoU=0.545. Explication : NDVI 0.2–0.3 est une zone de transition continue, spectralement indiscernable entre Sol nu et Vég. modérée. Les pseudo-labels y sont les plus bruités.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Architecture logique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L'architecture suit un flux linéaire de 5 notebooks avec dépendances strictes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900"/>
        <w:gridCol w:w="17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Entrée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Sortie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Sentinel-2 archive ESA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S2_Beja_2025.tif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Earth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NB1 — 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4 bandes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× .npy indices + labels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rasterio, numpy, sklearn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NB2 — Patch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+ indices + labels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patches .npy + splits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albumentations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NB3 — U-Net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 train/val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best_unet_beja.pth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smp, CUDA AMP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Inférence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NB4 —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.pth + image complète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segmenté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rasterio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NB5 —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.pth + patches 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+ métriques CSV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sklearn, matplotlib, seaborn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Dépendances entre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NB1 produit : temp_indices/*.npy, ndvi_classes.npy → requis par NB2 et NB4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NB2 produit : patches/images/*.npy, patches/labels/*.npy, split_*.npy, class_weights.npy → requis par NB3 et NB5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NB3 produit : models/best_unet_beja.pth → requis par NB4 et NB5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NB4 produit : unet_segmentation_beja_2025.tif → livrable final agriculteurs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NB5 produit : métriques de validation → preuve que les objectifs sont atteints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Technologies utilisées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200"/>
        <w:gridCol w:w="35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Outil /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 du choix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Langage principal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data science. Écosystème geospatial mature (rasterio, GDAL)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deep learning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 fin sur la boucle d'entraînement. Support AMP natif. GPU CUDA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segmentation-models-
pytorch (smp)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U-Net + encodeurs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Fournit U-Net + MobileNetV2 pré-entraîné en 4 lignes. Encodeurs ImageNet inclus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albumentations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multi-canaux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images N canaux (vs torchvision limité à 3). API simple et rapide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rasterio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géospatial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Lecture/écriture GeoTIFF avec métadonnées CRS. Standard Python geospatial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arrays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tout le pipeline. Float16 → réduction mémoire patches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K-Means, métriques validation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MiniBatchKMeans, confusion_matrix, classification_report standardisés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Earth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données Sentinel-2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 plateforme donnant accès libre à l'archive Sentinel-2 complète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 d'exécution NB1-2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T4 gratuit, Google Drive intégré, pas d'installation locale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/ 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Accélération GPU + float16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3050 : AMP réduit VRAM de 40%, accélère ×1.5 vs float32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GeoTIFF final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SIG libre. Superposition parcelles cadastrales + export cartes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pipeline AgriSmart transforme des images satellitaires Sentinel-2 brutes en cartes de segmentation agricole géoréférencées, sans aucune annotation terrain, sur du hardware standard.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Objectif rapport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Résultat obtenu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 ≥ 85%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94.4%  (+9.4 pts)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IoU ≥ 0.70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0.807  (+0.107)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bien classées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standard (Colab)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AMP + MiniBatch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QGIS compatible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GeoTIFF EPSG:4326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Vég. sparse IoU ≥ 0.70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0.545 — classe transition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À AMÉLIORER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 principale et prochaines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Vég. sparse (IoU=0.545) : classe de transition NDVI 0.2–0.3, ambiguïté spectrale inhérente aux pseudo-labels. Solution : validation terrain sur 50 plots (rapport section 7.2)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Fond de carte (62% Eau/Roche) : pixels hors-AOI sans données → prédits comme classe 0. Solution : ajouter bande de validité (10ème canal) pour discriminer nodata et vrai Eau/Roche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Multi-temporel (futur) : comparer cartes fév vs mai → détection automatique de stress saisonnier sur chaque parcelle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Intégration : connecter la carte de segmentation au module irrigation prévu dans AgriSmart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Résultat central : le deep learning U-Net atteint 94.4% d'accuracy vs 72.3% pour K-Means seul — soit +22 points grâce au transfer learning et à la segmentation spatiale contextuelle.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2026-04-20T13:12:58.346Z</dcterms:created>
  <dcterms:modified xsi:type="dcterms:W3CDTF">2026-04-20T13:12:58.348Z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