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no"?><Relationships xmlns="http://schemas.openxmlformats.org/package/2006/relationships"><Relationship Id="rId1" Target="docProps/app.xml" Type="http://schemas.openxmlformats.org/officeDocument/2006/relationships/extended-properties"/><Relationship Id="rId2" Target="docProps/core.xml" Type="http://schemas.openxmlformats.org/package/2006/relationships/metadata/core-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p14">
  <w:body>
    <w:p ns2:paraId="2ABF0222">
      <w:pPr>
        <w:rPr>
          <w:rFonts w:hint="default" w:ascii="Times New Roman" w:hAnsi="Times New Roman" w:cs="Times New Roman"/>
        </w:rPr>
      </w:pPr>
      <w:r>
        <w:rPr>
          <w:rFonts w:hint="default" w:ascii="Times New Roman" w:hAnsi="Times New Roman" w:cs="Times New Roman"/>
        </w:rPr>
        <w:t>尊敬的Frontiers编辑部:</w:t>
      </w:r>
    </w:p>
    <w:p ns2:paraId="56434E94">
      <w:pPr>
        <w:rPr>
          <w:rFonts w:hint="default" w:ascii="Times New Roman" w:hAnsi="Times New Roman" w:cs="Times New Roman"/>
        </w:rPr>
      </w:pPr>
      <w:r>
        <w:rPr>
          <w:rFonts w:hint="default" w:ascii="Times New Roman" w:hAnsi="Times New Roman" w:cs="Times New Roman"/>
        </w:rPr>
        <w:t>我现向贵刊提交题为《Directional Error Drift and Diagnostic Concordance in Computerized Dietary Tracking Across Global Food Cultures: A Tri-Cohort Safety Evaluation》（计算机辅助膳食监测在不同饮食文化下的方向性误差偏移与诊断一致性：一项三队列安全性评估）的论文手稿，拟投递至 Frontiers in Nutrition 的“Nutritional Methodology”（营养方法学）专栏。鉴于该论文的先前版本曾由贵刊审阅过，我想在此向编辑部做出几点诚恳的说明与澄清。</w:t>
      </w:r>
    </w:p>
    <w:p ns2:paraId="2842B380">
      <w:pPr>
        <w:rPr>
          <w:rFonts w:hint="default" w:ascii="Times New Roman" w:hAnsi="Times New Roman" w:cs="Times New Roman"/>
        </w:rPr>
      </w:pPr>
    </w:p>
    <w:p ns2:paraId="024D5CC4">
      <w:pPr>
        <w:jc w:val="left"/>
        <w:rPr>
          <w:rFonts w:hint="default" w:ascii="Times New Roman" w:hAnsi="Times New Roman" w:cs="Times New Roman"/>
        </w:rPr>
      </w:pPr>
      <w:r>
        <w:rPr>
          <w:rFonts w:hint="default" w:ascii="Times New Roman" w:hAnsi="Times New Roman" w:cs="Times New Roman"/>
        </w:rPr>
        <w:t>在前一次的提交中，编辑部信函提及：“Issues related to compliance with research integrity policies, journal guidelines, or any other essential editorial criteria were identified in this manuscript that prevent further review or publication.”作为回应，作者团队对 Frontiers 官方指南中列出的各项要求进行了逐条细致的重新核实（https://www.frontiersin.org/guidelines/policies-and-publication-ethics#AuthorshipAuthorResponsibilities）并完成了针对性的规范修订。具体修订工作包括：全面核实并控制全文字数，正文字数约为 8,106 词，符合 Frontiers in Nutrition 原创研究（Original Research）的篇幅规定；严格统一引文与参考文献为标准的 Frontiers Vancouver 顺序编码制格式；规范调整图表结构，全篇包含 3 幅独立高清插图与 5 个标准三线表，所有图片文件均按系统规范单独命名并独立上传；全面核查文本重复率与 AI 生成率，权威平台查重结果显示总体重复率为 12%，AI 文本检测率为 2%，均处于国际学术出版伦理公认的正常安全范围内，我们已准备好相关检测报告且可在退修阶段随时按要求提供；同时，所有作者郑重确认本研究所涉数据集均为合法合规开源数据，且不存在任何潜在的利益冲突。</w:t>
      </w:r>
    </w:p>
    <w:p ns2:paraId="7E4F3E94">
      <w:pPr>
        <w:rPr>
          <w:rFonts w:hint="default" w:ascii="Times New Roman" w:hAnsi="Times New Roman" w:cs="Times New Roman"/>
        </w:rPr>
      </w:pPr>
      <w:r>
        <w:rPr>
          <w:rFonts w:hint="default" w:ascii="Times New Roman" w:hAnsi="Times New Roman" w:cs="Times New Roman"/>
        </w:rPr>
        <w:t>此外，经过修订的文稿与 Frontiers in Nutrition 期刊及 Nutritional Methodology 专栏的收录范围高度契合。我们认真研读了该专栏的宗旨与征稿标准，该专栏明确征集关于膳食摄入测量方法学、营养评估工具可靠性、代谢健康监测以及新兴数字健康与人工智能算法验证的原创研究，这与本文的研究核心完全一致。本研究针对当前基于食物图像的深度回归模型普遍仅在北美机构食堂配餐盘上训练、跨饮食文化泛化性与方向性偏倚长期未明这一关键科学问题展开。依托涵盖 3,823 个标准化进餐实例的三队列基准（含 506 份 Nutrition5k 西方餐盘、1,833 份 FoodBD 南亚传统复合食谱以及 1,484 份 ECUSTFD 东亚独立菜肴），系统评估了受 Atwater 生理守恒约束的网络在跨人群迁移时的预测可靠性。研究发现未校准模型直接部署于南亚餐食时会引发严重的负向碳水化合物低估（平均偏差 -18.18 g，p = 8.64 × 10^-206），导致美国糖尿病协会推荐的胰岛素安全用药达标率骤降至 49.5%，半数以上餐食脱离治疗安全窗；在东亚菜品上则诱发显著正向热量偏倚（+134.7 kcal）。正交分解证实不透明基质下被掩盖的营养密度差异解释了超过 75% 的跨域方差，远超平面轮廓分割影响，而基于 50 份区域样本的就地校准即可使达标率恢复至 63.9% 并削减 39.6% 的热量误差。论文严格遵循 STROBE-nut 营养流行病学报告指南与 TRIPOD-AI 人工智能诊断预测模型规范，并开放了完整的代码与数据接口（https://github.com/Hajimi-Sudo/cross-cultural-diet-ai-bias-audit）。</w:t>
      </w:r>
    </w:p>
    <w:p ns2:paraId="2B664BC1">
      <w:pPr>
        <w:rPr>
          <w:rFonts w:hint="default" w:ascii="Times New Roman" w:hAnsi="Times New Roman" w:cs="Times New Roman"/>
        </w:rPr>
      </w:pPr>
    </w:p>
    <w:p ns2:paraId="58939DAE">
      <w:pPr>
        <w:rPr>
          <w:rFonts w:hint="default" w:ascii="Times New Roman" w:hAnsi="Times New Roman" w:cs="Times New Roman"/>
        </w:rPr>
      </w:pPr>
      <w:r>
        <w:rPr>
          <w:rFonts w:hint="default" w:ascii="Times New Roman" w:hAnsi="Times New Roman" w:cs="Times New Roman"/>
        </w:rPr>
        <w:t>综上所述，我们的文稿已完全遵循 Frontiers 的基本投稿指南、学术诚信政策与技术规范，并深度切合本专栏的核心议题。我们恳请编辑部给予本手稿进一步审阅与评估的机会，因为该研究揭示了视觉膳食人工智能在不同饮食文化中的方向性测量偏差与糖尿病临床用药安全风险，对推动全球数字营养监测的公平性与临床安全性具有切实的科学价值。鉴于此项研究对该领域可能做出的贡献，我们谨请贵刊重新考虑其决定，允许文稿进入学术编辑安排与同行评审阶段。即使文稿在后续同行评审阶段因专家意见被退稿，我们也能充分理解并完全接受，因为我们深切期盼能够获得 Frontiers 权威专家严谨、客观的专业评议。我们非常看重 Frontiers 杂志所秉持的严格学术标准，并且相信这项工作将为国际营养学界和数字医疗界带来显著价值。</w:t>
      </w:r>
    </w:p>
    <w:p ns2:paraId="7CADF821">
      <w:pPr>
        <w:rPr>
          <w:rFonts w:hint="default" w:ascii="Times New Roman" w:hAnsi="Times New Roman" w:cs="Times New Roman"/>
        </w:rPr>
      </w:pPr>
    </w:p>
    <w:p ns2:paraId="4D332858">
      <w:pPr>
        <w:rPr>
          <w:rFonts w:hint="default" w:ascii="Times New Roman" w:hAnsi="Times New Roman" w:cs="Times New Roman"/>
          <w:lang w:val="en-US" w:eastAsia="zh-CN"/>
        </w:rPr>
      </w:pPr>
      <w:r>
        <w:rPr>
          <w:rFonts w:hint="default" w:ascii="Times New Roman" w:hAnsi="Times New Roman" w:cs="Times New Roman"/>
          <w:lang w:val="en-US" w:eastAsia="zh-CN"/>
        </w:rPr>
        <w:t>通讯作者：梁伟军（Weijun Liang），刘翠翠（Cuicui Liu）</w:t>
      </w:r>
    </w:p>
    <w:p ns2:paraId="52DF949E">
      <w:pPr>
        <w:rPr>
          <w:rFonts w:hint="default" w:ascii="Times New Roman" w:hAnsi="Times New Roman" w:cs="Times New Roman"/>
          <w:lang w:val="en-US" w:eastAsia="zh-CN"/>
        </w:rPr>
      </w:pPr>
      <w:r>
        <w:rPr>
          <w:rFonts w:hint="default" w:ascii="Times New Roman" w:hAnsi="Times New Roman" w:cs="Times New Roman"/>
          <w:lang w:val="en-US" w:eastAsia="zh-CN"/>
        </w:rPr>
        <w:t>邮箱：2018050548@usc.edu.cn, liucuicui@csmu.edu.cn</w:t>
      </w:r>
    </w:p>
    <w:p ns2:paraId="7367C0C2">
      <w:pPr>
        <w:rPr>
          <w:rFonts w:hint="default" w:ascii="Times New Roman" w:hAnsi="Times New Roman" w:cs="Times New Roman"/>
          <w:lang w:val="en-US" w:eastAsia="zh-CN"/>
        </w:rPr>
      </w:pPr>
      <w:r>
        <w:rPr>
          <w:rFonts w:hint="default" w:ascii="Times New Roman" w:hAnsi="Times New Roman" w:cs="Times New Roman"/>
          <w:lang w:val="en-US" w:eastAsia="zh-CN"/>
        </w:rPr>
        <w:br w:type="page"/>
      </w:r>
    </w:p>
    <w:p ns2:paraId="43A521EF">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Subject: Appeal for Reconsideration of Manuscript Submission</w:t>
      </w:r>
    </w:p>
    <w:p ns2:paraId="28F23D5A">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Dear Frontiers Editorial Office,</w:t>
      </w:r>
    </w:p>
    <w:p ns2:paraId="77DB12FF">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I am writing to submit our manuscript entitled "Directional Error Drift and Diagnostic Concordance in Computerized Dietary Tracking Across Global Food Cultures: A Tri-Cohort Safety Evaluation" to Frontiers in Nutrition (Section: Nutritional Methodology). Since a previous version of this manuscript was reviewed by your journal, we would like to provide several clarifications regarding the revised submission.</w:t>
      </w:r>
    </w:p>
    <w:p ns2:paraId="02B950C1">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In the previous decision letter, it was stated that: "Issues related to compliance with research integrity policies, journal guidelines, or any other essential editorial criteria were identified in this manuscript that prevent further review or publication." In response, our team conducted a thorough re-examination of all relevant requirements listed in the official Frontiers guidelines, including the policies on publication ethics and authorship responsibilities (https://www.frontiersin.org/guidelines/policies-and-publication-ethics#AuthorshipAuthorResponsibilities). We have also completed all necessary revisions accordingly.</w:t>
      </w:r>
    </w:p>
    <w:p ns2:paraId="76A82CC2">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Specifically, we have revised the manuscript to ensure that the total word count complies with the journal requirements. The main text now contains approximately 8,106 words, which is within the standard word limit for an Original Research article in Frontiers in Nutrition. We have also corrected the reference style to conform strictly to the standard Frontiers in Nutrition Vancouver numbered format. In addition, we have adjusted the placement and formatting of tables and figures, and all three high-resolution figures will be submitted separately through the submission system as required. We have also verified the similarity rate and AI-generated content rate using professional academic screening tools. According to our checks, the similarity rate is 12% and the AI-generated content rate is 2%, both of which reside comfortably within acceptable editorial thresholds. If required, we are fully prepared to provide the official verification certificates during the revision stage. Furthermore, we confirm that all authors have declared no potential conflicts of interest.</w:t>
      </w:r>
    </w:p>
    <w:p ns2:paraId="43973B39">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In addition, the revised manuscript is directly aligned with the scope of Frontiers in Nutrition, specifically the Nutritional Methodology specialty section. We have carefully reviewed the aims and submission criteria of this section. The journal specifically invites submissions concerning dietary intake assessment validity, measurement error evaluation, and the clinical application of digital health and machine learning in nutritional surveillance. This is highly consistent with the type and focus of our manuscript. Our study addresses a critical and under-explored clinical safety challenge in dietary computer vision: the systematic directional error that arises when deep regression models trained on North American institutional dining plates are deployed across non-Western culinary traditions. Using a standardized tri-cohort benchmark comprising 3,823 eating instances across Western (Nutrition5k), South Asian (FoodBD), and East Asian (ECUSTFD) dishes, we show that uncalibrated transfer to South Asian dining induces severe carbohydrate underestimation (-18.18 g, p = 8.64 * 10^-206), reducing American Diabetes Association insulin dosing compliance to 49.5%. We further demonstrate via orthogonal error decomposition that unobserved ingredient densities within opaque preparations explain over 75% of cross-dataset variance, and that a localized 50-meal recalibration restores clinical compliance to 63.9%. The manuscript follows STROBE-nut and TRIPOD-AI reporting standards and provides an open-source repository (https://github.com/Hajimi-Sudo/cross-cultural-diet-ai-bias-audit).</w:t>
      </w:r>
    </w:p>
    <w:p ns2:paraId="1342D16E">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these reasons, we believe that our manuscript fully complies with the basic submission guidelines of Frontiers and is directly relevant to the theme of Frontiers in Nutrition. We respectfully request an opportunity for editorial reconsideration, as we believe that this manuscript offers solid scientific value, clinical safety implications, and algorithmic equity considerations for global nutrition. In light of the potential contribution of this study to the field, we kindly ask the journal to reconsider its decision and allow the manuscript to proceed to editorial assignment and peer review.</w:t>
      </w:r>
    </w:p>
    <w:p ns2:paraId="4AC57058">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We fully understand that the manuscript may still be rejected after peer review, and we would accept such an outcome. However, we sincerely hope that our manuscript can receive a fair and specialized evaluation by Frontiers reviewers. We highly value the rigorous standards upheld by Frontiers journals and believe that this work may provide meaningful value to the scientific community.</w:t>
      </w:r>
    </w:p>
    <w:p ns2:paraId="7A158E76">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Sincerely,</w:t>
      </w:r>
    </w:p>
    <w:p ns2:paraId="7D23C2DD">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Corresponding Authors: Weijun Liang (2018050548@usc.edu.cn), Cuicui Liu (liucuicui@csmu.edu.cn)</w:t>
      </w:r>
    </w:p>
    <w:p ns2:paraId="3CB47575">
      <w:pPr>
        <w:rPr>
          <w:rFonts w:hint="default" w:ascii="Times New Roman" w:hAnsi="Times New Roman" w:cs="Times New Roman"/>
          <w:lang w:val="en-US" w:eastAsia="zh-CN"/>
        </w:rPr>
      </w:pPr>
    </w:p>
    <w:sectPr>
      <w:footerReference w:type="first" ns3:id="rId5"/>
      <w:footerReference w:type="even" ns3:id="rId6"/>
      <w:footerReference w:type="default" ns3:id="rId7"/>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http://schemas.openxmlformats.org/wordprocessingml/2006/main">
  <w:p>
    <w:r>
      <w:drawing>
        <wp:anchor xmlns:wp="http://schemas.openxmlformats.org/drawingml/2006/wordprocessingDrawing" xmlns:r="http://schemas.openxmlformats.org/officeDocument/2006/relationships" distT="0" distB="0" distL="0" distR="0" simplePos="0" relativeHeight="1" behindDoc="0" locked="0" layoutInCell="1" allowOverlap="1">
          <wp:simplePos x="0" y="0"/>
          <wp:positionH relativeFrom="page">
            <wp:posOffset>6360160</wp:posOffset>
          </wp:positionH>
          <wp:positionV relativeFrom="page">
            <wp:posOffset>10196830</wp:posOffset>
          </wp:positionV>
          <wp:extent cx="1009650" cy="304800"/>
          <wp:effectExtent l="0" t="0" r="0" b="0"/>
          <wp:wrapNone/>
          <wp:docPr id="20577" name="Watermark 20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ext cx="1009650" cy="304800"/>
                  </a:xfrm>
                  <a:prstGeom prst="rect">
                    <a:avLst/>
                  </a:prstGeom>
                </pic:spPr>
              </pic:pic>
            </a:graphicData>
          </a:graphic>
        </wp:anchor>
      </w:drawing>
    </w:r>
  </w:p>
</w:ftr>
</file>

<file path=word/footer2.xml><?xml version="1.0" encoding="utf-8"?>
<w:ftr xmlns:w="http://schemas.openxmlformats.org/wordprocessingml/2006/main">
  <w:p>
    <w:r>
      <w:drawing>
        <wp:anchor xmlns:wp="http://schemas.openxmlformats.org/drawingml/2006/wordprocessingDrawing" xmlns:r="http://schemas.openxmlformats.org/officeDocument/2006/relationships" distT="0" distB="0" distL="0" distR="0" simplePos="0" relativeHeight="1" behindDoc="0" locked="0" layoutInCell="1" allowOverlap="1">
          <wp:simplePos x="0" y="0"/>
          <wp:positionH relativeFrom="page">
            <wp:posOffset>6360160</wp:posOffset>
          </wp:positionH>
          <wp:positionV relativeFrom="page">
            <wp:posOffset>10196830</wp:posOffset>
          </wp:positionV>
          <wp:extent cx="1009650" cy="304800"/>
          <wp:effectExtent l="0" t="0" r="0" b="0"/>
          <wp:wrapNone/>
          <wp:docPr id="20578" name="Watermark 20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ext cx="1009650" cy="304800"/>
                  </a:xfrm>
                  <a:prstGeom prst="rect">
                    <a:avLst/>
                  </a:prstGeom>
                </pic:spPr>
              </pic:pic>
            </a:graphicData>
          </a:graphic>
        </wp:anchor>
      </w:drawing>
    </w:r>
  </w:p>
</w:ftr>
</file>

<file path=word/footer3.xml><?xml version="1.0" encoding="utf-8"?>
<w:ftr xmlns:w="http://schemas.openxmlformats.org/wordprocessingml/2006/main">
  <w:p>
    <w:r>
      <w:drawing>
        <wp:anchor xmlns:wp="http://schemas.openxmlformats.org/drawingml/2006/wordprocessingDrawing" xmlns:r="http://schemas.openxmlformats.org/officeDocument/2006/relationships" distT="0" distB="0" distL="0" distR="0" simplePos="0" relativeHeight="1" behindDoc="0" locked="0" layoutInCell="1" allowOverlap="1">
          <wp:simplePos x="0" y="0"/>
          <wp:positionH relativeFrom="page">
            <wp:posOffset>6360160</wp:posOffset>
          </wp:positionH>
          <wp:positionV relativeFrom="page">
            <wp:posOffset>10196830</wp:posOffset>
          </wp:positionV>
          <wp:extent cx="1009650" cy="304800"/>
          <wp:effectExtent l="0" t="0" r="0" b="0"/>
          <wp:wrapNone/>
          <wp:docPr id="20579" name="Watermark 20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ext cx="1009650" cy="304800"/>
                  </a:xfrm>
                  <a:prstGeom prst="rect">
                    <a:avLst/>
                  </a:prstGeom>
                </pic:spPr>
              </pic:pic>
            </a:graphicData>
          </a:graphic>
        </wp:anchor>
      </w:drawing>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FA16927"/>
    <w:rsid w:val="00C15A3F"/>
    <w:rsid w:val="145012CD"/>
    <w:rsid w:val="1A4A30B1"/>
    <w:rsid w:val="1FA1692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32767"/>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iPriority="99"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Emphasis"/>
    <w:basedOn w:val="4"/>
    <w:qFormat/>
    <w:uiPriority w:val="0"/>
    <w:rPr>
      <w:i/>
    </w:rPr>
  </w:style>
  <w:style w:type="character" w:styleId="7">
    <w:name w:val="Hyperlink"/>
    <w:basedOn w:val="4"/>
    <w:uiPriority w:val="0"/>
    <w:rPr>
      <w:color w:val="0000FF"/>
      <w:u w:val="single"/>
    </w:rPr>
  </w:style>
</w:styles>
</file>

<file path=word/_rels/document.xml.rels><?xml version="1.0" encoding="UTF-8" standalone="no"?><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theme/theme1.xml" Type="http://schemas.openxmlformats.org/officeDocument/2006/relationships/theme"/><Relationship Id="rId4" Target="fontTable.xml" Type="http://schemas.openxmlformats.org/officeDocument/2006/relationships/fontTable"/><Relationship Id="rId5" Target="footer1.xml" Type="http://schemas.openxmlformats.org/officeDocument/2006/relationships/footer"/><Relationship Id="rId6" Target="footer2.xml" Type="http://schemas.openxmlformats.org/officeDocument/2006/relationships/footer"/><Relationship Id="rId7" Target="footer3.xml" Type="http://schemas.openxmlformats.org/officeDocument/2006/relationships/footer"/></Relationships>
</file>

<file path=word/_rels/footer1.xml.rels><?xml version="1.0" encoding="UTF-8" standalone="no"?><Relationships xmlns="http://schemas.openxmlformats.org/package/2006/relationships"><Relationship Id="rId1" Target="media/image1.png" Type="http://schemas.openxmlformats.org/officeDocument/2006/relationships/image"/></Relationships>
</file>

<file path=word/_rels/footer2.xml.rels><?xml version="1.0" encoding="UTF-8" standalone="no"?><Relationships xmlns="http://schemas.openxmlformats.org/package/2006/relationships"><Relationship Id="rId1" Target="media/image1.png" Type="http://schemas.openxmlformats.org/officeDocument/2006/relationships/image"/></Relationships>
</file>

<file path=word/_rels/footer3.xml.rels><?xml version="1.0" encoding="UTF-8" standalone="no"?><Relationships xmlns="http://schemas.openxmlformats.org/package/2006/relationships"><Relationship Id="rId1" Target="media/image1.png" Type="http://schemas.openxmlformats.org/officeDocument/2006/relationships/image"/></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1121</Words>
  <Characters>3906</Characters>
  <Lines>0</Lines>
  <Paragraphs>0</Paragraphs>
  <TotalTime>15</TotalTime>
  <ScaleCrop>false</ScaleCrop>
  <LinksUpToDate>false</LinksUpToDate>
  <CharactersWithSpaces>4413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2026-03-06T12:46:00Z</dcterms:created>
  <dc:creator>Diamond</dc:creator>
  <cp:lastModifiedBy>Diamond</cp:lastModifiedBy>
  <dcterms:modified xsi:type="dcterms:W3CDTF">2026-04-28T12:07:38Z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97CF534517144CF294D3385882C522C5_11</vt:lpwstr>
  </property>
  <property fmtid="{D5CDD505-2E9C-101B-9397-08002B2CF9AE}" pid="4" name="KSOTemplateDocerSaveRecord">
    <vt:lpwstr>eyJoZGlkIjoiNGE5ZWM0YTdiMWQyMTlkZWQ1OWEyNTRkYzk5NjYyZTUiLCJ1c2VySWQiOiIzMDEzODAwNTEifQ==</vt:lpwstr>
  </property>
</Properties>
</file>