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30CDF" w14:textId="77777777" w:rsidR="00EA1903" w:rsidRPr="00EA1903" w:rsidRDefault="00EA1903" w:rsidP="00EA1903">
      <w:pPr>
        <w:spacing w:after="160" w:line="256" w:lineRule="auto"/>
        <w:jc w:val="center"/>
        <w:rPr>
          <w:rFonts w:ascii="Times New Roman" w:eastAsia="Calibri" w:hAnsi="Times New Roman" w:cs="Times New Roman"/>
        </w:rPr>
      </w:pPr>
      <w:r w:rsidRPr="00EA1903">
        <w:rPr>
          <w:rFonts w:ascii="Times New Roman" w:eastAsia="Calibri" w:hAnsi="Times New Roman" w:cs="Times New Roman"/>
          <w:noProof/>
        </w:rPr>
        <w:drawing>
          <wp:inline distT="0" distB="0" distL="0" distR="0" wp14:anchorId="6C488ADF" wp14:editId="36048174">
            <wp:extent cx="4343400" cy="581025"/>
            <wp:effectExtent l="0" t="0" r="0" b="9525"/>
            <wp:docPr id="990612110" name="Picture 1" descr="New Horizon College of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Horizon College of Engineer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581025"/>
                    </a:xfrm>
                    <a:prstGeom prst="rect">
                      <a:avLst/>
                    </a:prstGeom>
                    <a:noFill/>
                    <a:ln>
                      <a:noFill/>
                    </a:ln>
                  </pic:spPr>
                </pic:pic>
              </a:graphicData>
            </a:graphic>
          </wp:inline>
        </w:drawing>
      </w:r>
    </w:p>
    <w:p w14:paraId="49E1A4BF" w14:textId="77777777" w:rsidR="00EA1903" w:rsidRPr="00EA1903" w:rsidRDefault="00EA1903" w:rsidP="00EA1903">
      <w:pPr>
        <w:spacing w:after="160" w:line="256" w:lineRule="auto"/>
        <w:jc w:val="center"/>
        <w:rPr>
          <w:rFonts w:ascii="Times New Roman" w:eastAsia="Calibri" w:hAnsi="Times New Roman" w:cs="Times New Roman"/>
        </w:rPr>
      </w:pPr>
    </w:p>
    <w:p w14:paraId="707A1624" w14:textId="77777777" w:rsidR="00EA1903" w:rsidRPr="00EA1903" w:rsidRDefault="00EA1903" w:rsidP="00EA1903">
      <w:pPr>
        <w:spacing w:after="160" w:line="256"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szCs w:val="32"/>
        </w:rPr>
        <w:t>Department of Artificial Intelligence &amp; Machine Learning</w:t>
      </w:r>
    </w:p>
    <w:p w14:paraId="16B04C5B" w14:textId="77777777" w:rsidR="00EA1903" w:rsidRPr="00EA1903" w:rsidRDefault="00EA1903" w:rsidP="00EA1903">
      <w:pPr>
        <w:spacing w:after="160" w:line="256"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szCs w:val="32"/>
        </w:rPr>
        <w:t>Academic Year 2025-26(EVEN)</w:t>
      </w:r>
    </w:p>
    <w:p w14:paraId="046DFA7B" w14:textId="77777777" w:rsidR="00EA1903" w:rsidRPr="00EA1903" w:rsidRDefault="00EA1903" w:rsidP="00EA1903">
      <w:pPr>
        <w:spacing w:after="160" w:line="256" w:lineRule="auto"/>
        <w:jc w:val="center"/>
        <w:rPr>
          <w:rFonts w:ascii="Times New Roman" w:eastAsia="Calibri" w:hAnsi="Times New Roman" w:cs="Times New Roman"/>
          <w:b/>
          <w:sz w:val="32"/>
          <w:szCs w:val="32"/>
        </w:rPr>
      </w:pPr>
    </w:p>
    <w:p w14:paraId="0A2EF5BD" w14:textId="77777777" w:rsidR="00EA1903" w:rsidRPr="00EA1903" w:rsidRDefault="00EA1903" w:rsidP="00EA1903">
      <w:pPr>
        <w:spacing w:after="160" w:line="256"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szCs w:val="32"/>
        </w:rPr>
        <w:t xml:space="preserve">Report </w:t>
      </w:r>
    </w:p>
    <w:p w14:paraId="4695F7DA" w14:textId="77777777" w:rsidR="00EA1903" w:rsidRPr="00EA1903" w:rsidRDefault="00EA1903" w:rsidP="00EA1903">
      <w:pPr>
        <w:spacing w:after="160" w:line="256"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szCs w:val="32"/>
        </w:rPr>
        <w:t>for</w:t>
      </w:r>
    </w:p>
    <w:p w14:paraId="025235C6" w14:textId="77777777" w:rsidR="00EA1903" w:rsidRPr="00EA1903" w:rsidRDefault="00EA1903" w:rsidP="00EA1903">
      <w:pPr>
        <w:spacing w:after="160" w:line="256"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szCs w:val="32"/>
        </w:rPr>
        <w:t>Mini project-I (24AIM48)</w:t>
      </w:r>
    </w:p>
    <w:p w14:paraId="26E59CA9" w14:textId="77777777" w:rsidR="00EA1903" w:rsidRPr="00EA1903" w:rsidRDefault="00EA1903" w:rsidP="00EA1903">
      <w:pPr>
        <w:spacing w:after="160" w:line="256"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szCs w:val="32"/>
        </w:rPr>
        <w:t xml:space="preserve">On </w:t>
      </w:r>
    </w:p>
    <w:p w14:paraId="51B7CDEC" w14:textId="2B0D5E5E" w:rsidR="00EA1903" w:rsidRPr="00EA1903" w:rsidRDefault="00EA1903" w:rsidP="00EA1903">
      <w:pPr>
        <w:spacing w:after="120" w:line="360"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rPr>
        <w:t>“</w:t>
      </w:r>
      <w:r w:rsidR="00F14BD1">
        <w:rPr>
          <w:rFonts w:ascii="Times New Roman" w:eastAsia="Calibri" w:hAnsi="Times New Roman" w:cs="Times New Roman"/>
          <w:b/>
          <w:sz w:val="32"/>
        </w:rPr>
        <w:t>MediAssist : AI Powered Medical Chatbot</w:t>
      </w:r>
      <w:r w:rsidRPr="00EA1903">
        <w:rPr>
          <w:rFonts w:ascii="Times New Roman" w:eastAsia="Calibri" w:hAnsi="Times New Roman" w:cs="Times New Roman"/>
          <w:b/>
          <w:sz w:val="32"/>
        </w:rPr>
        <w:t>”</w:t>
      </w:r>
    </w:p>
    <w:p w14:paraId="1363AF01" w14:textId="77777777" w:rsidR="00EA1903" w:rsidRPr="00EA1903" w:rsidRDefault="00EA1903" w:rsidP="00EA1903">
      <w:pPr>
        <w:spacing w:after="160" w:line="256" w:lineRule="auto"/>
        <w:jc w:val="center"/>
        <w:rPr>
          <w:rFonts w:ascii="Times New Roman" w:eastAsia="Calibri" w:hAnsi="Times New Roman" w:cs="Times New Roman"/>
          <w:sz w:val="32"/>
          <w:szCs w:val="32"/>
        </w:rPr>
      </w:pPr>
      <w:r w:rsidRPr="00EA1903">
        <w:rPr>
          <w:rFonts w:ascii="Times New Roman" w:eastAsia="Calibri" w:hAnsi="Times New Roman" w:cs="Times New Roman"/>
          <w:sz w:val="32"/>
          <w:szCs w:val="32"/>
        </w:rPr>
        <w:t xml:space="preserve"> By</w:t>
      </w:r>
    </w:p>
    <w:p w14:paraId="723D6BCA" w14:textId="556EDE15" w:rsidR="00EA1903" w:rsidRDefault="00EA1903" w:rsidP="00EA1903">
      <w:pPr>
        <w:spacing w:after="120" w:line="360" w:lineRule="auto"/>
        <w:jc w:val="center"/>
        <w:rPr>
          <w:rFonts w:ascii="Times New Roman" w:eastAsia="Calibri" w:hAnsi="Times New Roman" w:cs="Times New Roman"/>
          <w:b/>
          <w:sz w:val="32"/>
        </w:rPr>
      </w:pPr>
      <w:r w:rsidRPr="00EA1903">
        <w:rPr>
          <w:rFonts w:ascii="Times New Roman" w:eastAsia="Calibri" w:hAnsi="Times New Roman" w:cs="Times New Roman"/>
          <w:b/>
          <w:sz w:val="32"/>
        </w:rPr>
        <w:t>Adit</w:t>
      </w:r>
      <w:r>
        <w:rPr>
          <w:rFonts w:ascii="Times New Roman" w:eastAsia="Calibri" w:hAnsi="Times New Roman" w:cs="Times New Roman"/>
          <w:b/>
          <w:sz w:val="32"/>
        </w:rPr>
        <w:t>h</w:t>
      </w:r>
      <w:r w:rsidRPr="00EA1903">
        <w:rPr>
          <w:rFonts w:ascii="Times New Roman" w:eastAsia="Calibri" w:hAnsi="Times New Roman" w:cs="Times New Roman"/>
          <w:b/>
          <w:sz w:val="32"/>
        </w:rPr>
        <w:t xml:space="preserve">ya </w:t>
      </w:r>
      <w:r>
        <w:rPr>
          <w:rFonts w:ascii="Times New Roman" w:eastAsia="Calibri" w:hAnsi="Times New Roman" w:cs="Times New Roman"/>
          <w:b/>
          <w:sz w:val="32"/>
        </w:rPr>
        <w:t>K</w:t>
      </w:r>
      <w:r w:rsidRPr="00EA1903">
        <w:rPr>
          <w:rFonts w:ascii="Times New Roman" w:eastAsia="Calibri" w:hAnsi="Times New Roman" w:cs="Times New Roman"/>
          <w:b/>
          <w:sz w:val="32"/>
        </w:rPr>
        <w:t xml:space="preserve">                                               1NH24AI0</w:t>
      </w:r>
      <w:r>
        <w:rPr>
          <w:rFonts w:ascii="Times New Roman" w:eastAsia="Calibri" w:hAnsi="Times New Roman" w:cs="Times New Roman"/>
          <w:b/>
          <w:sz w:val="32"/>
        </w:rPr>
        <w:t>10</w:t>
      </w:r>
    </w:p>
    <w:p w14:paraId="61F6C487" w14:textId="42ECC5C9" w:rsidR="00EA1903" w:rsidRDefault="00EA1903" w:rsidP="00EA1903">
      <w:pPr>
        <w:spacing w:after="120" w:line="360" w:lineRule="auto"/>
        <w:jc w:val="center"/>
        <w:rPr>
          <w:rFonts w:ascii="Times New Roman" w:eastAsia="Calibri" w:hAnsi="Times New Roman" w:cs="Times New Roman"/>
          <w:b/>
          <w:sz w:val="32"/>
        </w:rPr>
      </w:pPr>
      <w:r>
        <w:rPr>
          <w:rFonts w:ascii="Times New Roman" w:eastAsia="Calibri" w:hAnsi="Times New Roman" w:cs="Times New Roman"/>
          <w:b/>
          <w:sz w:val="32"/>
        </w:rPr>
        <w:t>Hajira Aiman                                         1NH24AI050</w:t>
      </w:r>
    </w:p>
    <w:p w14:paraId="2DB55CD2" w14:textId="1F8DE1BB" w:rsidR="00EA1903" w:rsidRPr="00EA1903" w:rsidRDefault="00EA1903" w:rsidP="00EA1903">
      <w:pPr>
        <w:spacing w:after="120" w:line="360" w:lineRule="auto"/>
        <w:jc w:val="center"/>
        <w:rPr>
          <w:rFonts w:ascii="Times New Roman" w:eastAsia="Calibri" w:hAnsi="Times New Roman" w:cs="Times New Roman"/>
          <w:b/>
          <w:sz w:val="32"/>
          <w:szCs w:val="32"/>
        </w:rPr>
      </w:pPr>
      <w:r>
        <w:rPr>
          <w:rFonts w:ascii="Times New Roman" w:eastAsia="Calibri" w:hAnsi="Times New Roman" w:cs="Times New Roman"/>
          <w:b/>
          <w:sz w:val="32"/>
        </w:rPr>
        <w:t>Gopireddy Sahiti                                     1NH24AI047</w:t>
      </w:r>
    </w:p>
    <w:p w14:paraId="395D0797" w14:textId="77777777" w:rsidR="00EA1903" w:rsidRPr="00EA1903" w:rsidRDefault="00EA1903" w:rsidP="00EA1903">
      <w:pPr>
        <w:spacing w:after="160" w:line="256" w:lineRule="auto"/>
        <w:jc w:val="center"/>
        <w:rPr>
          <w:rFonts w:ascii="Times New Roman" w:eastAsia="Calibri" w:hAnsi="Times New Roman" w:cs="Times New Roman"/>
          <w:sz w:val="32"/>
          <w:szCs w:val="32"/>
        </w:rPr>
      </w:pPr>
    </w:p>
    <w:p w14:paraId="6CD8E40F" w14:textId="77777777" w:rsidR="00EA1903" w:rsidRPr="00EA1903" w:rsidRDefault="00EA1903" w:rsidP="00EA1903">
      <w:pPr>
        <w:spacing w:after="160" w:line="256" w:lineRule="auto"/>
        <w:rPr>
          <w:rFonts w:ascii="Times New Roman" w:eastAsia="Calibri" w:hAnsi="Times New Roman" w:cs="Times New Roman"/>
          <w:sz w:val="32"/>
          <w:szCs w:val="32"/>
        </w:rPr>
      </w:pPr>
    </w:p>
    <w:p w14:paraId="57B1F35B" w14:textId="77777777" w:rsidR="00EA1903" w:rsidRPr="00EA1903" w:rsidRDefault="00EA1903" w:rsidP="00EA1903">
      <w:pPr>
        <w:spacing w:after="160" w:line="256"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szCs w:val="32"/>
        </w:rPr>
        <w:t>Under the Guidance of</w:t>
      </w:r>
    </w:p>
    <w:p w14:paraId="60D1D714" w14:textId="0BF4102F" w:rsidR="00EA1903" w:rsidRPr="00EA1903" w:rsidRDefault="00EA1903" w:rsidP="00EA1903">
      <w:pPr>
        <w:spacing w:after="120" w:line="360"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rPr>
        <w:t xml:space="preserve">Prof. </w:t>
      </w:r>
      <w:r w:rsidR="00F14BD1">
        <w:rPr>
          <w:rFonts w:ascii="Times New Roman" w:eastAsia="Calibri" w:hAnsi="Times New Roman" w:cs="Times New Roman"/>
          <w:b/>
          <w:sz w:val="32"/>
        </w:rPr>
        <w:t>Manoj Kumar</w:t>
      </w:r>
    </w:p>
    <w:p w14:paraId="6D34FF1E" w14:textId="77777777" w:rsidR="00EA1903" w:rsidRPr="00EA1903" w:rsidRDefault="00EA1903" w:rsidP="00EA1903">
      <w:pPr>
        <w:spacing w:after="120" w:line="360"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rPr>
        <w:t>Assistant Professor</w:t>
      </w:r>
    </w:p>
    <w:p w14:paraId="252C0E79" w14:textId="77777777" w:rsidR="00EA1903" w:rsidRPr="00EA1903" w:rsidRDefault="00EA1903" w:rsidP="00EA1903">
      <w:pPr>
        <w:spacing w:after="160" w:line="256"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szCs w:val="32"/>
        </w:rPr>
        <w:t>Dept. of Artificial Intelligence &amp; Machine Learning,</w:t>
      </w:r>
    </w:p>
    <w:p w14:paraId="2633F314" w14:textId="77777777" w:rsidR="00EA1903" w:rsidRPr="00EA1903" w:rsidRDefault="00EA1903" w:rsidP="00EA1903">
      <w:pPr>
        <w:spacing w:after="160" w:line="256"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szCs w:val="32"/>
        </w:rPr>
        <w:t>New Horizon College of Engineering,</w:t>
      </w:r>
    </w:p>
    <w:p w14:paraId="320105CE" w14:textId="77777777" w:rsidR="00EA1903" w:rsidRPr="00EA1903" w:rsidRDefault="00EA1903" w:rsidP="00EA1903">
      <w:pPr>
        <w:spacing w:after="160" w:line="256" w:lineRule="auto"/>
        <w:jc w:val="center"/>
        <w:rPr>
          <w:rFonts w:ascii="Times New Roman" w:eastAsia="Calibri" w:hAnsi="Times New Roman" w:cs="Times New Roman"/>
          <w:b/>
          <w:sz w:val="32"/>
          <w:szCs w:val="32"/>
        </w:rPr>
      </w:pPr>
      <w:r w:rsidRPr="00EA1903">
        <w:rPr>
          <w:rFonts w:ascii="Times New Roman" w:eastAsia="Calibri" w:hAnsi="Times New Roman" w:cs="Times New Roman"/>
          <w:b/>
          <w:sz w:val="32"/>
          <w:szCs w:val="32"/>
        </w:rPr>
        <w:t>Bangalore-560103</w:t>
      </w:r>
    </w:p>
    <w:p w14:paraId="0DCC41DD" w14:textId="77777777" w:rsidR="003B729E" w:rsidRDefault="00000000">
      <w:r>
        <w:br w:type="page"/>
      </w:r>
    </w:p>
    <w:p w14:paraId="569B6D6B" w14:textId="77777777" w:rsidR="00E367FA" w:rsidRPr="00E367FA" w:rsidRDefault="00E367FA" w:rsidP="00E367FA">
      <w:pPr>
        <w:spacing w:after="160" w:line="256" w:lineRule="auto"/>
        <w:jc w:val="center"/>
        <w:rPr>
          <w:rFonts w:ascii="Times New Roman" w:eastAsia="Calibri" w:hAnsi="Times New Roman" w:cs="Times New Roman"/>
        </w:rPr>
      </w:pPr>
      <w:r w:rsidRPr="00E367FA">
        <w:rPr>
          <w:rFonts w:ascii="Times New Roman" w:eastAsia="Calibri" w:hAnsi="Times New Roman" w:cs="Times New Roman"/>
          <w:noProof/>
        </w:rPr>
        <w:lastRenderedPageBreak/>
        <w:drawing>
          <wp:inline distT="0" distB="0" distL="0" distR="0" wp14:anchorId="1C37A586" wp14:editId="1DD5D050">
            <wp:extent cx="4343400" cy="581025"/>
            <wp:effectExtent l="0" t="0" r="0" b="9525"/>
            <wp:docPr id="973327417" name="Picture 2" descr="New Horizon College of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Horizon College of Engineer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581025"/>
                    </a:xfrm>
                    <a:prstGeom prst="rect">
                      <a:avLst/>
                    </a:prstGeom>
                    <a:noFill/>
                    <a:ln>
                      <a:noFill/>
                    </a:ln>
                  </pic:spPr>
                </pic:pic>
              </a:graphicData>
            </a:graphic>
          </wp:inline>
        </w:drawing>
      </w:r>
    </w:p>
    <w:p w14:paraId="23C175B8" w14:textId="77777777" w:rsidR="00E367FA" w:rsidRPr="00E367FA" w:rsidRDefault="00E367FA" w:rsidP="00E367FA">
      <w:pPr>
        <w:spacing w:after="160" w:line="256" w:lineRule="auto"/>
        <w:jc w:val="center"/>
        <w:rPr>
          <w:rFonts w:ascii="Times New Roman" w:eastAsia="Calibri" w:hAnsi="Times New Roman" w:cs="Times New Roman"/>
        </w:rPr>
      </w:pPr>
    </w:p>
    <w:p w14:paraId="4FCDD122" w14:textId="77777777" w:rsidR="00E367FA" w:rsidRPr="00E367FA" w:rsidRDefault="00E367FA" w:rsidP="00E367FA">
      <w:pPr>
        <w:spacing w:after="160" w:line="256" w:lineRule="auto"/>
        <w:jc w:val="center"/>
        <w:rPr>
          <w:rFonts w:ascii="Times New Roman" w:eastAsia="Calibri" w:hAnsi="Times New Roman" w:cs="Times New Roman"/>
          <w:b/>
          <w:sz w:val="32"/>
          <w:szCs w:val="32"/>
        </w:rPr>
      </w:pPr>
      <w:r w:rsidRPr="00E367FA">
        <w:rPr>
          <w:rFonts w:ascii="Times New Roman" w:eastAsia="Calibri" w:hAnsi="Times New Roman" w:cs="Times New Roman"/>
          <w:b/>
          <w:sz w:val="32"/>
          <w:szCs w:val="32"/>
        </w:rPr>
        <w:t>Department of Artificial Intelligence &amp; Machine Learning</w:t>
      </w:r>
    </w:p>
    <w:p w14:paraId="25DCF585" w14:textId="77777777" w:rsidR="00E367FA" w:rsidRPr="00E367FA" w:rsidRDefault="00E367FA" w:rsidP="00E367FA">
      <w:pPr>
        <w:spacing w:after="160" w:line="256" w:lineRule="auto"/>
        <w:jc w:val="center"/>
        <w:rPr>
          <w:rFonts w:ascii="Times New Roman" w:eastAsia="Calibri" w:hAnsi="Times New Roman" w:cs="Times New Roman"/>
          <w:color w:val="000000"/>
          <w:sz w:val="32"/>
          <w:szCs w:val="32"/>
        </w:rPr>
      </w:pPr>
      <w:r w:rsidRPr="00E367FA">
        <w:rPr>
          <w:rFonts w:ascii="Times New Roman" w:eastAsia="Calibri" w:hAnsi="Times New Roman" w:cs="Times New Roman"/>
          <w:color w:val="000000"/>
          <w:sz w:val="32"/>
          <w:szCs w:val="32"/>
        </w:rPr>
        <w:t>CERTIFICATE</w:t>
      </w:r>
    </w:p>
    <w:p w14:paraId="28C3C5EF" w14:textId="77777777" w:rsidR="00E367FA" w:rsidRPr="00E367FA" w:rsidRDefault="00E367FA" w:rsidP="00E367FA">
      <w:pPr>
        <w:spacing w:after="160" w:line="256" w:lineRule="auto"/>
        <w:jc w:val="center"/>
        <w:rPr>
          <w:rFonts w:ascii="Times New Roman" w:eastAsia="Calibri" w:hAnsi="Times New Roman" w:cs="Times New Roman"/>
          <w:color w:val="000000"/>
          <w:sz w:val="32"/>
          <w:szCs w:val="32"/>
        </w:rPr>
      </w:pPr>
    </w:p>
    <w:p w14:paraId="798D3AC3" w14:textId="57BEAF7A" w:rsidR="00E367FA" w:rsidRPr="00E367FA" w:rsidRDefault="00E367FA" w:rsidP="00E367FA">
      <w:pPr>
        <w:autoSpaceDE w:val="0"/>
        <w:autoSpaceDN w:val="0"/>
        <w:adjustRightInd w:val="0"/>
        <w:spacing w:after="240" w:line="360" w:lineRule="auto"/>
        <w:ind w:left="270"/>
        <w:jc w:val="both"/>
        <w:rPr>
          <w:rFonts w:ascii="Times New Roman" w:eastAsia="Calibri" w:hAnsi="Times New Roman" w:cs="Times New Roman"/>
          <w:sz w:val="28"/>
          <w:szCs w:val="28"/>
        </w:rPr>
      </w:pPr>
      <w:r w:rsidRPr="00E367FA">
        <w:rPr>
          <w:rFonts w:ascii="Times New Roman" w:eastAsia="Calibri" w:hAnsi="Times New Roman" w:cs="Times New Roman"/>
          <w:sz w:val="28"/>
        </w:rPr>
        <w:t>Certified that the Mini Project-I with the subject code 24AIM48 work entitled “</w:t>
      </w:r>
      <w:r w:rsidR="00F14BD1">
        <w:rPr>
          <w:rFonts w:ascii="Times New Roman" w:eastAsia="Calibri" w:hAnsi="Times New Roman" w:cs="Times New Roman"/>
          <w:b/>
          <w:sz w:val="32"/>
        </w:rPr>
        <w:t>MediAssist : AI Powered Medical Chatbot</w:t>
      </w:r>
      <w:r w:rsidRPr="00E367FA">
        <w:rPr>
          <w:rFonts w:ascii="Times New Roman" w:eastAsia="Calibri" w:hAnsi="Times New Roman" w:cs="Times New Roman"/>
          <w:sz w:val="28"/>
        </w:rPr>
        <w:t>” carried out by Mr. Aditya</w:t>
      </w:r>
      <w:r w:rsidR="00F14BD1">
        <w:rPr>
          <w:rFonts w:ascii="Times New Roman" w:eastAsia="Calibri" w:hAnsi="Times New Roman" w:cs="Times New Roman"/>
          <w:sz w:val="28"/>
        </w:rPr>
        <w:t xml:space="preserve"> K</w:t>
      </w:r>
      <w:r w:rsidRPr="00E367FA">
        <w:rPr>
          <w:rFonts w:ascii="Times New Roman" w:eastAsia="Calibri" w:hAnsi="Times New Roman" w:cs="Times New Roman"/>
          <w:sz w:val="28"/>
        </w:rPr>
        <w:t>, USN 1NH24AI001</w:t>
      </w:r>
      <w:r w:rsidR="00F14BD1">
        <w:rPr>
          <w:rFonts w:ascii="Times New Roman" w:eastAsia="Calibri" w:hAnsi="Times New Roman" w:cs="Times New Roman"/>
          <w:sz w:val="28"/>
        </w:rPr>
        <w:t>; Ms. Hajira Aiman, USN 1NH24AI050; Ms. Gopireddy Sahiti, USN 1NH24AI047</w:t>
      </w:r>
      <w:r w:rsidRPr="00E367FA">
        <w:rPr>
          <w:rFonts w:ascii="Times New Roman" w:eastAsia="Calibri" w:hAnsi="Times New Roman" w:cs="Times New Roman"/>
          <w:sz w:val="28"/>
        </w:rPr>
        <w:t>. It is certified that all corrections/suggestions indicated for Internal Assessment have been incorporated in the report. The project report has been approved as it satisfies the academic requirements in respect of Mini Project work.</w:t>
      </w:r>
    </w:p>
    <w:p w14:paraId="3A143BFB" w14:textId="77777777" w:rsidR="00E367FA" w:rsidRPr="00E367FA" w:rsidRDefault="00E367FA" w:rsidP="00E367FA">
      <w:pPr>
        <w:autoSpaceDE w:val="0"/>
        <w:autoSpaceDN w:val="0"/>
        <w:adjustRightInd w:val="0"/>
        <w:spacing w:after="160" w:line="360" w:lineRule="auto"/>
        <w:ind w:left="270"/>
        <w:jc w:val="both"/>
        <w:rPr>
          <w:rFonts w:ascii="Times New Roman" w:eastAsia="FreeSans" w:hAnsi="Times New Roman" w:cs="Times New Roman"/>
          <w:sz w:val="28"/>
          <w:szCs w:val="28"/>
        </w:rPr>
      </w:pPr>
    </w:p>
    <w:p w14:paraId="354DF0D0" w14:textId="26DA3399" w:rsidR="00E367FA" w:rsidRPr="00E367FA" w:rsidRDefault="00E367FA" w:rsidP="00F14BD1">
      <w:pPr>
        <w:autoSpaceDE w:val="0"/>
        <w:autoSpaceDN w:val="0"/>
        <w:adjustRightInd w:val="0"/>
        <w:spacing w:after="120" w:line="360" w:lineRule="auto"/>
        <w:ind w:firstLine="270"/>
        <w:rPr>
          <w:rFonts w:ascii="Times New Roman" w:eastAsia="FreeSans" w:hAnsi="Times New Roman" w:cs="Times New Roman"/>
          <w:b/>
        </w:rPr>
      </w:pPr>
      <w:r w:rsidRPr="00E367FA">
        <w:rPr>
          <w:rFonts w:ascii="Times New Roman" w:eastAsia="Calibri" w:hAnsi="Times New Roman" w:cs="Times New Roman"/>
          <w:b/>
          <w:sz w:val="24"/>
        </w:rPr>
        <w:t xml:space="preserve">Prof. </w:t>
      </w:r>
      <w:r w:rsidR="00F14BD1">
        <w:rPr>
          <w:rFonts w:ascii="Times New Roman" w:eastAsia="Calibri" w:hAnsi="Times New Roman" w:cs="Times New Roman"/>
          <w:b/>
          <w:sz w:val="24"/>
        </w:rPr>
        <w:t>Manoj Kumar</w:t>
      </w:r>
      <w:r w:rsidRPr="00E367FA">
        <w:rPr>
          <w:rFonts w:ascii="Times New Roman" w:eastAsia="Calibri" w:hAnsi="Times New Roman" w:cs="Times New Roman"/>
          <w:b/>
          <w:sz w:val="24"/>
        </w:rPr>
        <w:t xml:space="preserve">               </w:t>
      </w:r>
      <w:r w:rsidRPr="00E367FA">
        <w:rPr>
          <w:rFonts w:ascii="Times New Roman" w:eastAsia="Calibri" w:hAnsi="Times New Roman" w:cs="Times New Roman"/>
          <w:b/>
          <w:sz w:val="24"/>
        </w:rPr>
        <w:tab/>
      </w:r>
      <w:r w:rsidRPr="00E367FA">
        <w:rPr>
          <w:rFonts w:ascii="Times New Roman" w:eastAsia="Calibri" w:hAnsi="Times New Roman" w:cs="Times New Roman"/>
          <w:b/>
          <w:sz w:val="24"/>
        </w:rPr>
        <w:tab/>
      </w:r>
      <w:r w:rsidRPr="00E367FA">
        <w:rPr>
          <w:rFonts w:ascii="Times New Roman" w:eastAsia="Calibri" w:hAnsi="Times New Roman" w:cs="Times New Roman"/>
          <w:b/>
          <w:sz w:val="24"/>
        </w:rPr>
        <w:tab/>
      </w:r>
      <w:r w:rsidRPr="00E367FA">
        <w:rPr>
          <w:rFonts w:ascii="Times New Roman" w:eastAsia="Calibri" w:hAnsi="Times New Roman" w:cs="Times New Roman"/>
          <w:b/>
          <w:sz w:val="24"/>
        </w:rPr>
        <w:tab/>
        <w:t xml:space="preserve"> Dr. N V Uma Reddy             </w:t>
      </w:r>
    </w:p>
    <w:p w14:paraId="0A1C333B" w14:textId="18CC091E" w:rsidR="00E367FA" w:rsidRPr="00E367FA" w:rsidRDefault="00E367FA" w:rsidP="00F14BD1">
      <w:pPr>
        <w:autoSpaceDE w:val="0"/>
        <w:autoSpaceDN w:val="0"/>
        <w:adjustRightInd w:val="0"/>
        <w:spacing w:after="240" w:line="360" w:lineRule="auto"/>
        <w:ind w:firstLine="320"/>
        <w:rPr>
          <w:rFonts w:ascii="Times New Roman" w:eastAsia="FreeSans" w:hAnsi="Times New Roman" w:cs="Times New Roman"/>
          <w:b/>
        </w:rPr>
      </w:pPr>
      <w:r w:rsidRPr="00E367FA">
        <w:rPr>
          <w:rFonts w:ascii="Times New Roman" w:eastAsia="Calibri" w:hAnsi="Times New Roman" w:cs="Times New Roman"/>
          <w:sz w:val="28"/>
        </w:rPr>
        <w:t xml:space="preserve">Internal Guide                  </w:t>
      </w:r>
      <w:r w:rsidRPr="00E367FA">
        <w:rPr>
          <w:rFonts w:ascii="Times New Roman" w:eastAsia="Calibri" w:hAnsi="Times New Roman" w:cs="Times New Roman"/>
          <w:sz w:val="28"/>
        </w:rPr>
        <w:tab/>
      </w:r>
      <w:r w:rsidRPr="00E367FA">
        <w:rPr>
          <w:rFonts w:ascii="Times New Roman" w:eastAsia="Calibri" w:hAnsi="Times New Roman" w:cs="Times New Roman"/>
          <w:sz w:val="28"/>
        </w:rPr>
        <w:tab/>
        <w:t xml:space="preserve">Professor &amp; Head of Department                 </w:t>
      </w:r>
    </w:p>
    <w:p w14:paraId="76E625D6" w14:textId="77777777" w:rsidR="00E367FA" w:rsidRPr="00E367FA" w:rsidRDefault="00E367FA" w:rsidP="00E367FA">
      <w:pPr>
        <w:autoSpaceDE w:val="0"/>
        <w:autoSpaceDN w:val="0"/>
        <w:adjustRightInd w:val="0"/>
        <w:spacing w:after="160" w:line="256" w:lineRule="auto"/>
        <w:ind w:left="1440" w:firstLine="1440"/>
        <w:jc w:val="center"/>
        <w:rPr>
          <w:rFonts w:ascii="Times New Roman" w:eastAsia="FreeSans" w:hAnsi="Times New Roman" w:cs="Times New Roman"/>
          <w:sz w:val="28"/>
          <w:szCs w:val="28"/>
        </w:rPr>
      </w:pPr>
    </w:p>
    <w:p w14:paraId="764686EA" w14:textId="69CDD75D" w:rsidR="00E367FA" w:rsidRPr="00E367FA" w:rsidRDefault="00E367FA" w:rsidP="00E367FA">
      <w:pPr>
        <w:autoSpaceDE w:val="0"/>
        <w:autoSpaceDN w:val="0"/>
        <w:adjustRightInd w:val="0"/>
        <w:spacing w:after="160" w:line="256" w:lineRule="auto"/>
        <w:jc w:val="both"/>
        <w:rPr>
          <w:rFonts w:ascii="Times New Roman" w:eastAsia="Calibri" w:hAnsi="Times New Roman" w:cs="Times New Roman"/>
          <w:b/>
          <w:color w:val="000000"/>
          <w:sz w:val="32"/>
          <w:szCs w:val="32"/>
        </w:rPr>
      </w:pPr>
      <w:r w:rsidRPr="00E367FA">
        <w:rPr>
          <w:rFonts w:ascii="Times New Roman" w:eastAsia="FreeSans" w:hAnsi="Times New Roman" w:cs="Times New Roman"/>
          <w:sz w:val="28"/>
          <w:szCs w:val="28"/>
        </w:rPr>
        <w:t xml:space="preserve">     </w:t>
      </w:r>
      <w:r w:rsidRPr="00E367FA">
        <w:rPr>
          <w:rFonts w:ascii="Times New Roman" w:eastAsia="FreeSans" w:hAnsi="Times New Roman" w:cs="Times New Roman"/>
          <w:sz w:val="32"/>
          <w:szCs w:val="32"/>
        </w:rPr>
        <w:t xml:space="preserve">External Viva  </w:t>
      </w:r>
    </w:p>
    <w:p w14:paraId="0AB2A8BC" w14:textId="77777777" w:rsidR="00E367FA" w:rsidRPr="00E367FA" w:rsidRDefault="00E367FA" w:rsidP="00E367FA">
      <w:pPr>
        <w:widowControl w:val="0"/>
        <w:autoSpaceDE w:val="0"/>
        <w:autoSpaceDN w:val="0"/>
        <w:adjustRightInd w:val="0"/>
        <w:spacing w:after="160" w:line="368" w:lineRule="exact"/>
        <w:rPr>
          <w:rFonts w:ascii="Times New Roman" w:eastAsia="Calibri" w:hAnsi="Times New Roman" w:cs="Times New Roman"/>
          <w:color w:val="000000"/>
          <w:sz w:val="32"/>
          <w:szCs w:val="32"/>
        </w:rPr>
      </w:pPr>
      <w:r w:rsidRPr="00E367FA">
        <w:rPr>
          <w:rFonts w:ascii="Times New Roman" w:eastAsia="Calibri" w:hAnsi="Times New Roman" w:cs="Times New Roman"/>
          <w:color w:val="000000"/>
          <w:sz w:val="32"/>
          <w:szCs w:val="32"/>
        </w:rPr>
        <w:t xml:space="preserve">       Examiner                                              Signature with date:</w:t>
      </w:r>
    </w:p>
    <w:p w14:paraId="02FFF32A" w14:textId="77777777" w:rsidR="00E367FA" w:rsidRPr="00E367FA" w:rsidRDefault="00E367FA" w:rsidP="00E367FA">
      <w:pPr>
        <w:widowControl w:val="0"/>
        <w:autoSpaceDE w:val="0"/>
        <w:autoSpaceDN w:val="0"/>
        <w:adjustRightInd w:val="0"/>
        <w:spacing w:after="160" w:line="368" w:lineRule="exact"/>
        <w:ind w:left="1800"/>
        <w:rPr>
          <w:rFonts w:ascii="Times New Roman" w:eastAsia="Calibri" w:hAnsi="Times New Roman" w:cs="Times New Roman"/>
          <w:color w:val="000000"/>
          <w:w w:val="96"/>
          <w:sz w:val="32"/>
          <w:szCs w:val="32"/>
        </w:rPr>
      </w:pPr>
    </w:p>
    <w:p w14:paraId="302054F2" w14:textId="77777777" w:rsidR="00E367FA" w:rsidRPr="00E367FA" w:rsidRDefault="00E367FA" w:rsidP="00E367FA">
      <w:pPr>
        <w:widowControl w:val="0"/>
        <w:autoSpaceDE w:val="0"/>
        <w:autoSpaceDN w:val="0"/>
        <w:adjustRightInd w:val="0"/>
        <w:spacing w:after="160" w:line="368" w:lineRule="exact"/>
        <w:rPr>
          <w:rFonts w:ascii="Times New Roman" w:eastAsia="Calibri" w:hAnsi="Times New Roman" w:cs="Times New Roman"/>
          <w:color w:val="000000"/>
          <w:sz w:val="32"/>
          <w:szCs w:val="32"/>
        </w:rPr>
      </w:pPr>
      <w:r w:rsidRPr="00E367FA">
        <w:rPr>
          <w:rFonts w:ascii="Times New Roman" w:eastAsia="Calibri" w:hAnsi="Times New Roman" w:cs="Times New Roman"/>
          <w:color w:val="000000"/>
          <w:sz w:val="32"/>
          <w:szCs w:val="32"/>
        </w:rPr>
        <w:t xml:space="preserve">         1.</w:t>
      </w:r>
    </w:p>
    <w:p w14:paraId="636794B7" w14:textId="77777777" w:rsidR="00E367FA" w:rsidRPr="00E367FA" w:rsidRDefault="00E367FA" w:rsidP="00E367FA">
      <w:pPr>
        <w:widowControl w:val="0"/>
        <w:autoSpaceDE w:val="0"/>
        <w:autoSpaceDN w:val="0"/>
        <w:adjustRightInd w:val="0"/>
        <w:spacing w:after="160" w:line="368" w:lineRule="exact"/>
        <w:ind w:left="1800"/>
        <w:rPr>
          <w:rFonts w:ascii="Times New Roman" w:eastAsia="Calibri" w:hAnsi="Times New Roman" w:cs="Times New Roman"/>
          <w:color w:val="000000"/>
          <w:sz w:val="32"/>
          <w:szCs w:val="32"/>
        </w:rPr>
      </w:pPr>
    </w:p>
    <w:p w14:paraId="17C1284B" w14:textId="77777777" w:rsidR="00E367FA" w:rsidRPr="00E367FA" w:rsidRDefault="00E367FA" w:rsidP="00E367FA">
      <w:pPr>
        <w:widowControl w:val="0"/>
        <w:autoSpaceDE w:val="0"/>
        <w:autoSpaceDN w:val="0"/>
        <w:adjustRightInd w:val="0"/>
        <w:spacing w:after="160" w:line="368" w:lineRule="exact"/>
        <w:rPr>
          <w:rFonts w:ascii="Times New Roman" w:eastAsia="Calibri" w:hAnsi="Times New Roman" w:cs="Times New Roman"/>
          <w:color w:val="000000"/>
          <w:sz w:val="32"/>
          <w:szCs w:val="32"/>
        </w:rPr>
      </w:pPr>
      <w:r w:rsidRPr="00E367FA">
        <w:rPr>
          <w:rFonts w:ascii="Times New Roman" w:eastAsia="Calibri" w:hAnsi="Times New Roman" w:cs="Times New Roman"/>
          <w:color w:val="000000"/>
          <w:sz w:val="32"/>
          <w:szCs w:val="32"/>
        </w:rPr>
        <w:t xml:space="preserve">         2.</w:t>
      </w:r>
    </w:p>
    <w:p w14:paraId="0F1EAAB7" w14:textId="77777777" w:rsidR="003B729E" w:rsidRDefault="003B729E">
      <w:pPr>
        <w:spacing w:after="120"/>
        <w:jc w:val="both"/>
      </w:pPr>
    </w:p>
    <w:p w14:paraId="17CB57EF" w14:textId="77777777" w:rsidR="00E367FA" w:rsidRDefault="00E367FA" w:rsidP="00E367FA">
      <w:pPr>
        <w:spacing w:after="160" w:line="256" w:lineRule="auto"/>
        <w:jc w:val="center"/>
        <w:rPr>
          <w:rFonts w:ascii="Times New Roman" w:eastAsia="Calibri" w:hAnsi="Times New Roman" w:cs="Times New Roman"/>
          <w:b/>
          <w:sz w:val="32"/>
          <w:szCs w:val="32"/>
        </w:rPr>
      </w:pPr>
    </w:p>
    <w:p w14:paraId="1DDEEB20" w14:textId="55F44A18" w:rsidR="00E367FA" w:rsidRPr="00E367FA" w:rsidRDefault="00E367FA" w:rsidP="00E367FA">
      <w:pPr>
        <w:spacing w:after="160" w:line="256" w:lineRule="auto"/>
        <w:jc w:val="center"/>
        <w:rPr>
          <w:rFonts w:ascii="Times New Roman" w:eastAsia="Calibri" w:hAnsi="Times New Roman" w:cs="Times New Roman"/>
          <w:b/>
          <w:sz w:val="32"/>
          <w:szCs w:val="32"/>
        </w:rPr>
      </w:pPr>
      <w:r w:rsidRPr="00E367FA">
        <w:rPr>
          <w:rFonts w:ascii="Times New Roman" w:eastAsia="Calibri" w:hAnsi="Times New Roman" w:cs="Times New Roman"/>
          <w:b/>
          <w:sz w:val="32"/>
          <w:szCs w:val="32"/>
        </w:rPr>
        <w:t xml:space="preserve">ACKNOWLEDGEMENT </w:t>
      </w:r>
    </w:p>
    <w:p w14:paraId="0BEEFB7A" w14:textId="77777777" w:rsidR="00E367FA" w:rsidRPr="00E367FA" w:rsidRDefault="00E367FA" w:rsidP="00E367FA">
      <w:pPr>
        <w:spacing w:after="160" w:line="256" w:lineRule="auto"/>
        <w:jc w:val="center"/>
        <w:rPr>
          <w:rFonts w:ascii="Times New Roman" w:eastAsia="Calibri" w:hAnsi="Times New Roman" w:cs="Times New Roman"/>
          <w:b/>
          <w:bCs/>
          <w:sz w:val="24"/>
          <w:szCs w:val="24"/>
        </w:rPr>
      </w:pPr>
    </w:p>
    <w:p w14:paraId="6A322A6B" w14:textId="77777777" w:rsidR="00E367FA" w:rsidRPr="00E367FA" w:rsidRDefault="00E367FA" w:rsidP="00E367FA">
      <w:pPr>
        <w:spacing w:after="160" w:line="360" w:lineRule="auto"/>
        <w:jc w:val="both"/>
        <w:rPr>
          <w:rFonts w:ascii="Times New Roman" w:eastAsia="Calibri" w:hAnsi="Times New Roman" w:cs="Times New Roman"/>
          <w:sz w:val="24"/>
          <w:szCs w:val="24"/>
        </w:rPr>
      </w:pPr>
      <w:r w:rsidRPr="00E367FA">
        <w:rPr>
          <w:rFonts w:ascii="Times New Roman" w:eastAsia="Calibri" w:hAnsi="Times New Roman" w:cs="Times New Roman"/>
          <w:sz w:val="24"/>
          <w:szCs w:val="24"/>
        </w:rPr>
        <w:t xml:space="preserve">The satisfaction and euphoria that accompany the successful completion of any task would be impossible without the mention of the people who made it possible, whose constant guidance and encouragement crowned our efforts with success. </w:t>
      </w:r>
    </w:p>
    <w:p w14:paraId="2192466E" w14:textId="77777777" w:rsidR="00E367FA" w:rsidRPr="00E367FA" w:rsidRDefault="00E367FA" w:rsidP="00E367FA">
      <w:pPr>
        <w:spacing w:after="160" w:line="360" w:lineRule="auto"/>
        <w:jc w:val="both"/>
        <w:rPr>
          <w:rFonts w:ascii="Times New Roman" w:eastAsia="Calibri" w:hAnsi="Times New Roman" w:cs="Times New Roman"/>
          <w:sz w:val="24"/>
          <w:szCs w:val="24"/>
        </w:rPr>
      </w:pPr>
      <w:r w:rsidRPr="00E367FA">
        <w:rPr>
          <w:rFonts w:ascii="Times New Roman" w:eastAsia="Calibri" w:hAnsi="Times New Roman" w:cs="Times New Roman"/>
          <w:sz w:val="24"/>
          <w:szCs w:val="24"/>
        </w:rPr>
        <w:t xml:space="preserve">I have great pleasure in expressing gratitude to Dr. Mohan Manghnani, Chairman, New Horizon Educational Institutions, for providing necessary infrastructure and creating good environment. </w:t>
      </w:r>
    </w:p>
    <w:p w14:paraId="03A4B199" w14:textId="77777777" w:rsidR="00E367FA" w:rsidRPr="00E367FA" w:rsidRDefault="00E367FA" w:rsidP="00E367FA">
      <w:pPr>
        <w:spacing w:after="160" w:line="360" w:lineRule="auto"/>
        <w:jc w:val="both"/>
        <w:rPr>
          <w:rFonts w:ascii="Times New Roman" w:eastAsia="Calibri" w:hAnsi="Times New Roman" w:cs="Times New Roman"/>
          <w:sz w:val="24"/>
          <w:szCs w:val="24"/>
        </w:rPr>
      </w:pPr>
      <w:r w:rsidRPr="00E367FA">
        <w:rPr>
          <w:rFonts w:ascii="Times New Roman" w:eastAsia="Calibri" w:hAnsi="Times New Roman" w:cs="Times New Roman"/>
          <w:sz w:val="24"/>
          <w:szCs w:val="24"/>
        </w:rPr>
        <w:t xml:space="preserve">I take this opportunity to express my profound gratitude to Dr.Manjunatha, Principal, New Horizon College of Engineering, for his constant support and encouragement. </w:t>
      </w:r>
    </w:p>
    <w:p w14:paraId="603DE092" w14:textId="77777777" w:rsidR="00E367FA" w:rsidRPr="00E367FA" w:rsidRDefault="00E367FA" w:rsidP="00E367FA">
      <w:pPr>
        <w:spacing w:after="160" w:line="360" w:lineRule="auto"/>
        <w:jc w:val="both"/>
        <w:rPr>
          <w:rFonts w:ascii="Times New Roman" w:eastAsia="Calibri" w:hAnsi="Times New Roman" w:cs="Times New Roman"/>
          <w:sz w:val="24"/>
          <w:szCs w:val="24"/>
        </w:rPr>
      </w:pPr>
      <w:r w:rsidRPr="00E367FA">
        <w:rPr>
          <w:rFonts w:ascii="Times New Roman" w:eastAsia="Calibri" w:hAnsi="Times New Roman" w:cs="Times New Roman"/>
          <w:sz w:val="24"/>
          <w:szCs w:val="24"/>
        </w:rPr>
        <w:t xml:space="preserve">I take this opportunity to express my profound gratitude to Dr. R. J. Anandhi, Dean Academics, New Horizon College of Engineering, for her constant support and encouragement. </w:t>
      </w:r>
    </w:p>
    <w:p w14:paraId="40DD1E66" w14:textId="77777777" w:rsidR="00E367FA" w:rsidRPr="00E367FA" w:rsidRDefault="00E367FA" w:rsidP="00E367FA">
      <w:pPr>
        <w:spacing w:after="160" w:line="360" w:lineRule="auto"/>
        <w:jc w:val="both"/>
        <w:rPr>
          <w:rFonts w:ascii="Times New Roman" w:eastAsia="Calibri" w:hAnsi="Times New Roman" w:cs="Times New Roman"/>
          <w:sz w:val="24"/>
          <w:szCs w:val="24"/>
        </w:rPr>
      </w:pPr>
      <w:r w:rsidRPr="00E367FA">
        <w:rPr>
          <w:rFonts w:ascii="Times New Roman" w:eastAsia="Calibri" w:hAnsi="Times New Roman" w:cs="Times New Roman"/>
          <w:sz w:val="24"/>
          <w:szCs w:val="24"/>
        </w:rPr>
        <w:t>I would also like to thank Dr.  N. V. Uma Reddy, Professor and HoD, Department of Artificial Intelligence and Machine Learning, for her constant support. I also express my gratitude to her my mini project reviewer, for constantly monitoring the development of the project and setting up precise deadlines. Her valuable suggestions were the motivating factors in completing the work.</w:t>
      </w:r>
    </w:p>
    <w:p w14:paraId="7DE41554" w14:textId="7727E6DF" w:rsidR="00E367FA" w:rsidRPr="00E367FA" w:rsidRDefault="00E367FA" w:rsidP="00E367FA">
      <w:pPr>
        <w:spacing w:after="240" w:line="360" w:lineRule="auto"/>
        <w:jc w:val="both"/>
        <w:rPr>
          <w:rFonts w:ascii="Times New Roman" w:eastAsia="Calibri" w:hAnsi="Times New Roman" w:cs="Times New Roman"/>
          <w:sz w:val="24"/>
          <w:szCs w:val="24"/>
        </w:rPr>
      </w:pPr>
      <w:r w:rsidRPr="00E367FA">
        <w:rPr>
          <w:rFonts w:ascii="Times New Roman" w:eastAsia="Calibri" w:hAnsi="Times New Roman" w:cs="Times New Roman"/>
          <w:sz w:val="24"/>
        </w:rPr>
        <w:t xml:space="preserve">I take this opportunity to express my profound gratitude to Prof. </w:t>
      </w:r>
      <w:r w:rsidR="00F14BD1">
        <w:rPr>
          <w:rFonts w:ascii="Times New Roman" w:eastAsia="Calibri" w:hAnsi="Times New Roman" w:cs="Times New Roman"/>
          <w:sz w:val="24"/>
        </w:rPr>
        <w:t>Manoj Kumar</w:t>
      </w:r>
      <w:r w:rsidRPr="00E367FA">
        <w:rPr>
          <w:rFonts w:ascii="Times New Roman" w:eastAsia="Calibri" w:hAnsi="Times New Roman" w:cs="Times New Roman"/>
          <w:sz w:val="24"/>
        </w:rPr>
        <w:t>, Assistant Professor, Department of AI &amp; ML, New Horizon College of Engineering, for his constant support and encouragement.</w:t>
      </w:r>
    </w:p>
    <w:p w14:paraId="2ED1CFE5" w14:textId="77777777" w:rsidR="003B729E" w:rsidRDefault="00000000">
      <w:r>
        <w:br w:type="page"/>
      </w:r>
    </w:p>
    <w:p w14:paraId="422144EE" w14:textId="77777777" w:rsidR="003B729E" w:rsidRDefault="00000000">
      <w:pPr>
        <w:spacing w:after="160"/>
        <w:jc w:val="center"/>
      </w:pPr>
      <w:r>
        <w:rPr>
          <w:rFonts w:ascii="Times New Roman" w:hAnsi="Times New Roman"/>
          <w:b/>
          <w:sz w:val="32"/>
          <w:u w:val="single"/>
        </w:rPr>
        <w:lastRenderedPageBreak/>
        <w:t>ABSTRACT</w:t>
      </w:r>
    </w:p>
    <w:p w14:paraId="115E35E8" w14:textId="77777777" w:rsidR="003B729E" w:rsidRDefault="003B729E">
      <w:pPr>
        <w:spacing w:after="120"/>
        <w:jc w:val="both"/>
      </w:pPr>
    </w:p>
    <w:p w14:paraId="6646B7C8" w14:textId="77777777" w:rsidR="003B729E" w:rsidRDefault="00000000">
      <w:pPr>
        <w:spacing w:line="360" w:lineRule="exact"/>
        <w:jc w:val="both"/>
      </w:pPr>
      <w:r>
        <w:rPr>
          <w:rFonts w:ascii="Times New Roman" w:hAnsi="Times New Roman"/>
          <w:sz w:val="24"/>
        </w:rPr>
        <w:t>Healthcare AI systems that rely purely on probabilistic machine learning models carry an inherent risk when deployed for symptom analysis: the statistical nature of such models can produce medically unsafe outputs, particularly when life-threatening symptoms are statistically similar to benign conditions in the training data. This project presents MediAssist AI, a safety-aware healthcare triage and assistance framework designed to address this limitation through a hybrid, defence-in-depth architecture.</w:t>
      </w:r>
      <w:r>
        <w:rPr>
          <w:rFonts w:ascii="Times New Roman" w:hAnsi="Times New Roman"/>
          <w:sz w:val="24"/>
        </w:rPr>
        <w:br/>
      </w:r>
      <w:r>
        <w:rPr>
          <w:rFonts w:ascii="Times New Roman" w:hAnsi="Times New Roman"/>
          <w:sz w:val="24"/>
        </w:rPr>
        <w:br/>
        <w:t>MediAssist AI combines classical machine learning—specifically TF-IDF vectorisation paired with Logistic Regression and Naive Bayes—with a deterministic Emergency Safety Override Layer and a Medical Consistency Validator that operates as a post-prediction safety gate. The core thesis of this work is that healthcare AI must treat safety and predictive accuracy as separate, independently verifiable architectural layers rather than conflating them into a single statistical model.</w:t>
      </w:r>
      <w:r>
        <w:rPr>
          <w:rFonts w:ascii="Times New Roman" w:hAnsi="Times New Roman"/>
          <w:sz w:val="24"/>
        </w:rPr>
        <w:br/>
      </w:r>
      <w:r>
        <w:rPr>
          <w:rFonts w:ascii="Times New Roman" w:hAnsi="Times New Roman"/>
          <w:sz w:val="24"/>
        </w:rPr>
        <w:br/>
        <w:t>The Emergency Safety Override Layer intercepts critical symptom patterns—such as stroke indicators, respiratory distress, hemorrhagic warnings, and cardiac emergencies—before any machine learning inference occurs, ensuring that life-threatening conditions are always escalated to professional medical attention regardless of model confidence. The Medical Consistency Validator then applies category-aware confidence penalties to suppress predictions that are medically implausible given the user's stated symptoms.</w:t>
      </w:r>
      <w:r>
        <w:rPr>
          <w:rFonts w:ascii="Times New Roman" w:hAnsi="Times New Roman"/>
          <w:sz w:val="24"/>
        </w:rPr>
        <w:br/>
      </w:r>
      <w:r>
        <w:rPr>
          <w:rFonts w:ascii="Times New Roman" w:hAnsi="Times New Roman"/>
          <w:sz w:val="24"/>
        </w:rPr>
        <w:br/>
        <w:t>A 500-case validation suite was developed to quantify system performance using healthcare-specific safety metrics: Emergency Escalation Accuracy (EEA), Missed Emergency Rate (MER), and Unsafe Prediction Rate (UPR). The system achieved an EEA of 100%, MER of 0%, and UPR of 0% across all test cases. The Logistic Regression model achieved 84.36% Top-1 accuracy and 95.78% Top-3 accuracy on a dataset of 163,727 symptom-disease instances spanning over 260 disease categories.</w:t>
      </w:r>
      <w:r>
        <w:rPr>
          <w:rFonts w:ascii="Times New Roman" w:hAnsi="Times New Roman"/>
          <w:sz w:val="24"/>
        </w:rPr>
        <w:br/>
      </w:r>
      <w:r>
        <w:rPr>
          <w:rFonts w:ascii="Times New Roman" w:hAnsi="Times New Roman"/>
          <w:sz w:val="24"/>
        </w:rPr>
        <w:br/>
        <w:t>The frontend is implemented using Streamlit with a glassmorphism design language, providing severity-aware UI elements, confidence normalisation displays, and high-contrast emergency escalation banners. The system is designed as a preliminary triage assistant and explicitly positions itself as a guide for seeking professional medical care, not as a diagnostic replacement.</w:t>
      </w:r>
    </w:p>
    <w:p w14:paraId="42055DD4" w14:textId="77777777" w:rsidR="003B729E" w:rsidRDefault="003B729E">
      <w:pPr>
        <w:jc w:val="both"/>
      </w:pPr>
    </w:p>
    <w:p w14:paraId="4AEC54C1" w14:textId="77777777" w:rsidR="003B729E" w:rsidRDefault="00000000">
      <w:r>
        <w:br w:type="page"/>
      </w:r>
    </w:p>
    <w:p w14:paraId="677C4348" w14:textId="77777777" w:rsidR="003B729E" w:rsidRDefault="00000000">
      <w:pPr>
        <w:spacing w:after="160"/>
        <w:jc w:val="center"/>
      </w:pPr>
      <w:r>
        <w:rPr>
          <w:rFonts w:ascii="Times New Roman" w:hAnsi="Times New Roman"/>
          <w:b/>
          <w:sz w:val="32"/>
          <w:u w:val="single"/>
        </w:rPr>
        <w:lastRenderedPageBreak/>
        <w:t>TABLE OF CONTENTS</w:t>
      </w:r>
    </w:p>
    <w:p w14:paraId="252E12D3" w14:textId="77777777" w:rsidR="003B729E" w:rsidRDefault="003B729E">
      <w:pPr>
        <w:spacing w:after="120"/>
        <w:jc w:val="both"/>
      </w:pPr>
    </w:p>
    <w:p w14:paraId="7394F12E" w14:textId="77777777" w:rsidR="003B729E" w:rsidRDefault="00000000">
      <w:pPr>
        <w:tabs>
          <w:tab w:val="right" w:pos="7920"/>
        </w:tabs>
        <w:spacing w:before="40" w:after="80"/>
      </w:pPr>
      <w:r>
        <w:rPr>
          <w:rFonts w:ascii="Times New Roman" w:hAnsi="Times New Roman"/>
          <w:b/>
          <w:sz w:val="24"/>
        </w:rPr>
        <w:t>Chapter / Section</w:t>
      </w:r>
      <w:r>
        <w:rPr>
          <w:rFonts w:ascii="Times New Roman" w:hAnsi="Times New Roman"/>
          <w:b/>
          <w:sz w:val="24"/>
        </w:rPr>
        <w:tab/>
        <w:t>Page No.</w:t>
      </w:r>
    </w:p>
    <w:p w14:paraId="33F56B52" w14:textId="77777777" w:rsidR="003B729E" w:rsidRDefault="003B729E">
      <w:pPr>
        <w:pBdr>
          <w:bottom w:val="single" w:sz="6" w:space="1" w:color="000000"/>
        </w:pBdr>
        <w:jc w:val="center"/>
      </w:pPr>
    </w:p>
    <w:p w14:paraId="6922FB22" w14:textId="77777777" w:rsidR="003B729E" w:rsidRDefault="00000000">
      <w:pPr>
        <w:tabs>
          <w:tab w:val="right" w:pos="7920"/>
        </w:tabs>
        <w:spacing w:before="20" w:after="60"/>
      </w:pPr>
      <w:r>
        <w:rPr>
          <w:rFonts w:ascii="Times New Roman" w:hAnsi="Times New Roman"/>
          <w:b/>
          <w:sz w:val="24"/>
        </w:rPr>
        <w:t>Title Page</w:t>
      </w:r>
      <w:r>
        <w:rPr>
          <w:rFonts w:ascii="Times New Roman" w:hAnsi="Times New Roman"/>
          <w:sz w:val="24"/>
        </w:rPr>
        <w:tab/>
        <w:t>i</w:t>
      </w:r>
    </w:p>
    <w:p w14:paraId="7E093917" w14:textId="77777777" w:rsidR="003B729E" w:rsidRDefault="00000000">
      <w:pPr>
        <w:tabs>
          <w:tab w:val="right" w:pos="7920"/>
        </w:tabs>
        <w:spacing w:before="20" w:after="60"/>
      </w:pPr>
      <w:r>
        <w:rPr>
          <w:rFonts w:ascii="Times New Roman" w:hAnsi="Times New Roman"/>
          <w:b/>
          <w:sz w:val="24"/>
        </w:rPr>
        <w:t>Certificate</w:t>
      </w:r>
      <w:r>
        <w:rPr>
          <w:rFonts w:ascii="Times New Roman" w:hAnsi="Times New Roman"/>
          <w:sz w:val="24"/>
        </w:rPr>
        <w:tab/>
        <w:t>ii</w:t>
      </w:r>
    </w:p>
    <w:p w14:paraId="42E01D38" w14:textId="77777777" w:rsidR="003B729E" w:rsidRDefault="00000000">
      <w:pPr>
        <w:tabs>
          <w:tab w:val="right" w:pos="7920"/>
        </w:tabs>
        <w:spacing w:before="20" w:after="60"/>
      </w:pPr>
      <w:r>
        <w:rPr>
          <w:rFonts w:ascii="Times New Roman" w:hAnsi="Times New Roman"/>
          <w:b/>
          <w:sz w:val="24"/>
        </w:rPr>
        <w:t>Acknowledgement</w:t>
      </w:r>
      <w:r>
        <w:rPr>
          <w:rFonts w:ascii="Times New Roman" w:hAnsi="Times New Roman"/>
          <w:sz w:val="24"/>
        </w:rPr>
        <w:tab/>
        <w:t>iii</w:t>
      </w:r>
    </w:p>
    <w:p w14:paraId="2ACDBC8B" w14:textId="77777777" w:rsidR="003B729E" w:rsidRDefault="00000000">
      <w:pPr>
        <w:tabs>
          <w:tab w:val="right" w:pos="7920"/>
        </w:tabs>
        <w:spacing w:before="20" w:after="60"/>
      </w:pPr>
      <w:r>
        <w:rPr>
          <w:rFonts w:ascii="Times New Roman" w:hAnsi="Times New Roman"/>
          <w:b/>
          <w:sz w:val="24"/>
        </w:rPr>
        <w:t>Abstract</w:t>
      </w:r>
      <w:r>
        <w:rPr>
          <w:rFonts w:ascii="Times New Roman" w:hAnsi="Times New Roman"/>
          <w:sz w:val="24"/>
        </w:rPr>
        <w:tab/>
        <w:t>iv</w:t>
      </w:r>
    </w:p>
    <w:p w14:paraId="31C6FA1D" w14:textId="77777777" w:rsidR="003B729E" w:rsidRDefault="00000000">
      <w:pPr>
        <w:tabs>
          <w:tab w:val="right" w:pos="7920"/>
        </w:tabs>
        <w:spacing w:before="20" w:after="60"/>
      </w:pPr>
      <w:r>
        <w:rPr>
          <w:rFonts w:ascii="Times New Roman" w:hAnsi="Times New Roman"/>
          <w:b/>
          <w:sz w:val="24"/>
        </w:rPr>
        <w:t>Table of Contents</w:t>
      </w:r>
      <w:r>
        <w:rPr>
          <w:rFonts w:ascii="Times New Roman" w:hAnsi="Times New Roman"/>
          <w:sz w:val="24"/>
        </w:rPr>
        <w:tab/>
        <w:t>v</w:t>
      </w:r>
    </w:p>
    <w:p w14:paraId="3975E74D" w14:textId="77777777" w:rsidR="003B729E" w:rsidRDefault="00000000">
      <w:pPr>
        <w:tabs>
          <w:tab w:val="right" w:pos="7920"/>
        </w:tabs>
        <w:spacing w:before="20" w:after="60"/>
      </w:pPr>
      <w:r>
        <w:rPr>
          <w:rFonts w:ascii="Times New Roman" w:hAnsi="Times New Roman"/>
          <w:b/>
          <w:sz w:val="24"/>
        </w:rPr>
        <w:t>List of Figures</w:t>
      </w:r>
      <w:r>
        <w:rPr>
          <w:rFonts w:ascii="Times New Roman" w:hAnsi="Times New Roman"/>
          <w:sz w:val="24"/>
        </w:rPr>
        <w:tab/>
        <w:t>vi</w:t>
      </w:r>
    </w:p>
    <w:p w14:paraId="7B375AB9" w14:textId="77777777" w:rsidR="003B729E" w:rsidRDefault="00000000">
      <w:pPr>
        <w:tabs>
          <w:tab w:val="right" w:pos="7920"/>
        </w:tabs>
        <w:spacing w:before="20" w:after="60"/>
      </w:pPr>
      <w:r>
        <w:rPr>
          <w:rFonts w:ascii="Times New Roman" w:hAnsi="Times New Roman"/>
          <w:b/>
          <w:sz w:val="24"/>
        </w:rPr>
        <w:t>List of Tables</w:t>
      </w:r>
      <w:r>
        <w:rPr>
          <w:rFonts w:ascii="Times New Roman" w:hAnsi="Times New Roman"/>
          <w:sz w:val="24"/>
        </w:rPr>
        <w:tab/>
        <w:t>vii</w:t>
      </w:r>
    </w:p>
    <w:p w14:paraId="15A05EAD" w14:textId="77777777" w:rsidR="003B729E" w:rsidRDefault="00000000">
      <w:pPr>
        <w:tabs>
          <w:tab w:val="right" w:pos="7920"/>
        </w:tabs>
        <w:spacing w:before="20" w:after="60"/>
      </w:pPr>
      <w:r>
        <w:rPr>
          <w:rFonts w:ascii="Times New Roman" w:hAnsi="Times New Roman"/>
          <w:b/>
          <w:sz w:val="24"/>
        </w:rPr>
        <w:t>1  Introduction</w:t>
      </w:r>
      <w:r>
        <w:rPr>
          <w:rFonts w:ascii="Times New Roman" w:hAnsi="Times New Roman"/>
          <w:sz w:val="24"/>
        </w:rPr>
        <w:tab/>
        <w:t>1</w:t>
      </w:r>
    </w:p>
    <w:p w14:paraId="445CC2E0" w14:textId="77777777" w:rsidR="003B729E" w:rsidRDefault="00000000">
      <w:pPr>
        <w:tabs>
          <w:tab w:val="right" w:pos="7920"/>
        </w:tabs>
        <w:spacing w:before="20" w:after="60"/>
        <w:ind w:left="360"/>
      </w:pPr>
      <w:r>
        <w:rPr>
          <w:rFonts w:ascii="Times New Roman" w:hAnsi="Times New Roman"/>
        </w:rPr>
        <w:t>1.1  Background and Motivation</w:t>
      </w:r>
      <w:r>
        <w:rPr>
          <w:rFonts w:ascii="Times New Roman" w:hAnsi="Times New Roman"/>
        </w:rPr>
        <w:tab/>
        <w:t>1</w:t>
      </w:r>
    </w:p>
    <w:p w14:paraId="35ACF5C6" w14:textId="77777777" w:rsidR="003B729E" w:rsidRDefault="00000000">
      <w:pPr>
        <w:tabs>
          <w:tab w:val="right" w:pos="7920"/>
        </w:tabs>
        <w:spacing w:before="20" w:after="60"/>
        <w:ind w:left="360"/>
      </w:pPr>
      <w:r>
        <w:rPr>
          <w:rFonts w:ascii="Times New Roman" w:hAnsi="Times New Roman"/>
        </w:rPr>
        <w:t>1.2  Problem Statement Overview</w:t>
      </w:r>
      <w:r>
        <w:rPr>
          <w:rFonts w:ascii="Times New Roman" w:hAnsi="Times New Roman"/>
        </w:rPr>
        <w:tab/>
        <w:t>2</w:t>
      </w:r>
    </w:p>
    <w:p w14:paraId="475D8412" w14:textId="77777777" w:rsidR="003B729E" w:rsidRDefault="00000000">
      <w:pPr>
        <w:tabs>
          <w:tab w:val="right" w:pos="7920"/>
        </w:tabs>
        <w:spacing w:before="20" w:after="60"/>
        <w:ind w:left="360"/>
      </w:pPr>
      <w:r>
        <w:rPr>
          <w:rFonts w:ascii="Times New Roman" w:hAnsi="Times New Roman"/>
        </w:rPr>
        <w:t>1.3  Project Objectives</w:t>
      </w:r>
      <w:r>
        <w:rPr>
          <w:rFonts w:ascii="Times New Roman" w:hAnsi="Times New Roman"/>
        </w:rPr>
        <w:tab/>
        <w:t>3</w:t>
      </w:r>
    </w:p>
    <w:p w14:paraId="69A089E4" w14:textId="77777777" w:rsidR="003B729E" w:rsidRDefault="00000000">
      <w:pPr>
        <w:tabs>
          <w:tab w:val="right" w:pos="7920"/>
        </w:tabs>
        <w:spacing w:before="20" w:after="60"/>
        <w:ind w:left="360"/>
      </w:pPr>
      <w:r>
        <w:rPr>
          <w:rFonts w:ascii="Times New Roman" w:hAnsi="Times New Roman"/>
        </w:rPr>
        <w:t>1.4  Report Organisation</w:t>
      </w:r>
      <w:r>
        <w:rPr>
          <w:rFonts w:ascii="Times New Roman" w:hAnsi="Times New Roman"/>
        </w:rPr>
        <w:tab/>
        <w:t>3</w:t>
      </w:r>
    </w:p>
    <w:p w14:paraId="4ED6EA7C" w14:textId="77777777" w:rsidR="003B729E" w:rsidRDefault="00000000">
      <w:pPr>
        <w:tabs>
          <w:tab w:val="right" w:pos="7920"/>
        </w:tabs>
        <w:spacing w:before="20" w:after="60"/>
      </w:pPr>
      <w:r>
        <w:rPr>
          <w:rFonts w:ascii="Times New Roman" w:hAnsi="Times New Roman"/>
          <w:b/>
          <w:sz w:val="24"/>
        </w:rPr>
        <w:t>2  Literature Survey</w:t>
      </w:r>
      <w:r>
        <w:rPr>
          <w:rFonts w:ascii="Times New Roman" w:hAnsi="Times New Roman"/>
          <w:sz w:val="24"/>
        </w:rPr>
        <w:tab/>
        <w:t>5</w:t>
      </w:r>
    </w:p>
    <w:p w14:paraId="25EE7E26" w14:textId="77777777" w:rsidR="003B729E" w:rsidRDefault="00000000">
      <w:pPr>
        <w:tabs>
          <w:tab w:val="right" w:pos="7920"/>
        </w:tabs>
        <w:spacing w:before="20" w:after="60"/>
        <w:ind w:left="360"/>
      </w:pPr>
      <w:r>
        <w:rPr>
          <w:rFonts w:ascii="Times New Roman" w:hAnsi="Times New Roman"/>
        </w:rPr>
        <w:t>2.1  Traditional Symptom Checkers</w:t>
      </w:r>
      <w:r>
        <w:rPr>
          <w:rFonts w:ascii="Times New Roman" w:hAnsi="Times New Roman"/>
        </w:rPr>
        <w:tab/>
        <w:t>5</w:t>
      </w:r>
    </w:p>
    <w:p w14:paraId="496A4F3F" w14:textId="77777777" w:rsidR="003B729E" w:rsidRDefault="00000000">
      <w:pPr>
        <w:tabs>
          <w:tab w:val="right" w:pos="7920"/>
        </w:tabs>
        <w:spacing w:before="20" w:after="60"/>
        <w:ind w:left="360"/>
      </w:pPr>
      <w:r>
        <w:rPr>
          <w:rFonts w:ascii="Times New Roman" w:hAnsi="Times New Roman"/>
        </w:rPr>
        <w:t>2.2  Machine Learning in Healthcare</w:t>
      </w:r>
      <w:r>
        <w:rPr>
          <w:rFonts w:ascii="Times New Roman" w:hAnsi="Times New Roman"/>
        </w:rPr>
        <w:tab/>
        <w:t>6</w:t>
      </w:r>
    </w:p>
    <w:p w14:paraId="0E6EFCC1" w14:textId="77777777" w:rsidR="003B729E" w:rsidRDefault="00000000">
      <w:pPr>
        <w:tabs>
          <w:tab w:val="right" w:pos="7920"/>
        </w:tabs>
        <w:spacing w:before="20" w:after="60"/>
        <w:ind w:left="360"/>
      </w:pPr>
      <w:r>
        <w:rPr>
          <w:rFonts w:ascii="Times New Roman" w:hAnsi="Times New Roman"/>
        </w:rPr>
        <w:t>2.3  Transformer-Based Medical NLP</w:t>
      </w:r>
      <w:r>
        <w:rPr>
          <w:rFonts w:ascii="Times New Roman" w:hAnsi="Times New Roman"/>
        </w:rPr>
        <w:tab/>
        <w:t>7</w:t>
      </w:r>
    </w:p>
    <w:p w14:paraId="52E33BEC" w14:textId="77777777" w:rsidR="003B729E" w:rsidRDefault="00000000">
      <w:pPr>
        <w:tabs>
          <w:tab w:val="right" w:pos="7920"/>
        </w:tabs>
        <w:spacing w:before="20" w:after="60"/>
        <w:ind w:left="360"/>
      </w:pPr>
      <w:r>
        <w:rPr>
          <w:rFonts w:ascii="Times New Roman" w:hAnsi="Times New Roman"/>
        </w:rPr>
        <w:t>2.4  Gaps and Limitations in Existing Work</w:t>
      </w:r>
      <w:r>
        <w:rPr>
          <w:rFonts w:ascii="Times New Roman" w:hAnsi="Times New Roman"/>
        </w:rPr>
        <w:tab/>
        <w:t>8</w:t>
      </w:r>
    </w:p>
    <w:p w14:paraId="727EB555" w14:textId="77777777" w:rsidR="003B729E" w:rsidRDefault="00000000">
      <w:pPr>
        <w:tabs>
          <w:tab w:val="right" w:pos="7920"/>
        </w:tabs>
        <w:spacing w:before="20" w:after="60"/>
      </w:pPr>
      <w:r>
        <w:rPr>
          <w:rFonts w:ascii="Times New Roman" w:hAnsi="Times New Roman"/>
          <w:b/>
          <w:sz w:val="24"/>
        </w:rPr>
        <w:t>3  Problem Statement</w:t>
      </w:r>
      <w:r>
        <w:rPr>
          <w:rFonts w:ascii="Times New Roman" w:hAnsi="Times New Roman"/>
          <w:sz w:val="24"/>
        </w:rPr>
        <w:tab/>
        <w:t>10</w:t>
      </w:r>
    </w:p>
    <w:p w14:paraId="01FF6D9A" w14:textId="77777777" w:rsidR="003B729E" w:rsidRDefault="00000000">
      <w:pPr>
        <w:tabs>
          <w:tab w:val="right" w:pos="7920"/>
        </w:tabs>
        <w:spacing w:before="20" w:after="60"/>
      </w:pPr>
      <w:r>
        <w:rPr>
          <w:rFonts w:ascii="Times New Roman" w:hAnsi="Times New Roman"/>
          <w:b/>
          <w:sz w:val="24"/>
        </w:rPr>
        <w:t>4  System Architecture</w:t>
      </w:r>
      <w:r>
        <w:rPr>
          <w:rFonts w:ascii="Times New Roman" w:hAnsi="Times New Roman"/>
          <w:sz w:val="24"/>
        </w:rPr>
        <w:tab/>
        <w:t>12</w:t>
      </w:r>
    </w:p>
    <w:p w14:paraId="3F1C59D4" w14:textId="77777777" w:rsidR="003B729E" w:rsidRDefault="00000000">
      <w:pPr>
        <w:tabs>
          <w:tab w:val="right" w:pos="7920"/>
        </w:tabs>
        <w:spacing w:before="20" w:after="60"/>
        <w:ind w:left="360"/>
      </w:pPr>
      <w:r>
        <w:rPr>
          <w:rFonts w:ascii="Times New Roman" w:hAnsi="Times New Roman"/>
        </w:rPr>
        <w:t>4.1  Overall Pipeline Design</w:t>
      </w:r>
      <w:r>
        <w:rPr>
          <w:rFonts w:ascii="Times New Roman" w:hAnsi="Times New Roman"/>
        </w:rPr>
        <w:tab/>
        <w:t>12</w:t>
      </w:r>
    </w:p>
    <w:p w14:paraId="3DAEEC4A" w14:textId="77777777" w:rsidR="003B729E" w:rsidRDefault="00000000">
      <w:pPr>
        <w:tabs>
          <w:tab w:val="right" w:pos="7920"/>
        </w:tabs>
        <w:spacing w:before="20" w:after="60"/>
        <w:ind w:left="360"/>
      </w:pPr>
      <w:r>
        <w:rPr>
          <w:rFonts w:ascii="Times New Roman" w:hAnsi="Times New Roman"/>
        </w:rPr>
        <w:t>4.2  Emergency Override Architecture</w:t>
      </w:r>
      <w:r>
        <w:rPr>
          <w:rFonts w:ascii="Times New Roman" w:hAnsi="Times New Roman"/>
        </w:rPr>
        <w:tab/>
        <w:t>13</w:t>
      </w:r>
    </w:p>
    <w:p w14:paraId="7AABAE4B" w14:textId="77777777" w:rsidR="003B729E" w:rsidRDefault="00000000">
      <w:pPr>
        <w:tabs>
          <w:tab w:val="right" w:pos="7920"/>
        </w:tabs>
        <w:spacing w:before="20" w:after="60"/>
        <w:ind w:left="360"/>
      </w:pPr>
      <w:r>
        <w:rPr>
          <w:rFonts w:ascii="Times New Roman" w:hAnsi="Times New Roman"/>
        </w:rPr>
        <w:t>4.3  Medical Consistency Validator</w:t>
      </w:r>
      <w:r>
        <w:rPr>
          <w:rFonts w:ascii="Times New Roman" w:hAnsi="Times New Roman"/>
        </w:rPr>
        <w:tab/>
        <w:t>14</w:t>
      </w:r>
    </w:p>
    <w:p w14:paraId="274A642A" w14:textId="77777777" w:rsidR="003B729E" w:rsidRDefault="00000000">
      <w:pPr>
        <w:tabs>
          <w:tab w:val="right" w:pos="7920"/>
        </w:tabs>
        <w:spacing w:before="20" w:after="60"/>
        <w:ind w:left="360"/>
      </w:pPr>
      <w:r>
        <w:rPr>
          <w:rFonts w:ascii="Times New Roman" w:hAnsi="Times New Roman"/>
        </w:rPr>
        <w:t>4.4  Frontend Architecture</w:t>
      </w:r>
      <w:r>
        <w:rPr>
          <w:rFonts w:ascii="Times New Roman" w:hAnsi="Times New Roman"/>
        </w:rPr>
        <w:tab/>
        <w:t>15</w:t>
      </w:r>
    </w:p>
    <w:p w14:paraId="6BF16EE7" w14:textId="77777777" w:rsidR="003B729E" w:rsidRDefault="00000000">
      <w:pPr>
        <w:tabs>
          <w:tab w:val="right" w:pos="7920"/>
        </w:tabs>
        <w:spacing w:before="20" w:after="60"/>
      </w:pPr>
      <w:r>
        <w:rPr>
          <w:rFonts w:ascii="Times New Roman" w:hAnsi="Times New Roman"/>
          <w:b/>
          <w:sz w:val="24"/>
        </w:rPr>
        <w:t>5  Dataset Description</w:t>
      </w:r>
      <w:r>
        <w:rPr>
          <w:rFonts w:ascii="Times New Roman" w:hAnsi="Times New Roman"/>
          <w:sz w:val="24"/>
        </w:rPr>
        <w:tab/>
        <w:t>16</w:t>
      </w:r>
    </w:p>
    <w:p w14:paraId="28389758" w14:textId="77777777" w:rsidR="003B729E" w:rsidRDefault="00000000">
      <w:pPr>
        <w:tabs>
          <w:tab w:val="right" w:pos="7920"/>
        </w:tabs>
        <w:spacing w:before="20" w:after="60"/>
        <w:ind w:left="360"/>
      </w:pPr>
      <w:r>
        <w:rPr>
          <w:rFonts w:ascii="Times New Roman" w:hAnsi="Times New Roman"/>
        </w:rPr>
        <w:t>5.1  Symptom-Disease Dataset</w:t>
      </w:r>
      <w:r>
        <w:rPr>
          <w:rFonts w:ascii="Times New Roman" w:hAnsi="Times New Roman"/>
        </w:rPr>
        <w:tab/>
        <w:t>16</w:t>
      </w:r>
    </w:p>
    <w:p w14:paraId="1E12D586" w14:textId="77777777" w:rsidR="003B729E" w:rsidRDefault="00000000">
      <w:pPr>
        <w:tabs>
          <w:tab w:val="right" w:pos="7920"/>
        </w:tabs>
        <w:spacing w:before="20" w:after="60"/>
        <w:ind w:left="360"/>
      </w:pPr>
      <w:r>
        <w:rPr>
          <w:rFonts w:ascii="Times New Roman" w:hAnsi="Times New Roman"/>
        </w:rPr>
        <w:t>5.2  Healthcare Conversation Dataset</w:t>
      </w:r>
      <w:r>
        <w:rPr>
          <w:rFonts w:ascii="Times New Roman" w:hAnsi="Times New Roman"/>
        </w:rPr>
        <w:tab/>
        <w:t>17</w:t>
      </w:r>
    </w:p>
    <w:p w14:paraId="53964541" w14:textId="77777777" w:rsidR="003B729E" w:rsidRDefault="00000000">
      <w:pPr>
        <w:tabs>
          <w:tab w:val="right" w:pos="7920"/>
        </w:tabs>
        <w:spacing w:before="20" w:after="60"/>
        <w:ind w:left="360"/>
      </w:pPr>
      <w:r>
        <w:rPr>
          <w:rFonts w:ascii="Times New Roman" w:hAnsi="Times New Roman"/>
        </w:rPr>
        <w:t>5.3  Hospital Infrastructure Dataset</w:t>
      </w:r>
      <w:r>
        <w:rPr>
          <w:rFonts w:ascii="Times New Roman" w:hAnsi="Times New Roman"/>
        </w:rPr>
        <w:tab/>
        <w:t>17</w:t>
      </w:r>
    </w:p>
    <w:p w14:paraId="46EBA4B5" w14:textId="77777777" w:rsidR="003B729E" w:rsidRDefault="00000000">
      <w:pPr>
        <w:tabs>
          <w:tab w:val="right" w:pos="7920"/>
        </w:tabs>
        <w:spacing w:before="20" w:after="60"/>
        <w:ind w:left="360"/>
      </w:pPr>
      <w:r>
        <w:rPr>
          <w:rFonts w:ascii="Times New Roman" w:hAnsi="Times New Roman"/>
        </w:rPr>
        <w:t>5.4  Preprocessing Pipeline</w:t>
      </w:r>
      <w:r>
        <w:rPr>
          <w:rFonts w:ascii="Times New Roman" w:hAnsi="Times New Roman"/>
        </w:rPr>
        <w:tab/>
        <w:t>18</w:t>
      </w:r>
    </w:p>
    <w:p w14:paraId="591A8247" w14:textId="77777777" w:rsidR="003B729E" w:rsidRDefault="00000000">
      <w:pPr>
        <w:tabs>
          <w:tab w:val="right" w:pos="7920"/>
        </w:tabs>
        <w:spacing w:before="20" w:after="60"/>
      </w:pPr>
      <w:r>
        <w:rPr>
          <w:rFonts w:ascii="Times New Roman" w:hAnsi="Times New Roman"/>
          <w:b/>
          <w:sz w:val="24"/>
        </w:rPr>
        <w:t>6  Methodology</w:t>
      </w:r>
      <w:r>
        <w:rPr>
          <w:rFonts w:ascii="Times New Roman" w:hAnsi="Times New Roman"/>
          <w:sz w:val="24"/>
        </w:rPr>
        <w:tab/>
        <w:t>20</w:t>
      </w:r>
    </w:p>
    <w:p w14:paraId="6904C56B" w14:textId="77777777" w:rsidR="003B729E" w:rsidRDefault="00000000">
      <w:pPr>
        <w:tabs>
          <w:tab w:val="right" w:pos="7920"/>
        </w:tabs>
        <w:spacing w:before="20" w:after="60"/>
        <w:ind w:left="360"/>
      </w:pPr>
      <w:r>
        <w:rPr>
          <w:rFonts w:ascii="Times New Roman" w:hAnsi="Times New Roman"/>
        </w:rPr>
        <w:t>6.1  TF-IDF Vectorisation</w:t>
      </w:r>
      <w:r>
        <w:rPr>
          <w:rFonts w:ascii="Times New Roman" w:hAnsi="Times New Roman"/>
        </w:rPr>
        <w:tab/>
        <w:t>20</w:t>
      </w:r>
    </w:p>
    <w:p w14:paraId="77167BB9" w14:textId="77777777" w:rsidR="003B729E" w:rsidRDefault="00000000">
      <w:pPr>
        <w:tabs>
          <w:tab w:val="right" w:pos="7920"/>
        </w:tabs>
        <w:spacing w:before="20" w:after="60"/>
        <w:ind w:left="360"/>
      </w:pPr>
      <w:r>
        <w:rPr>
          <w:rFonts w:ascii="Times New Roman" w:hAnsi="Times New Roman"/>
        </w:rPr>
        <w:t>6.2  Logistic Regression and Naive Bayes</w:t>
      </w:r>
      <w:r>
        <w:rPr>
          <w:rFonts w:ascii="Times New Roman" w:hAnsi="Times New Roman"/>
        </w:rPr>
        <w:tab/>
        <w:t>21</w:t>
      </w:r>
    </w:p>
    <w:p w14:paraId="349570F4" w14:textId="77777777" w:rsidR="003B729E" w:rsidRDefault="00000000">
      <w:pPr>
        <w:tabs>
          <w:tab w:val="right" w:pos="7920"/>
        </w:tabs>
        <w:spacing w:before="20" w:after="60"/>
        <w:ind w:left="360"/>
      </w:pPr>
      <w:r>
        <w:rPr>
          <w:rFonts w:ascii="Times New Roman" w:hAnsi="Times New Roman"/>
        </w:rPr>
        <w:t>6.3  Top-K Prediction Logic</w:t>
      </w:r>
      <w:r>
        <w:rPr>
          <w:rFonts w:ascii="Times New Roman" w:hAnsi="Times New Roman"/>
        </w:rPr>
        <w:tab/>
        <w:t>22</w:t>
      </w:r>
    </w:p>
    <w:p w14:paraId="641B0725" w14:textId="77777777" w:rsidR="003B729E" w:rsidRDefault="00000000">
      <w:pPr>
        <w:tabs>
          <w:tab w:val="right" w:pos="7920"/>
        </w:tabs>
        <w:spacing w:before="20" w:after="60"/>
        <w:ind w:left="360"/>
      </w:pPr>
      <w:r>
        <w:rPr>
          <w:rFonts w:ascii="Times New Roman" w:hAnsi="Times New Roman"/>
        </w:rPr>
        <w:t>6.4  Uncertainty Estimation</w:t>
      </w:r>
      <w:r>
        <w:rPr>
          <w:rFonts w:ascii="Times New Roman" w:hAnsi="Times New Roman"/>
        </w:rPr>
        <w:tab/>
        <w:t>22</w:t>
      </w:r>
    </w:p>
    <w:p w14:paraId="7BEE13B8" w14:textId="77777777" w:rsidR="003B729E" w:rsidRDefault="00000000">
      <w:pPr>
        <w:tabs>
          <w:tab w:val="right" w:pos="7920"/>
        </w:tabs>
        <w:spacing w:before="20" w:after="60"/>
        <w:ind w:left="360"/>
      </w:pPr>
      <w:r>
        <w:rPr>
          <w:rFonts w:ascii="Times New Roman" w:hAnsi="Times New Roman"/>
        </w:rPr>
        <w:lastRenderedPageBreak/>
        <w:t>6.5  Why Decision Trees and XGBoost Failed</w:t>
      </w:r>
      <w:r>
        <w:rPr>
          <w:rFonts w:ascii="Times New Roman" w:hAnsi="Times New Roman"/>
        </w:rPr>
        <w:tab/>
        <w:t>23</w:t>
      </w:r>
    </w:p>
    <w:p w14:paraId="77776EA7" w14:textId="77777777" w:rsidR="003B729E" w:rsidRDefault="00000000">
      <w:pPr>
        <w:tabs>
          <w:tab w:val="right" w:pos="7920"/>
        </w:tabs>
        <w:spacing w:before="20" w:after="60"/>
      </w:pPr>
      <w:r>
        <w:rPr>
          <w:rFonts w:ascii="Times New Roman" w:hAnsi="Times New Roman"/>
          <w:b/>
          <w:sz w:val="24"/>
        </w:rPr>
        <w:t>7  Safety Architecture</w:t>
      </w:r>
      <w:r>
        <w:rPr>
          <w:rFonts w:ascii="Times New Roman" w:hAnsi="Times New Roman"/>
          <w:sz w:val="24"/>
        </w:rPr>
        <w:tab/>
        <w:t>25</w:t>
      </w:r>
    </w:p>
    <w:p w14:paraId="3BDD03C4" w14:textId="77777777" w:rsidR="003B729E" w:rsidRDefault="00000000">
      <w:pPr>
        <w:tabs>
          <w:tab w:val="right" w:pos="7920"/>
        </w:tabs>
        <w:spacing w:before="20" w:after="60"/>
        <w:ind w:left="360"/>
      </w:pPr>
      <w:r>
        <w:rPr>
          <w:rFonts w:ascii="Times New Roman" w:hAnsi="Times New Roman"/>
        </w:rPr>
        <w:t>7.1  Emergency Safety Override Layer</w:t>
      </w:r>
      <w:r>
        <w:rPr>
          <w:rFonts w:ascii="Times New Roman" w:hAnsi="Times New Roman"/>
        </w:rPr>
        <w:tab/>
        <w:t>25</w:t>
      </w:r>
    </w:p>
    <w:p w14:paraId="28E63CDD" w14:textId="77777777" w:rsidR="003B729E" w:rsidRDefault="00000000">
      <w:pPr>
        <w:tabs>
          <w:tab w:val="right" w:pos="7920"/>
        </w:tabs>
        <w:spacing w:before="20" w:after="60"/>
        <w:ind w:left="360"/>
      </w:pPr>
      <w:r>
        <w:rPr>
          <w:rFonts w:ascii="Times New Roman" w:hAnsi="Times New Roman"/>
        </w:rPr>
        <w:t>7.2  Medical Consistency Validation and Reranking</w:t>
      </w:r>
      <w:r>
        <w:rPr>
          <w:rFonts w:ascii="Times New Roman" w:hAnsi="Times New Roman"/>
        </w:rPr>
        <w:tab/>
        <w:t>26</w:t>
      </w:r>
    </w:p>
    <w:p w14:paraId="23B9A8C7" w14:textId="77777777" w:rsidR="003B729E" w:rsidRDefault="00000000">
      <w:pPr>
        <w:tabs>
          <w:tab w:val="right" w:pos="7920"/>
        </w:tabs>
        <w:spacing w:before="20" w:after="60"/>
        <w:ind w:left="360"/>
      </w:pPr>
      <w:r>
        <w:rPr>
          <w:rFonts w:ascii="Times New Roman" w:hAnsi="Times New Roman"/>
        </w:rPr>
        <w:t>7.3  Safety Metrics: EEA, MER, UPR</w:t>
      </w:r>
      <w:r>
        <w:rPr>
          <w:rFonts w:ascii="Times New Roman" w:hAnsi="Times New Roman"/>
        </w:rPr>
        <w:tab/>
        <w:t>27</w:t>
      </w:r>
    </w:p>
    <w:p w14:paraId="248CA081" w14:textId="77777777" w:rsidR="003B729E" w:rsidRDefault="00000000">
      <w:pPr>
        <w:tabs>
          <w:tab w:val="right" w:pos="7920"/>
        </w:tabs>
        <w:spacing w:before="20" w:after="60"/>
        <w:ind w:left="360"/>
      </w:pPr>
      <w:r>
        <w:rPr>
          <w:rFonts w:ascii="Times New Roman" w:hAnsi="Times New Roman"/>
        </w:rPr>
        <w:t>7.4  Before vs. After Comparison</w:t>
      </w:r>
      <w:r>
        <w:rPr>
          <w:rFonts w:ascii="Times New Roman" w:hAnsi="Times New Roman"/>
        </w:rPr>
        <w:tab/>
        <w:t>28</w:t>
      </w:r>
    </w:p>
    <w:p w14:paraId="41F62FE8" w14:textId="77777777" w:rsidR="003B729E" w:rsidRDefault="00000000">
      <w:pPr>
        <w:tabs>
          <w:tab w:val="right" w:pos="7920"/>
        </w:tabs>
        <w:spacing w:before="20" w:after="60"/>
      </w:pPr>
      <w:r>
        <w:rPr>
          <w:rFonts w:ascii="Times New Roman" w:hAnsi="Times New Roman"/>
          <w:b/>
          <w:sz w:val="24"/>
        </w:rPr>
        <w:t>8  Frontend and UX Design</w:t>
      </w:r>
      <w:r>
        <w:rPr>
          <w:rFonts w:ascii="Times New Roman" w:hAnsi="Times New Roman"/>
          <w:sz w:val="24"/>
        </w:rPr>
        <w:tab/>
        <w:t>30</w:t>
      </w:r>
    </w:p>
    <w:p w14:paraId="1C98B638" w14:textId="77777777" w:rsidR="003B729E" w:rsidRDefault="00000000">
      <w:pPr>
        <w:tabs>
          <w:tab w:val="right" w:pos="7920"/>
        </w:tabs>
        <w:spacing w:before="20" w:after="60"/>
      </w:pPr>
      <w:r>
        <w:rPr>
          <w:rFonts w:ascii="Times New Roman" w:hAnsi="Times New Roman"/>
          <w:b/>
          <w:sz w:val="24"/>
        </w:rPr>
        <w:t>9  Implementation Details</w:t>
      </w:r>
      <w:r>
        <w:rPr>
          <w:rFonts w:ascii="Times New Roman" w:hAnsi="Times New Roman"/>
          <w:sz w:val="24"/>
        </w:rPr>
        <w:tab/>
        <w:t>32</w:t>
      </w:r>
    </w:p>
    <w:p w14:paraId="29933B24" w14:textId="77777777" w:rsidR="003B729E" w:rsidRDefault="00000000">
      <w:pPr>
        <w:tabs>
          <w:tab w:val="right" w:pos="7920"/>
        </w:tabs>
        <w:spacing w:before="20" w:after="60"/>
      </w:pPr>
      <w:r>
        <w:rPr>
          <w:rFonts w:ascii="Times New Roman" w:hAnsi="Times New Roman"/>
          <w:b/>
          <w:sz w:val="24"/>
        </w:rPr>
        <w:t>10  Testing and Validation</w:t>
      </w:r>
      <w:r>
        <w:rPr>
          <w:rFonts w:ascii="Times New Roman" w:hAnsi="Times New Roman"/>
          <w:sz w:val="24"/>
        </w:rPr>
        <w:tab/>
        <w:t>35</w:t>
      </w:r>
    </w:p>
    <w:p w14:paraId="1050A1C8" w14:textId="77777777" w:rsidR="003B729E" w:rsidRDefault="00000000">
      <w:pPr>
        <w:tabs>
          <w:tab w:val="right" w:pos="7920"/>
        </w:tabs>
        <w:spacing w:before="20" w:after="60"/>
      </w:pPr>
      <w:r>
        <w:rPr>
          <w:rFonts w:ascii="Times New Roman" w:hAnsi="Times New Roman"/>
          <w:b/>
          <w:sz w:val="24"/>
        </w:rPr>
        <w:t>11  Results and Analysis</w:t>
      </w:r>
      <w:r>
        <w:rPr>
          <w:rFonts w:ascii="Times New Roman" w:hAnsi="Times New Roman"/>
          <w:sz w:val="24"/>
        </w:rPr>
        <w:tab/>
        <w:t>38</w:t>
      </w:r>
    </w:p>
    <w:p w14:paraId="005B36FF" w14:textId="77777777" w:rsidR="003B729E" w:rsidRDefault="00000000">
      <w:pPr>
        <w:tabs>
          <w:tab w:val="right" w:pos="7920"/>
        </w:tabs>
        <w:spacing w:before="20" w:after="60"/>
      </w:pPr>
      <w:r>
        <w:rPr>
          <w:rFonts w:ascii="Times New Roman" w:hAnsi="Times New Roman"/>
          <w:b/>
          <w:sz w:val="24"/>
        </w:rPr>
        <w:t>12  Limitations</w:t>
      </w:r>
      <w:r>
        <w:rPr>
          <w:rFonts w:ascii="Times New Roman" w:hAnsi="Times New Roman"/>
          <w:sz w:val="24"/>
        </w:rPr>
        <w:tab/>
        <w:t>42</w:t>
      </w:r>
    </w:p>
    <w:p w14:paraId="46599719" w14:textId="77777777" w:rsidR="003B729E" w:rsidRDefault="00000000">
      <w:pPr>
        <w:tabs>
          <w:tab w:val="right" w:pos="7920"/>
        </w:tabs>
        <w:spacing w:before="20" w:after="60"/>
      </w:pPr>
      <w:r>
        <w:rPr>
          <w:rFonts w:ascii="Times New Roman" w:hAnsi="Times New Roman"/>
          <w:b/>
          <w:sz w:val="24"/>
        </w:rPr>
        <w:t>13  Future Work</w:t>
      </w:r>
      <w:r>
        <w:rPr>
          <w:rFonts w:ascii="Times New Roman" w:hAnsi="Times New Roman"/>
          <w:sz w:val="24"/>
        </w:rPr>
        <w:tab/>
        <w:t>43</w:t>
      </w:r>
    </w:p>
    <w:p w14:paraId="76067857" w14:textId="77777777" w:rsidR="003B729E" w:rsidRDefault="00000000">
      <w:pPr>
        <w:tabs>
          <w:tab w:val="right" w:pos="7920"/>
        </w:tabs>
        <w:spacing w:before="20" w:after="60"/>
      </w:pPr>
      <w:r>
        <w:rPr>
          <w:rFonts w:ascii="Times New Roman" w:hAnsi="Times New Roman"/>
          <w:b/>
          <w:sz w:val="24"/>
        </w:rPr>
        <w:t>14  Conclusion</w:t>
      </w:r>
      <w:r>
        <w:rPr>
          <w:rFonts w:ascii="Times New Roman" w:hAnsi="Times New Roman"/>
          <w:sz w:val="24"/>
        </w:rPr>
        <w:tab/>
        <w:t>45</w:t>
      </w:r>
    </w:p>
    <w:p w14:paraId="71439D29" w14:textId="77777777" w:rsidR="003B729E" w:rsidRDefault="00000000">
      <w:pPr>
        <w:tabs>
          <w:tab w:val="right" w:pos="7920"/>
        </w:tabs>
        <w:spacing w:before="20" w:after="60"/>
      </w:pPr>
      <w:r>
        <w:rPr>
          <w:rFonts w:ascii="Times New Roman" w:hAnsi="Times New Roman"/>
          <w:b/>
          <w:sz w:val="24"/>
        </w:rPr>
        <w:t>References</w:t>
      </w:r>
      <w:r>
        <w:rPr>
          <w:rFonts w:ascii="Times New Roman" w:hAnsi="Times New Roman"/>
          <w:sz w:val="24"/>
        </w:rPr>
        <w:tab/>
        <w:t>46</w:t>
      </w:r>
    </w:p>
    <w:p w14:paraId="49F11BF7" w14:textId="77777777" w:rsidR="003B729E" w:rsidRDefault="00000000">
      <w:r>
        <w:br w:type="page"/>
      </w:r>
    </w:p>
    <w:p w14:paraId="41CAA620" w14:textId="77777777" w:rsidR="003B729E" w:rsidRDefault="00000000">
      <w:pPr>
        <w:spacing w:after="160"/>
        <w:jc w:val="center"/>
      </w:pPr>
      <w:r>
        <w:rPr>
          <w:rFonts w:ascii="Times New Roman" w:hAnsi="Times New Roman"/>
          <w:b/>
          <w:sz w:val="32"/>
          <w:u w:val="single"/>
        </w:rPr>
        <w:lastRenderedPageBreak/>
        <w:t>LIST OF FIGURES</w:t>
      </w:r>
    </w:p>
    <w:p w14:paraId="1653F9D6" w14:textId="77777777" w:rsidR="003B729E" w:rsidRDefault="003B729E">
      <w:pPr>
        <w:spacing w:after="80"/>
        <w:jc w:val="both"/>
      </w:pPr>
    </w:p>
    <w:p w14:paraId="2EA442E9" w14:textId="77777777" w:rsidR="003B729E" w:rsidRDefault="00000000">
      <w:pPr>
        <w:tabs>
          <w:tab w:val="right" w:pos="7920"/>
        </w:tabs>
      </w:pPr>
      <w:r>
        <w:rPr>
          <w:rFonts w:ascii="Times New Roman" w:hAnsi="Times New Roman"/>
          <w:b/>
          <w:sz w:val="24"/>
        </w:rPr>
        <w:t>Figure No.   Title</w:t>
      </w:r>
      <w:r>
        <w:rPr>
          <w:rFonts w:ascii="Times New Roman" w:hAnsi="Times New Roman"/>
          <w:b/>
          <w:sz w:val="24"/>
        </w:rPr>
        <w:tab/>
        <w:t>Page No.</w:t>
      </w:r>
    </w:p>
    <w:p w14:paraId="6EA7B903" w14:textId="77777777" w:rsidR="003B729E" w:rsidRDefault="003B729E">
      <w:pPr>
        <w:pBdr>
          <w:bottom w:val="single" w:sz="6" w:space="1" w:color="000000"/>
        </w:pBdr>
        <w:jc w:val="center"/>
      </w:pPr>
    </w:p>
    <w:p w14:paraId="33719629" w14:textId="77777777" w:rsidR="003B729E" w:rsidRDefault="00000000">
      <w:pPr>
        <w:tabs>
          <w:tab w:val="right" w:pos="7920"/>
        </w:tabs>
        <w:spacing w:before="20" w:after="60"/>
      </w:pPr>
      <w:r>
        <w:rPr>
          <w:rFonts w:ascii="Times New Roman" w:hAnsi="Times New Roman"/>
        </w:rPr>
        <w:t>Figure 4.1   MediAssist AI – End-to-End System Pipeline</w:t>
      </w:r>
      <w:r>
        <w:rPr>
          <w:rFonts w:ascii="Times New Roman" w:hAnsi="Times New Roman"/>
        </w:rPr>
        <w:tab/>
        <w:t>12</w:t>
      </w:r>
    </w:p>
    <w:p w14:paraId="279A764B" w14:textId="77777777" w:rsidR="003B729E" w:rsidRDefault="00000000">
      <w:pPr>
        <w:tabs>
          <w:tab w:val="right" w:pos="7920"/>
        </w:tabs>
        <w:spacing w:before="20" w:after="60"/>
      </w:pPr>
      <w:r>
        <w:rPr>
          <w:rFonts w:ascii="Times New Roman" w:hAnsi="Times New Roman"/>
        </w:rPr>
        <w:t>Figure 4.2   Emergency Safety Override Layer – Decision Flow</w:t>
      </w:r>
      <w:r>
        <w:rPr>
          <w:rFonts w:ascii="Times New Roman" w:hAnsi="Times New Roman"/>
        </w:rPr>
        <w:tab/>
        <w:t>13</w:t>
      </w:r>
    </w:p>
    <w:p w14:paraId="6BB8D517" w14:textId="77777777" w:rsidR="003B729E" w:rsidRDefault="00000000">
      <w:pPr>
        <w:tabs>
          <w:tab w:val="right" w:pos="7920"/>
        </w:tabs>
        <w:spacing w:before="20" w:after="60"/>
      </w:pPr>
      <w:r>
        <w:rPr>
          <w:rFonts w:ascii="Times New Roman" w:hAnsi="Times New Roman"/>
        </w:rPr>
        <w:t>Figure 4.3   Medical Consistency Validation – Reranking Pipeline</w:t>
      </w:r>
      <w:r>
        <w:rPr>
          <w:rFonts w:ascii="Times New Roman" w:hAnsi="Times New Roman"/>
        </w:rPr>
        <w:tab/>
        <w:t>14</w:t>
      </w:r>
    </w:p>
    <w:p w14:paraId="2CD3B5E3" w14:textId="77777777" w:rsidR="003B729E" w:rsidRDefault="00000000">
      <w:pPr>
        <w:tabs>
          <w:tab w:val="right" w:pos="7920"/>
        </w:tabs>
        <w:spacing w:before="20" w:after="60"/>
      </w:pPr>
      <w:r>
        <w:rPr>
          <w:rFonts w:ascii="Times New Roman" w:hAnsi="Times New Roman"/>
        </w:rPr>
        <w:t>Figure 5.1   Top-20 Disease Frequency Distribution</w:t>
      </w:r>
      <w:r>
        <w:rPr>
          <w:rFonts w:ascii="Times New Roman" w:hAnsi="Times New Roman"/>
        </w:rPr>
        <w:tab/>
        <w:t>16</w:t>
      </w:r>
    </w:p>
    <w:p w14:paraId="50F599E9" w14:textId="77777777" w:rsidR="003B729E" w:rsidRDefault="00000000">
      <w:pPr>
        <w:tabs>
          <w:tab w:val="right" w:pos="7920"/>
        </w:tabs>
        <w:spacing w:before="20" w:after="60"/>
      </w:pPr>
      <w:r>
        <w:rPr>
          <w:rFonts w:ascii="Times New Roman" w:hAnsi="Times New Roman"/>
        </w:rPr>
        <w:t>Figure 5.2   Symptom Co-occurrence Heatmap</w:t>
      </w:r>
      <w:r>
        <w:rPr>
          <w:rFonts w:ascii="Times New Roman" w:hAnsi="Times New Roman"/>
        </w:rPr>
        <w:tab/>
        <w:t>17</w:t>
      </w:r>
    </w:p>
    <w:p w14:paraId="791E4E51" w14:textId="77777777" w:rsidR="003B729E" w:rsidRDefault="00000000">
      <w:pPr>
        <w:tabs>
          <w:tab w:val="right" w:pos="7920"/>
        </w:tabs>
        <w:spacing w:before="20" w:after="60"/>
      </w:pPr>
      <w:r>
        <w:rPr>
          <w:rFonts w:ascii="Times New Roman" w:hAnsi="Times New Roman"/>
        </w:rPr>
        <w:t>Figure 5.3   Hospital State-wise Distribution</w:t>
      </w:r>
      <w:r>
        <w:rPr>
          <w:rFonts w:ascii="Times New Roman" w:hAnsi="Times New Roman"/>
        </w:rPr>
        <w:tab/>
        <w:t>18</w:t>
      </w:r>
    </w:p>
    <w:p w14:paraId="1AAF6EFE" w14:textId="77777777" w:rsidR="003B729E" w:rsidRDefault="00000000">
      <w:pPr>
        <w:tabs>
          <w:tab w:val="right" w:pos="7920"/>
        </w:tabs>
        <w:spacing w:before="20" w:after="60"/>
      </w:pPr>
      <w:r>
        <w:rPr>
          <w:rFonts w:ascii="Times New Roman" w:hAnsi="Times New Roman"/>
        </w:rPr>
        <w:t>Figure 5.4   Patient Query Length Distribution</w:t>
      </w:r>
      <w:r>
        <w:rPr>
          <w:rFonts w:ascii="Times New Roman" w:hAnsi="Times New Roman"/>
        </w:rPr>
        <w:tab/>
        <w:t>19</w:t>
      </w:r>
    </w:p>
    <w:p w14:paraId="5741B999" w14:textId="77777777" w:rsidR="003B729E" w:rsidRDefault="00000000">
      <w:pPr>
        <w:tabs>
          <w:tab w:val="right" w:pos="7920"/>
        </w:tabs>
        <w:spacing w:before="20" w:after="60"/>
      </w:pPr>
      <w:r>
        <w:rPr>
          <w:rFonts w:ascii="Times New Roman" w:hAnsi="Times New Roman"/>
        </w:rPr>
        <w:t>Figure 6.1   TF-IDF Sparse Feature Space Visualisation</w:t>
      </w:r>
      <w:r>
        <w:rPr>
          <w:rFonts w:ascii="Times New Roman" w:hAnsi="Times New Roman"/>
        </w:rPr>
        <w:tab/>
        <w:t>20</w:t>
      </w:r>
    </w:p>
    <w:p w14:paraId="0F7A0CAF" w14:textId="77777777" w:rsidR="003B729E" w:rsidRDefault="00000000">
      <w:pPr>
        <w:tabs>
          <w:tab w:val="right" w:pos="7920"/>
        </w:tabs>
        <w:spacing w:before="20" w:after="60"/>
      </w:pPr>
      <w:r>
        <w:rPr>
          <w:rFonts w:ascii="Times New Roman" w:hAnsi="Times New Roman"/>
        </w:rPr>
        <w:t>Figure 6.2   Model F1-Score Comparison – All Classifiers</w:t>
      </w:r>
      <w:r>
        <w:rPr>
          <w:rFonts w:ascii="Times New Roman" w:hAnsi="Times New Roman"/>
        </w:rPr>
        <w:tab/>
        <w:t>23</w:t>
      </w:r>
    </w:p>
    <w:p w14:paraId="584550D7" w14:textId="77777777" w:rsidR="003B729E" w:rsidRDefault="00000000">
      <w:pPr>
        <w:tabs>
          <w:tab w:val="right" w:pos="7920"/>
        </w:tabs>
        <w:spacing w:before="20" w:after="60"/>
      </w:pPr>
      <w:r>
        <w:rPr>
          <w:rFonts w:ascii="Times New Roman" w:hAnsi="Times New Roman"/>
        </w:rPr>
        <w:t>Figure 6.3   Model Inference Latency Comparison</w:t>
      </w:r>
      <w:r>
        <w:rPr>
          <w:rFonts w:ascii="Times New Roman" w:hAnsi="Times New Roman"/>
        </w:rPr>
        <w:tab/>
        <w:t>24</w:t>
      </w:r>
    </w:p>
    <w:p w14:paraId="763B3BF1" w14:textId="77777777" w:rsidR="003B729E" w:rsidRDefault="00000000">
      <w:pPr>
        <w:tabs>
          <w:tab w:val="right" w:pos="7920"/>
        </w:tabs>
        <w:spacing w:before="20" w:after="60"/>
      </w:pPr>
      <w:r>
        <w:rPr>
          <w:rFonts w:ascii="Times New Roman" w:hAnsi="Times New Roman"/>
        </w:rPr>
        <w:t>Figure 7.1   Safety Metrics – Before vs. After Hybrid Architecture</w:t>
      </w:r>
      <w:r>
        <w:rPr>
          <w:rFonts w:ascii="Times New Roman" w:hAnsi="Times New Roman"/>
        </w:rPr>
        <w:tab/>
        <w:t>28</w:t>
      </w:r>
    </w:p>
    <w:p w14:paraId="597785B5" w14:textId="77777777" w:rsidR="003B729E" w:rsidRDefault="00000000">
      <w:pPr>
        <w:tabs>
          <w:tab w:val="right" w:pos="7920"/>
        </w:tabs>
        <w:spacing w:before="20" w:after="60"/>
      </w:pPr>
      <w:r>
        <w:rPr>
          <w:rFonts w:ascii="Times New Roman" w:hAnsi="Times New Roman"/>
        </w:rPr>
        <w:t>Figure 7.2   Emergency Detection Confusion Matrix</w:t>
      </w:r>
      <w:r>
        <w:rPr>
          <w:rFonts w:ascii="Times New Roman" w:hAnsi="Times New Roman"/>
        </w:rPr>
        <w:tab/>
        <w:t>29</w:t>
      </w:r>
    </w:p>
    <w:p w14:paraId="59516604" w14:textId="77777777" w:rsidR="003B729E" w:rsidRDefault="00000000">
      <w:pPr>
        <w:tabs>
          <w:tab w:val="right" w:pos="7920"/>
        </w:tabs>
        <w:spacing w:before="20" w:after="60"/>
      </w:pPr>
      <w:r>
        <w:rPr>
          <w:rFonts w:ascii="Times New Roman" w:hAnsi="Times New Roman"/>
        </w:rPr>
        <w:t>Figure 7.3   Escalation Action Heatmap by Symptom Category</w:t>
      </w:r>
      <w:r>
        <w:rPr>
          <w:rFonts w:ascii="Times New Roman" w:hAnsi="Times New Roman"/>
        </w:rPr>
        <w:tab/>
        <w:t>29</w:t>
      </w:r>
    </w:p>
    <w:p w14:paraId="22C38B8F" w14:textId="77777777" w:rsidR="003B729E" w:rsidRDefault="00000000">
      <w:pPr>
        <w:tabs>
          <w:tab w:val="right" w:pos="7920"/>
        </w:tabs>
        <w:spacing w:before="20" w:after="60"/>
      </w:pPr>
      <w:r>
        <w:rPr>
          <w:rFonts w:ascii="Times New Roman" w:hAnsi="Times New Roman"/>
        </w:rPr>
        <w:t>Figure 7.4   Medical Consistency Penalty Impact</w:t>
      </w:r>
      <w:r>
        <w:rPr>
          <w:rFonts w:ascii="Times New Roman" w:hAnsi="Times New Roman"/>
        </w:rPr>
        <w:tab/>
        <w:t>30</w:t>
      </w:r>
    </w:p>
    <w:p w14:paraId="42CDBA33" w14:textId="77777777" w:rsidR="003B729E" w:rsidRDefault="00000000">
      <w:pPr>
        <w:tabs>
          <w:tab w:val="right" w:pos="7920"/>
        </w:tabs>
        <w:spacing w:before="20" w:after="60"/>
      </w:pPr>
      <w:r>
        <w:rPr>
          <w:rFonts w:ascii="Times New Roman" w:hAnsi="Times New Roman"/>
        </w:rPr>
        <w:t>Figure 10.1   Logistic Regression – Normalised Confusion Matrix</w:t>
      </w:r>
      <w:r>
        <w:rPr>
          <w:rFonts w:ascii="Times New Roman" w:hAnsi="Times New Roman"/>
        </w:rPr>
        <w:tab/>
        <w:t>36</w:t>
      </w:r>
    </w:p>
    <w:p w14:paraId="696D1AC7" w14:textId="77777777" w:rsidR="003B729E" w:rsidRDefault="00000000">
      <w:pPr>
        <w:tabs>
          <w:tab w:val="right" w:pos="7920"/>
        </w:tabs>
        <w:spacing w:before="20" w:after="60"/>
      </w:pPr>
      <w:r>
        <w:rPr>
          <w:rFonts w:ascii="Times New Roman" w:hAnsi="Times New Roman"/>
        </w:rPr>
        <w:t>Figure 10.2   Logistic Regression – Confidence Distribution</w:t>
      </w:r>
      <w:r>
        <w:rPr>
          <w:rFonts w:ascii="Times New Roman" w:hAnsi="Times New Roman"/>
        </w:rPr>
        <w:tab/>
        <w:t>36</w:t>
      </w:r>
    </w:p>
    <w:p w14:paraId="19A945D9" w14:textId="77777777" w:rsidR="003B729E" w:rsidRDefault="00000000">
      <w:pPr>
        <w:tabs>
          <w:tab w:val="right" w:pos="7920"/>
        </w:tabs>
        <w:spacing w:before="20" w:after="60"/>
      </w:pPr>
      <w:r>
        <w:rPr>
          <w:rFonts w:ascii="Times New Roman" w:hAnsi="Times New Roman"/>
        </w:rPr>
        <w:t>Figure 10.3   Logistic Regression – Uncertainty Entropy Histogram</w:t>
      </w:r>
      <w:r>
        <w:rPr>
          <w:rFonts w:ascii="Times New Roman" w:hAnsi="Times New Roman"/>
        </w:rPr>
        <w:tab/>
        <w:t>37</w:t>
      </w:r>
    </w:p>
    <w:p w14:paraId="0DE94B7C" w14:textId="77777777" w:rsidR="003B729E" w:rsidRDefault="00000000">
      <w:pPr>
        <w:tabs>
          <w:tab w:val="right" w:pos="7920"/>
        </w:tabs>
        <w:spacing w:before="20" w:after="60"/>
      </w:pPr>
      <w:r>
        <w:rPr>
          <w:rFonts w:ascii="Times New Roman" w:hAnsi="Times New Roman"/>
        </w:rPr>
        <w:t>Figure 10.4   Naive Bayes – Normalised Confusion Matrix</w:t>
      </w:r>
      <w:r>
        <w:rPr>
          <w:rFonts w:ascii="Times New Roman" w:hAnsi="Times New Roman"/>
        </w:rPr>
        <w:tab/>
        <w:t>37</w:t>
      </w:r>
    </w:p>
    <w:p w14:paraId="4A01899F" w14:textId="77777777" w:rsidR="003B729E" w:rsidRDefault="00000000">
      <w:pPr>
        <w:tabs>
          <w:tab w:val="right" w:pos="7920"/>
        </w:tabs>
        <w:spacing w:before="20" w:after="60"/>
      </w:pPr>
      <w:r>
        <w:rPr>
          <w:rFonts w:ascii="Times New Roman" w:hAnsi="Times New Roman"/>
        </w:rPr>
        <w:t>Figure 11.1   Confidence Score Distribution – Validation Suite</w:t>
      </w:r>
      <w:r>
        <w:rPr>
          <w:rFonts w:ascii="Times New Roman" w:hAnsi="Times New Roman"/>
        </w:rPr>
        <w:tab/>
        <w:t>39</w:t>
      </w:r>
    </w:p>
    <w:p w14:paraId="38096DBB" w14:textId="77777777" w:rsidR="003B729E" w:rsidRDefault="00000000">
      <w:pPr>
        <w:tabs>
          <w:tab w:val="right" w:pos="7920"/>
        </w:tabs>
        <w:spacing w:before="20" w:after="60"/>
      </w:pPr>
      <w:r>
        <w:rPr>
          <w:rFonts w:ascii="Times New Roman" w:hAnsi="Times New Roman"/>
        </w:rPr>
        <w:t>Figure 11.2   Severity Category Distribution – Test Cases</w:t>
      </w:r>
      <w:r>
        <w:rPr>
          <w:rFonts w:ascii="Times New Roman" w:hAnsi="Times New Roman"/>
        </w:rPr>
        <w:tab/>
        <w:t>40</w:t>
      </w:r>
    </w:p>
    <w:p w14:paraId="5CC37806" w14:textId="77777777" w:rsidR="003B729E" w:rsidRDefault="00000000">
      <w:r>
        <w:br w:type="page"/>
      </w:r>
    </w:p>
    <w:p w14:paraId="51E056E5" w14:textId="77777777" w:rsidR="003B729E" w:rsidRDefault="00000000">
      <w:pPr>
        <w:spacing w:after="160"/>
        <w:jc w:val="center"/>
      </w:pPr>
      <w:r>
        <w:rPr>
          <w:rFonts w:ascii="Times New Roman" w:hAnsi="Times New Roman"/>
          <w:b/>
          <w:sz w:val="32"/>
          <w:u w:val="single"/>
        </w:rPr>
        <w:lastRenderedPageBreak/>
        <w:t>LIST OF TABLES</w:t>
      </w:r>
    </w:p>
    <w:p w14:paraId="26726B6E" w14:textId="77777777" w:rsidR="003B729E" w:rsidRDefault="003B729E">
      <w:pPr>
        <w:spacing w:after="80"/>
        <w:jc w:val="both"/>
      </w:pPr>
    </w:p>
    <w:p w14:paraId="0E902571" w14:textId="77777777" w:rsidR="003B729E" w:rsidRDefault="00000000">
      <w:pPr>
        <w:tabs>
          <w:tab w:val="right" w:pos="7920"/>
        </w:tabs>
      </w:pPr>
      <w:r>
        <w:rPr>
          <w:rFonts w:ascii="Times New Roman" w:hAnsi="Times New Roman"/>
          <w:b/>
          <w:sz w:val="24"/>
        </w:rPr>
        <w:t>Table No.   Title</w:t>
      </w:r>
      <w:r>
        <w:rPr>
          <w:rFonts w:ascii="Times New Roman" w:hAnsi="Times New Roman"/>
          <w:b/>
          <w:sz w:val="24"/>
        </w:rPr>
        <w:tab/>
        <w:t>Page No.</w:t>
      </w:r>
    </w:p>
    <w:p w14:paraId="4AF928A8" w14:textId="77777777" w:rsidR="003B729E" w:rsidRDefault="003B729E">
      <w:pPr>
        <w:pBdr>
          <w:bottom w:val="single" w:sz="6" w:space="1" w:color="000000"/>
        </w:pBdr>
        <w:jc w:val="center"/>
      </w:pPr>
    </w:p>
    <w:p w14:paraId="53998F3E" w14:textId="77777777" w:rsidR="003B729E" w:rsidRDefault="00000000">
      <w:pPr>
        <w:tabs>
          <w:tab w:val="right" w:pos="7920"/>
        </w:tabs>
        <w:spacing w:before="20" w:after="60"/>
      </w:pPr>
      <w:r>
        <w:rPr>
          <w:rFonts w:ascii="Times New Roman" w:hAnsi="Times New Roman"/>
        </w:rPr>
        <w:t>Table 5.1   Dataset Summary – Size, Format, and Source</w:t>
      </w:r>
      <w:r>
        <w:rPr>
          <w:rFonts w:ascii="Times New Roman" w:hAnsi="Times New Roman"/>
        </w:rPr>
        <w:tab/>
        <w:t>16</w:t>
      </w:r>
    </w:p>
    <w:p w14:paraId="45193209" w14:textId="77777777" w:rsidR="003B729E" w:rsidRDefault="00000000">
      <w:pPr>
        <w:tabs>
          <w:tab w:val="right" w:pos="7920"/>
        </w:tabs>
        <w:spacing w:before="20" w:after="60"/>
      </w:pPr>
      <w:r>
        <w:rPr>
          <w:rFonts w:ascii="Times New Roman" w:hAnsi="Times New Roman"/>
        </w:rPr>
        <w:t>Table 5.2   Preprocessing Steps Applied to Each Dataset</w:t>
      </w:r>
      <w:r>
        <w:rPr>
          <w:rFonts w:ascii="Times New Roman" w:hAnsi="Times New Roman"/>
        </w:rPr>
        <w:tab/>
        <w:t>19</w:t>
      </w:r>
    </w:p>
    <w:p w14:paraId="72A16E6A" w14:textId="77777777" w:rsidR="003B729E" w:rsidRDefault="00000000">
      <w:pPr>
        <w:tabs>
          <w:tab w:val="right" w:pos="7920"/>
        </w:tabs>
        <w:spacing w:before="20" w:after="60"/>
      </w:pPr>
      <w:r>
        <w:rPr>
          <w:rFonts w:ascii="Times New Roman" w:hAnsi="Times New Roman"/>
        </w:rPr>
        <w:t>Table 6.1   TF-IDF Configuration Parameters</w:t>
      </w:r>
      <w:r>
        <w:rPr>
          <w:rFonts w:ascii="Times New Roman" w:hAnsi="Times New Roman"/>
        </w:rPr>
        <w:tab/>
        <w:t>21</w:t>
      </w:r>
    </w:p>
    <w:p w14:paraId="3615CEF8" w14:textId="77777777" w:rsidR="003B729E" w:rsidRDefault="00000000">
      <w:pPr>
        <w:tabs>
          <w:tab w:val="right" w:pos="7920"/>
        </w:tabs>
        <w:spacing w:before="20" w:after="60"/>
      </w:pPr>
      <w:r>
        <w:rPr>
          <w:rFonts w:ascii="Times New Roman" w:hAnsi="Times New Roman"/>
        </w:rPr>
        <w:t>Table 7.1   Emergency Symptom Categories and Trigger Keywords</w:t>
      </w:r>
      <w:r>
        <w:rPr>
          <w:rFonts w:ascii="Times New Roman" w:hAnsi="Times New Roman"/>
        </w:rPr>
        <w:tab/>
        <w:t>25</w:t>
      </w:r>
    </w:p>
    <w:p w14:paraId="7DB1E0AC" w14:textId="77777777" w:rsidR="003B729E" w:rsidRDefault="00000000">
      <w:pPr>
        <w:tabs>
          <w:tab w:val="right" w:pos="7920"/>
        </w:tabs>
        <w:spacing w:before="20" w:after="60"/>
      </w:pPr>
      <w:r>
        <w:rPr>
          <w:rFonts w:ascii="Times New Roman" w:hAnsi="Times New Roman"/>
        </w:rPr>
        <w:t>Table 7.2   Medical Consistency Penalty Scheme</w:t>
      </w:r>
      <w:r>
        <w:rPr>
          <w:rFonts w:ascii="Times New Roman" w:hAnsi="Times New Roman"/>
        </w:rPr>
        <w:tab/>
        <w:t>27</w:t>
      </w:r>
    </w:p>
    <w:p w14:paraId="2C052BDC" w14:textId="77777777" w:rsidR="003B729E" w:rsidRDefault="00000000">
      <w:pPr>
        <w:tabs>
          <w:tab w:val="right" w:pos="7920"/>
        </w:tabs>
        <w:spacing w:before="20" w:after="60"/>
      </w:pPr>
      <w:r>
        <w:rPr>
          <w:rFonts w:ascii="Times New Roman" w:hAnsi="Times New Roman"/>
        </w:rPr>
        <w:t>Table 7.3   Safety Metric Definitions</w:t>
      </w:r>
      <w:r>
        <w:rPr>
          <w:rFonts w:ascii="Times New Roman" w:hAnsi="Times New Roman"/>
        </w:rPr>
        <w:tab/>
        <w:t>27</w:t>
      </w:r>
    </w:p>
    <w:p w14:paraId="5D7056AF" w14:textId="77777777" w:rsidR="003B729E" w:rsidRDefault="00000000">
      <w:pPr>
        <w:tabs>
          <w:tab w:val="right" w:pos="7920"/>
        </w:tabs>
        <w:spacing w:before="20" w:after="60"/>
      </w:pPr>
      <w:r>
        <w:rPr>
          <w:rFonts w:ascii="Times New Roman" w:hAnsi="Times New Roman"/>
        </w:rPr>
        <w:t>Table 11.1   Model Performance Comparison – All Classifiers</w:t>
      </w:r>
      <w:r>
        <w:rPr>
          <w:rFonts w:ascii="Times New Roman" w:hAnsi="Times New Roman"/>
        </w:rPr>
        <w:tab/>
        <w:t>38</w:t>
      </w:r>
    </w:p>
    <w:p w14:paraId="39BA6785" w14:textId="77777777" w:rsidR="003B729E" w:rsidRDefault="00000000">
      <w:pPr>
        <w:tabs>
          <w:tab w:val="right" w:pos="7920"/>
        </w:tabs>
        <w:spacing w:before="20" w:after="60"/>
      </w:pPr>
      <w:r>
        <w:rPr>
          <w:rFonts w:ascii="Times New Roman" w:hAnsi="Times New Roman"/>
        </w:rPr>
        <w:t>Table 11.2   Final Safety Metrics – Validation Suite Results</w:t>
      </w:r>
      <w:r>
        <w:rPr>
          <w:rFonts w:ascii="Times New Roman" w:hAnsi="Times New Roman"/>
        </w:rPr>
        <w:tab/>
        <w:t>39</w:t>
      </w:r>
    </w:p>
    <w:p w14:paraId="3F221B07" w14:textId="77777777" w:rsidR="003B729E" w:rsidRDefault="00000000">
      <w:pPr>
        <w:tabs>
          <w:tab w:val="right" w:pos="7920"/>
        </w:tabs>
        <w:spacing w:before="20" w:after="60"/>
      </w:pPr>
      <w:r>
        <w:rPr>
          <w:rFonts w:ascii="Times New Roman" w:hAnsi="Times New Roman"/>
        </w:rPr>
        <w:t>Table 11.3   Before vs. After Safety Layer – Failure Reduction</w:t>
      </w:r>
      <w:r>
        <w:rPr>
          <w:rFonts w:ascii="Times New Roman" w:hAnsi="Times New Roman"/>
        </w:rPr>
        <w:tab/>
        <w:t>40</w:t>
      </w:r>
    </w:p>
    <w:p w14:paraId="1A73C0D9" w14:textId="77777777" w:rsidR="003B729E" w:rsidRDefault="00000000">
      <w:pPr>
        <w:tabs>
          <w:tab w:val="right" w:pos="7920"/>
        </w:tabs>
        <w:spacing w:before="20" w:after="60"/>
      </w:pPr>
      <w:r>
        <w:rPr>
          <w:rFonts w:ascii="Times New Roman" w:hAnsi="Times New Roman"/>
        </w:rPr>
        <w:t>Table 11.4   Top Confused Disease Pairs – Logistic Regression</w:t>
      </w:r>
      <w:r>
        <w:rPr>
          <w:rFonts w:ascii="Times New Roman" w:hAnsi="Times New Roman"/>
        </w:rPr>
        <w:tab/>
        <w:t>41</w:t>
      </w:r>
    </w:p>
    <w:p w14:paraId="65BA0E7C" w14:textId="77777777" w:rsidR="003B729E" w:rsidRDefault="00000000">
      <w:pPr>
        <w:tabs>
          <w:tab w:val="right" w:pos="7920"/>
        </w:tabs>
        <w:spacing w:before="20" w:after="60"/>
      </w:pPr>
      <w:r>
        <w:rPr>
          <w:rFonts w:ascii="Times New Roman" w:hAnsi="Times New Roman"/>
        </w:rPr>
        <w:t>Table 11.5   Hardest Disease Classes – Low F1-Score</w:t>
      </w:r>
      <w:r>
        <w:rPr>
          <w:rFonts w:ascii="Times New Roman" w:hAnsi="Times New Roman"/>
        </w:rPr>
        <w:tab/>
        <w:t>41</w:t>
      </w:r>
    </w:p>
    <w:p w14:paraId="2DCA9A18" w14:textId="77777777" w:rsidR="003B729E" w:rsidRDefault="00000000">
      <w:pPr>
        <w:spacing w:after="120" w:line="400" w:lineRule="exact"/>
      </w:pPr>
      <w:r>
        <w:rPr>
          <w:rFonts w:ascii="Times New Roman" w:hAnsi="Times New Roman"/>
          <w:b/>
          <w:sz w:val="32"/>
          <w:u w:val="single"/>
        </w:rPr>
        <w:t>Chapter 1: Introduction</w:t>
      </w:r>
    </w:p>
    <w:p w14:paraId="50864589" w14:textId="77777777" w:rsidR="003B729E" w:rsidRDefault="003B729E">
      <w:pPr>
        <w:pBdr>
          <w:bottom w:val="single" w:sz="6" w:space="1" w:color="4472C4"/>
        </w:pBdr>
      </w:pPr>
    </w:p>
    <w:p w14:paraId="4A268929" w14:textId="77777777" w:rsidR="003B729E" w:rsidRDefault="00000000">
      <w:pPr>
        <w:spacing w:before="200" w:after="80" w:line="360" w:lineRule="exact"/>
      </w:pPr>
      <w:r>
        <w:rPr>
          <w:rFonts w:ascii="Times New Roman" w:hAnsi="Times New Roman"/>
          <w:b/>
          <w:sz w:val="26"/>
        </w:rPr>
        <w:t>1.1  Background and Motivation</w:t>
      </w:r>
    </w:p>
    <w:p w14:paraId="4368D56B" w14:textId="77777777" w:rsidR="003B729E" w:rsidRDefault="00000000">
      <w:pPr>
        <w:spacing w:after="160" w:line="360" w:lineRule="exact"/>
        <w:ind w:firstLine="432"/>
        <w:jc w:val="both"/>
      </w:pPr>
      <w:r>
        <w:rPr>
          <w:rFonts w:ascii="Times New Roman" w:hAnsi="Times New Roman"/>
          <w:sz w:val="24"/>
        </w:rPr>
        <w:t>Access to reliable preliminary medical guidance remains a significant challenge in many parts of the world, particularly in low-resource and rural settings where qualified healthcare professionals may be scarce or difficult to reach. India alone has an estimated doctor-to-patient ratio well below the WHO-recommended standard of 1:1000, with rural regions disproportionately affected. In this context, there is a genuine and growing need for AI-assisted triage tools that can help patients understand the urgency of their symptoms and make informed decisions about seeking professional care.</w:t>
      </w:r>
    </w:p>
    <w:p w14:paraId="27D03673" w14:textId="77777777" w:rsidR="003B729E" w:rsidRDefault="00000000">
      <w:pPr>
        <w:spacing w:after="160" w:line="360" w:lineRule="exact"/>
        <w:ind w:firstLine="432"/>
        <w:jc w:val="both"/>
      </w:pPr>
      <w:r>
        <w:rPr>
          <w:rFonts w:ascii="Times New Roman" w:hAnsi="Times New Roman"/>
          <w:sz w:val="24"/>
        </w:rPr>
        <w:t>Over the last decade, machine learning has shown considerable promise in medical applications, ranging from diagnostic imaging to drug discovery. For symptom-based triage, approaches built on classical classification algorithms—particularly those using bag-of-words or TF-IDF feature representations—have demonstrated reasonable predictive accuracy on curated datasets. However, a fundamental problem has persisted: these systems are statistically driven and therefore do not inherently differentiate between the clinical urgency of different conditions. A purely probabilistic model might assign a high confidence score to a benign diagnosis even when the input symptoms describe a life-threatening emergency.</w:t>
      </w:r>
    </w:p>
    <w:p w14:paraId="79C5A5AD" w14:textId="77777777" w:rsidR="003B729E" w:rsidRDefault="00000000">
      <w:pPr>
        <w:spacing w:after="160" w:line="360" w:lineRule="exact"/>
        <w:ind w:firstLine="432"/>
        <w:jc w:val="both"/>
      </w:pPr>
      <w:r>
        <w:rPr>
          <w:rFonts w:ascii="Times New Roman" w:hAnsi="Times New Roman"/>
          <w:sz w:val="24"/>
        </w:rPr>
        <w:lastRenderedPageBreak/>
        <w:t>This issue is not merely academic. During exploratory testing conducted as part of this project, a TF-IDF-based Logistic Regression classifier—trained on over 163,000 labelled symptom records—produced outputs such as predicting 'Bell Palsy' for stroke symptoms and 'Asthma' for hemoptysis combined with acute respiratory distress. These are precisely the kind of failures that would be catastrophic in a real-world triage setting. The problem is not the machine learning model itself, but the architectural assumption that a single statistical pipeline is sufficient for healthcare decisions.</w:t>
      </w:r>
    </w:p>
    <w:p w14:paraId="2E71DE20" w14:textId="77777777" w:rsidR="003B729E" w:rsidRDefault="00000000">
      <w:pPr>
        <w:spacing w:after="160" w:line="360" w:lineRule="exact"/>
        <w:ind w:firstLine="432"/>
        <w:jc w:val="both"/>
      </w:pPr>
      <w:r>
        <w:rPr>
          <w:rFonts w:ascii="Times New Roman" w:hAnsi="Times New Roman"/>
          <w:sz w:val="24"/>
        </w:rPr>
        <w:t>MediAssist AI was designed in direct response to this observation. The project's central thesis is that in healthcare triage AI, safety and responsible escalation must always supersede raw prediction accuracy. This requires treating safety and statistical inference as separate, independently verifiable architectural layers rather than combining them into a single end-to-end model.</w:t>
      </w:r>
    </w:p>
    <w:p w14:paraId="61634A43" w14:textId="77777777" w:rsidR="003B729E" w:rsidRDefault="00000000">
      <w:pPr>
        <w:spacing w:before="280" w:after="80" w:line="360" w:lineRule="exact"/>
      </w:pPr>
      <w:r>
        <w:rPr>
          <w:rFonts w:ascii="Times New Roman" w:hAnsi="Times New Roman"/>
          <w:b/>
          <w:sz w:val="26"/>
        </w:rPr>
        <w:t>1.2  Scope of the Project</w:t>
      </w:r>
    </w:p>
    <w:p w14:paraId="3924E7F9" w14:textId="77777777" w:rsidR="003B729E" w:rsidRDefault="00000000">
      <w:pPr>
        <w:spacing w:after="160" w:line="360" w:lineRule="exact"/>
        <w:ind w:firstLine="432"/>
        <w:jc w:val="both"/>
      </w:pPr>
      <w:r>
        <w:rPr>
          <w:rFonts w:ascii="Times New Roman" w:hAnsi="Times New Roman"/>
          <w:sz w:val="24"/>
        </w:rPr>
        <w:t>MediAssist AI is explicitly positioned as a preliminary symptom analysis and triage assistance tool. It is not intended to replace professional medical consultation, and this distinction is made clear to the user throughout the interface. The system is designed to:</w:t>
      </w:r>
    </w:p>
    <w:p w14:paraId="57E40A0E" w14:textId="77777777" w:rsidR="003B729E" w:rsidRDefault="00000000">
      <w:pPr>
        <w:pStyle w:val="ListBullet"/>
        <w:spacing w:before="40" w:after="40" w:line="320" w:lineRule="exact"/>
        <w:ind w:left="576"/>
      </w:pPr>
      <w:r>
        <w:rPr>
          <w:rFonts w:ascii="Times New Roman" w:hAnsi="Times New Roman"/>
          <w:sz w:val="24"/>
        </w:rPr>
        <w:t>Accept natural language symptom descriptions from users.</w:t>
      </w:r>
    </w:p>
    <w:p w14:paraId="6262A9AE" w14:textId="77777777" w:rsidR="003B729E" w:rsidRDefault="00000000">
      <w:pPr>
        <w:pStyle w:val="ListBullet"/>
        <w:spacing w:before="40" w:after="40" w:line="320" w:lineRule="exact"/>
        <w:ind w:left="576"/>
      </w:pPr>
      <w:r>
        <w:rPr>
          <w:rFonts w:ascii="Times New Roman" w:hAnsi="Times New Roman"/>
          <w:sz w:val="24"/>
        </w:rPr>
        <w:t>Detect life-threatening emergency symptom patterns and escalate them immediately, bypassing any statistical inference.</w:t>
      </w:r>
    </w:p>
    <w:p w14:paraId="7E1455F1" w14:textId="77777777" w:rsidR="003B729E" w:rsidRDefault="00000000">
      <w:pPr>
        <w:pStyle w:val="ListBullet"/>
        <w:spacing w:before="40" w:after="40" w:line="320" w:lineRule="exact"/>
        <w:ind w:left="576"/>
      </w:pPr>
      <w:r>
        <w:rPr>
          <w:rFonts w:ascii="Times New Roman" w:hAnsi="Times New Roman"/>
          <w:sz w:val="24"/>
        </w:rPr>
        <w:t>Provide Top-K disease probability estimates for non-emergency inputs, accompanied by uncertainty indicators.</w:t>
      </w:r>
    </w:p>
    <w:p w14:paraId="6D3207AB" w14:textId="77777777" w:rsidR="003B729E" w:rsidRDefault="00000000">
      <w:pPr>
        <w:pStyle w:val="ListBullet"/>
        <w:spacing w:before="40" w:after="40" w:line="320" w:lineRule="exact"/>
        <w:ind w:left="576"/>
      </w:pPr>
      <w:r>
        <w:rPr>
          <w:rFonts w:ascii="Times New Roman" w:hAnsi="Times New Roman"/>
          <w:sz w:val="24"/>
        </w:rPr>
        <w:t>Validate the medical plausibility of predictions using category-aware consistency checking.</w:t>
      </w:r>
    </w:p>
    <w:p w14:paraId="335D148C" w14:textId="77777777" w:rsidR="003B729E" w:rsidRDefault="00000000">
      <w:pPr>
        <w:pStyle w:val="ListBullet"/>
        <w:spacing w:before="40" w:after="40" w:line="320" w:lineRule="exact"/>
        <w:ind w:left="576"/>
      </w:pPr>
      <w:r>
        <w:rPr>
          <w:rFonts w:ascii="Times New Roman" w:hAnsi="Times New Roman"/>
          <w:sz w:val="24"/>
        </w:rPr>
        <w:t>Recommend appropriate courses of action—ranging from home care for mild conditions to urgent hospital referral for severe presentations.</w:t>
      </w:r>
    </w:p>
    <w:p w14:paraId="14EA0838" w14:textId="77777777" w:rsidR="003B729E" w:rsidRDefault="00000000">
      <w:pPr>
        <w:pStyle w:val="ListBullet"/>
        <w:spacing w:before="40" w:after="40" w:line="320" w:lineRule="exact"/>
        <w:ind w:left="576"/>
      </w:pPr>
      <w:r>
        <w:rPr>
          <w:rFonts w:ascii="Times New Roman" w:hAnsi="Times New Roman"/>
          <w:sz w:val="24"/>
        </w:rPr>
        <w:t>Present outputs through a clean, severity-aware interface that communicates confidence levels, escalation status, and follow-up guidance clearly.</w:t>
      </w:r>
    </w:p>
    <w:p w14:paraId="7149F926" w14:textId="77777777" w:rsidR="003B729E" w:rsidRDefault="00000000">
      <w:pPr>
        <w:spacing w:after="160" w:line="360" w:lineRule="exact"/>
        <w:ind w:firstLine="432"/>
        <w:jc w:val="both"/>
      </w:pPr>
      <w:r>
        <w:rPr>
          <w:rFonts w:ascii="Times New Roman" w:hAnsi="Times New Roman"/>
          <w:sz w:val="24"/>
        </w:rPr>
        <w:t>The system is built entirely on classical machine learning, making it lightweight, interpretable, and deployable without specialised GPU hardware—an important practical consideration for resource-constrained environments.</w:t>
      </w:r>
    </w:p>
    <w:p w14:paraId="3DE81879" w14:textId="77777777" w:rsidR="003B729E" w:rsidRDefault="00000000">
      <w:pPr>
        <w:spacing w:before="280" w:after="80" w:line="360" w:lineRule="exact"/>
      </w:pPr>
      <w:r>
        <w:rPr>
          <w:rFonts w:ascii="Times New Roman" w:hAnsi="Times New Roman"/>
          <w:b/>
          <w:sz w:val="26"/>
        </w:rPr>
        <w:t>1.3  Project Objectives</w:t>
      </w:r>
    </w:p>
    <w:p w14:paraId="0BFFA291" w14:textId="77777777" w:rsidR="003B729E" w:rsidRDefault="00000000">
      <w:pPr>
        <w:spacing w:after="160" w:line="360" w:lineRule="exact"/>
        <w:ind w:firstLine="432"/>
        <w:jc w:val="both"/>
      </w:pPr>
      <w:r>
        <w:rPr>
          <w:rFonts w:ascii="Times New Roman" w:hAnsi="Times New Roman"/>
          <w:sz w:val="24"/>
        </w:rPr>
        <w:t>The following objectives were established at the outset of this project and guided every design and implementation decision:</w:t>
      </w:r>
    </w:p>
    <w:p w14:paraId="690C4886" w14:textId="77777777" w:rsidR="003B729E" w:rsidRDefault="00000000">
      <w:pPr>
        <w:spacing w:before="40" w:after="80" w:line="320" w:lineRule="exact"/>
        <w:ind w:left="576"/>
      </w:pPr>
      <w:r>
        <w:rPr>
          <w:rFonts w:ascii="Times New Roman" w:hAnsi="Times New Roman"/>
          <w:sz w:val="24"/>
        </w:rPr>
        <w:t>O1.  Design and implement a pre-ML Emergency Safety Override Layer that deterministically detects critical symptom combinations and triggers immediate escalation.</w:t>
      </w:r>
    </w:p>
    <w:p w14:paraId="17473132" w14:textId="77777777" w:rsidR="003B729E" w:rsidRDefault="00000000">
      <w:pPr>
        <w:spacing w:before="40" w:after="80" w:line="320" w:lineRule="exact"/>
        <w:ind w:left="576"/>
      </w:pPr>
      <w:r>
        <w:rPr>
          <w:rFonts w:ascii="Times New Roman" w:hAnsi="Times New Roman"/>
          <w:sz w:val="24"/>
        </w:rPr>
        <w:lastRenderedPageBreak/>
        <w:t>O2.  Train and evaluate classical machine learning classifiers (Logistic Regression, Naive Bayes) on a large, multi-class symptom-disease dataset and identify the best-performing model for sparse TF-IDF feature representations.</w:t>
      </w:r>
    </w:p>
    <w:p w14:paraId="21370FF3" w14:textId="77777777" w:rsidR="003B729E" w:rsidRDefault="00000000">
      <w:pPr>
        <w:spacing w:before="40" w:after="80" w:line="320" w:lineRule="exact"/>
        <w:ind w:left="576"/>
      </w:pPr>
      <w:r>
        <w:rPr>
          <w:rFonts w:ascii="Times New Roman" w:hAnsi="Times New Roman"/>
          <w:sz w:val="24"/>
        </w:rPr>
        <w:t>O3.  Implement Top-K prediction logic with uncertainty estimation to avoid overconfident single-label outputs for ambiguous symptom presentations.</w:t>
      </w:r>
    </w:p>
    <w:p w14:paraId="586BAD60" w14:textId="77777777" w:rsidR="003B729E" w:rsidRDefault="00000000">
      <w:pPr>
        <w:spacing w:before="40" w:after="80" w:line="320" w:lineRule="exact"/>
        <w:ind w:left="576"/>
      </w:pPr>
      <w:r>
        <w:rPr>
          <w:rFonts w:ascii="Times New Roman" w:hAnsi="Times New Roman"/>
          <w:sz w:val="24"/>
        </w:rPr>
        <w:t>O4.  Develop a Medical Consistency Validator that cross-references predicted disease categories with input symptom categories and applies confidence penalties to medically implausible predictions.</w:t>
      </w:r>
    </w:p>
    <w:p w14:paraId="35E71C62" w14:textId="77777777" w:rsidR="003B729E" w:rsidRDefault="00000000">
      <w:pPr>
        <w:spacing w:before="40" w:after="80" w:line="320" w:lineRule="exact"/>
        <w:ind w:left="576"/>
      </w:pPr>
      <w:r>
        <w:rPr>
          <w:rFonts w:ascii="Times New Roman" w:hAnsi="Times New Roman"/>
          <w:sz w:val="24"/>
        </w:rPr>
        <w:t>O5.  Build a safety-aware evaluation framework using healthcare-specific metrics: Emergency Escalation Accuracy (EEA), Missed Emergency Rate (MER), and Unsafe Prediction Rate (UPR).</w:t>
      </w:r>
    </w:p>
    <w:p w14:paraId="7E38B3A4" w14:textId="77777777" w:rsidR="003B729E" w:rsidRDefault="00000000">
      <w:pPr>
        <w:spacing w:before="40" w:after="80" w:line="320" w:lineRule="exact"/>
        <w:ind w:left="576"/>
      </w:pPr>
      <w:r>
        <w:rPr>
          <w:rFonts w:ascii="Times New Roman" w:hAnsi="Times New Roman"/>
          <w:sz w:val="24"/>
        </w:rPr>
        <w:t>O6.  Design a severity-aware Streamlit frontend with a glassmorphism aesthetic that communicates prediction confidence, escalation status, and home care guidance in a user-friendly manner.</w:t>
      </w:r>
    </w:p>
    <w:p w14:paraId="605084D3" w14:textId="77777777" w:rsidR="003B729E" w:rsidRDefault="00000000">
      <w:pPr>
        <w:spacing w:before="40" w:after="80" w:line="320" w:lineRule="exact"/>
        <w:ind w:left="576"/>
      </w:pPr>
      <w:r>
        <w:rPr>
          <w:rFonts w:ascii="Times New Roman" w:hAnsi="Times New Roman"/>
          <w:sz w:val="24"/>
        </w:rPr>
        <w:t>O7.  Conduct a comprehensive 500-case validation study and document all findings in a reproducible research framework.</w:t>
      </w:r>
    </w:p>
    <w:p w14:paraId="0C048260" w14:textId="77777777" w:rsidR="003B729E" w:rsidRDefault="00000000">
      <w:pPr>
        <w:spacing w:before="280" w:after="80" w:line="360" w:lineRule="exact"/>
      </w:pPr>
      <w:r>
        <w:rPr>
          <w:rFonts w:ascii="Times New Roman" w:hAnsi="Times New Roman"/>
          <w:b/>
          <w:sz w:val="26"/>
        </w:rPr>
        <w:t>1.4  Report Organisation</w:t>
      </w:r>
    </w:p>
    <w:p w14:paraId="240A49AF" w14:textId="77777777" w:rsidR="003B729E" w:rsidRDefault="00000000">
      <w:pPr>
        <w:spacing w:after="160" w:line="360" w:lineRule="exact"/>
        <w:ind w:firstLine="432"/>
        <w:jc w:val="both"/>
      </w:pPr>
      <w:r>
        <w:rPr>
          <w:rFonts w:ascii="Times New Roman" w:hAnsi="Times New Roman"/>
          <w:sz w:val="24"/>
        </w:rPr>
        <w:t>The remainder of this report is organised as follows. Chapter 2 reviews existing work on symptom-checking systems, ML-based healthcare assistants, and the identified gaps that motivated this project. Chapter 3 formally states the problem. Chapters 4 through 9 detail the system architecture, dataset, methodology, safety design, frontend, and implementation. Chapters 10 and 11 cover the testing strategy and results. Chapters 12 through 14 discuss limitations, future directions, and conclusions.</w:t>
      </w:r>
    </w:p>
    <w:p w14:paraId="39B989E1" w14:textId="77777777" w:rsidR="003B729E" w:rsidRDefault="00000000">
      <w:r>
        <w:br w:type="page"/>
      </w:r>
    </w:p>
    <w:p w14:paraId="1DEB4545" w14:textId="77777777" w:rsidR="003B729E" w:rsidRDefault="00000000">
      <w:pPr>
        <w:spacing w:after="120" w:line="400" w:lineRule="exact"/>
      </w:pPr>
      <w:r>
        <w:rPr>
          <w:rFonts w:ascii="Times New Roman" w:hAnsi="Times New Roman"/>
          <w:b/>
          <w:sz w:val="32"/>
          <w:u w:val="single"/>
        </w:rPr>
        <w:lastRenderedPageBreak/>
        <w:t>Chapter 2: Literature Survey</w:t>
      </w:r>
    </w:p>
    <w:p w14:paraId="65CD3B4F" w14:textId="77777777" w:rsidR="003B729E" w:rsidRDefault="003B729E">
      <w:pPr>
        <w:pBdr>
          <w:bottom w:val="single" w:sz="6" w:space="1" w:color="4472C4"/>
        </w:pBdr>
      </w:pPr>
    </w:p>
    <w:p w14:paraId="0D693E56" w14:textId="77777777" w:rsidR="003B729E" w:rsidRDefault="00000000">
      <w:pPr>
        <w:spacing w:after="160" w:line="360" w:lineRule="exact"/>
        <w:jc w:val="both"/>
      </w:pPr>
      <w:r>
        <w:rPr>
          <w:rFonts w:ascii="Times New Roman" w:hAnsi="Times New Roman"/>
          <w:sz w:val="24"/>
        </w:rPr>
        <w:t>This chapter surveys existing approaches to AI-assisted medical symptom checking, healthcare natural language processing, and uncertainty-aware classification. It identifies the key limitations in current work that this project directly addresses.</w:t>
      </w:r>
    </w:p>
    <w:p w14:paraId="19892DA8" w14:textId="77777777" w:rsidR="003B729E" w:rsidRDefault="00000000">
      <w:pPr>
        <w:spacing w:before="280" w:after="80" w:line="360" w:lineRule="exact"/>
      </w:pPr>
      <w:r>
        <w:rPr>
          <w:rFonts w:ascii="Times New Roman" w:hAnsi="Times New Roman"/>
          <w:b/>
          <w:sz w:val="26"/>
        </w:rPr>
        <w:t>2.1  Rule-Based and Symptom Checker Systems</w:t>
      </w:r>
    </w:p>
    <w:p w14:paraId="3EA9334A" w14:textId="77777777" w:rsidR="003B729E" w:rsidRDefault="00000000">
      <w:pPr>
        <w:spacing w:after="160" w:line="360" w:lineRule="exact"/>
        <w:ind w:firstLine="432"/>
        <w:jc w:val="both"/>
      </w:pPr>
      <w:r>
        <w:rPr>
          <w:rFonts w:ascii="Times New Roman" w:hAnsi="Times New Roman"/>
          <w:sz w:val="24"/>
        </w:rPr>
        <w:t>The earliest computer-assisted diagnostic tools were entirely rule-based—expert systems that encoded clinical decision trees constructed by domain specialists. Systems such as MYCIN [1] and Internist-1 [2], developed in the 1970s and 1980s, demonstrated that structured clinical knowledge could be represented computationally. However, these systems required enormous manual effort to build and were brittle: any symptom pattern outside the manually encoded rules was unhandled.</w:t>
      </w:r>
    </w:p>
    <w:p w14:paraId="7C216CA1" w14:textId="77777777" w:rsidR="003B729E" w:rsidRDefault="00000000">
      <w:pPr>
        <w:spacing w:after="160" w:line="360" w:lineRule="exact"/>
        <w:ind w:firstLine="432"/>
        <w:jc w:val="both"/>
      </w:pPr>
      <w:r>
        <w:rPr>
          <w:rFonts w:ascii="Times New Roman" w:hAnsi="Times New Roman"/>
          <w:sz w:val="24"/>
        </w:rPr>
        <w:t>Modern consumer-facing symptom checkers, such as Ada Health, Babylon Health, and WebMD's Symptom Checker, typically combine probabilistic Bayesian networks with curated medical ontologies. Studies assessing these tools have found significant variability in their accuracy [3]. Semigran et al. (2015) evaluated 23 symptom checkers and found that the correct diagnosis appeared first in only 34% of cases, though it appeared in the top-20 results 58% of the time [4]. Critically, most of these systems lacked explicit emergency detection mechanisms, raising patient safety concerns for high-acuity presentations.</w:t>
      </w:r>
    </w:p>
    <w:p w14:paraId="29515905" w14:textId="77777777" w:rsidR="003B729E" w:rsidRDefault="00000000">
      <w:pPr>
        <w:spacing w:after="160" w:line="360" w:lineRule="exact"/>
        <w:ind w:firstLine="432"/>
        <w:jc w:val="both"/>
      </w:pPr>
      <w:r>
        <w:rPr>
          <w:rFonts w:ascii="Times New Roman" w:hAnsi="Times New Roman"/>
          <w:sz w:val="24"/>
        </w:rPr>
        <w:t>The fundamental limitation of purely rule-based approaches is their inability to generalise to unseen symptom combinations. This motivated the shift toward data-driven machine learning methods in healthcare NLP research.</w:t>
      </w:r>
    </w:p>
    <w:p w14:paraId="30D0EA76" w14:textId="77777777" w:rsidR="003B729E" w:rsidRDefault="00000000">
      <w:pPr>
        <w:spacing w:before="280" w:after="80" w:line="360" w:lineRule="exact"/>
      </w:pPr>
      <w:r>
        <w:rPr>
          <w:rFonts w:ascii="Times New Roman" w:hAnsi="Times New Roman"/>
          <w:b/>
          <w:sz w:val="26"/>
        </w:rPr>
        <w:t>2.2  Machine Learning Approaches in Healthcare Symptom Analysis</w:t>
      </w:r>
    </w:p>
    <w:p w14:paraId="59BF7BF2" w14:textId="77777777" w:rsidR="003B729E" w:rsidRDefault="00000000">
      <w:pPr>
        <w:spacing w:after="160" w:line="360" w:lineRule="exact"/>
        <w:ind w:firstLine="432"/>
        <w:jc w:val="both"/>
      </w:pPr>
      <w:r>
        <w:rPr>
          <w:rFonts w:ascii="Times New Roman" w:hAnsi="Times New Roman"/>
          <w:sz w:val="24"/>
        </w:rPr>
        <w:t>Text-based symptom classification using machine learning was explored as early as the 2000s. Chapman et al. (2001) demonstrated that simple NLP pipelines could extract meaningful clinical features from patient records [5]. The subsequent decade saw TF-IDF vectorisation become the de facto baseline for medical text classification due to its simplicity, interpretability, and effectiveness on sparse, domain-specific vocabulary [6].</w:t>
      </w:r>
    </w:p>
    <w:p w14:paraId="2202CCE8" w14:textId="77777777" w:rsidR="003B729E" w:rsidRDefault="00000000">
      <w:pPr>
        <w:spacing w:after="160" w:line="360" w:lineRule="exact"/>
        <w:ind w:firstLine="432"/>
        <w:jc w:val="both"/>
      </w:pPr>
      <w:r>
        <w:rPr>
          <w:rFonts w:ascii="Times New Roman" w:hAnsi="Times New Roman"/>
          <w:sz w:val="24"/>
        </w:rPr>
        <w:t xml:space="preserve">Logistic Regression has consistently been a strong performer in multi-class text classification tasks, including medical symptom prediction. Wang and Manning (2012) showed that for high-dimensional sparse features—precisely the setting produced by TF-IDF on medical text—Logistic Regression often outperforms more complex models including Support Vector Machines and ensemble methods [7]. This finding is directly </w:t>
      </w:r>
      <w:r>
        <w:rPr>
          <w:rFonts w:ascii="Times New Roman" w:hAnsi="Times New Roman"/>
          <w:sz w:val="24"/>
        </w:rPr>
        <w:lastRenderedPageBreak/>
        <w:t>relevant to MediAssist AI and is empirically confirmed by the results presented in Chapter 11.</w:t>
      </w:r>
    </w:p>
    <w:p w14:paraId="607B9986" w14:textId="77777777" w:rsidR="003B729E" w:rsidRDefault="00000000">
      <w:pPr>
        <w:spacing w:after="160" w:line="360" w:lineRule="exact"/>
        <w:ind w:firstLine="432"/>
        <w:jc w:val="both"/>
      </w:pPr>
      <w:r>
        <w:rPr>
          <w:rFonts w:ascii="Times New Roman" w:hAnsi="Times New Roman"/>
          <w:sz w:val="24"/>
        </w:rPr>
        <w:t>Random Forest classifiers have been applied to symptom-based diagnosis by several researchers [8]. While Random Forests can capture non-linear interactions between features, they tend to perform poorly when features are highly sparse—the typical case with TF-IDF vectors over a large symptom vocabulary. Each tree in the forest sees only a random subset of features per split, which in sparse spaces results in most splits being uninformative. The experimental results in this project confirmed this behaviour, with Random Forest performing 2–3% below Logistic Regression on the primary evaluation metrics.</w:t>
      </w:r>
    </w:p>
    <w:p w14:paraId="00BDA132" w14:textId="77777777" w:rsidR="003B729E" w:rsidRDefault="00000000">
      <w:pPr>
        <w:spacing w:after="160" w:line="360" w:lineRule="exact"/>
        <w:ind w:firstLine="432"/>
        <w:jc w:val="both"/>
      </w:pPr>
      <w:r>
        <w:rPr>
          <w:rFonts w:ascii="Times New Roman" w:hAnsi="Times New Roman"/>
          <w:sz w:val="24"/>
        </w:rPr>
        <w:t>Naive Bayes classifiers have a long history in text classification and have been applied to medical symptom analysis as well [9]. Despite their independence assumption—which is rarely satisfied in practice—Naive Bayes often performs surprisingly well on sparse text features, and was retained as a secondary classifier in MediAssist AI for comparison purposes.</w:t>
      </w:r>
    </w:p>
    <w:p w14:paraId="05DDA3C7" w14:textId="77777777" w:rsidR="003B729E" w:rsidRDefault="00000000">
      <w:pPr>
        <w:spacing w:before="280" w:after="80" w:line="360" w:lineRule="exact"/>
      </w:pPr>
      <w:r>
        <w:rPr>
          <w:rFonts w:ascii="Times New Roman" w:hAnsi="Times New Roman"/>
          <w:b/>
          <w:sz w:val="26"/>
        </w:rPr>
        <w:t>2.3  Transformer-Based Healthcare NLP</w:t>
      </w:r>
    </w:p>
    <w:p w14:paraId="22E0CE01" w14:textId="77777777" w:rsidR="003B729E" w:rsidRDefault="00000000">
      <w:pPr>
        <w:spacing w:after="160" w:line="360" w:lineRule="exact"/>
        <w:ind w:firstLine="432"/>
        <w:jc w:val="both"/>
      </w:pPr>
      <w:r>
        <w:rPr>
          <w:rFonts w:ascii="Times New Roman" w:hAnsi="Times New Roman"/>
          <w:sz w:val="24"/>
        </w:rPr>
        <w:t>The introduction of transformer architectures [10] and pre-trained language models such as BERT [11] significantly advanced the state of the art in clinical NLP. BioBERT [12], trained on biomedical literature, demonstrated strong performance on named entity recognition and relation extraction tasks in clinical text. ClinicalBERT [13] extended this to patient notes, achieving notable improvements in mortality prediction and hospital readmission tasks.</w:t>
      </w:r>
    </w:p>
    <w:p w14:paraId="254BD0FE" w14:textId="77777777" w:rsidR="003B729E" w:rsidRDefault="00000000">
      <w:pPr>
        <w:spacing w:after="160" w:line="360" w:lineRule="exact"/>
        <w:ind w:firstLine="432"/>
        <w:jc w:val="both"/>
      </w:pPr>
      <w:r>
        <w:rPr>
          <w:rFonts w:ascii="Times New Roman" w:hAnsi="Times New Roman"/>
          <w:sz w:val="24"/>
        </w:rPr>
        <w:t>For conversational symptom checking, models such as MedPaLM [14] and GPT-4 [15] have been evaluated in clinical Q&amp;A contexts with promising results. However, these large language models introduce substantial challenges for the kind of deployment targeted by MediAssist AI: they require significant computational resources, their reasoning is opaque and difficult to audit, and they can produce plausible-sounding but medically incorrect outputs without any inherent safety guardrail.</w:t>
      </w:r>
    </w:p>
    <w:p w14:paraId="689D658B" w14:textId="77777777" w:rsidR="003B729E" w:rsidRDefault="00000000">
      <w:pPr>
        <w:spacing w:after="160" w:line="360" w:lineRule="exact"/>
        <w:ind w:firstLine="432"/>
        <w:jc w:val="both"/>
      </w:pPr>
      <w:r>
        <w:rPr>
          <w:rFonts w:ascii="Times New Roman" w:hAnsi="Times New Roman"/>
          <w:sz w:val="24"/>
        </w:rPr>
        <w:t>Crucially, no existing transformer-based symptom checker, to the best of our knowledge, implements a deterministic emergency override layer that bypasses model inference entirely when life-threatening symptoms are detected. This represents a fundamental architectural gap that MediAssist AI is designed to address.</w:t>
      </w:r>
    </w:p>
    <w:p w14:paraId="794D6FB4" w14:textId="77777777" w:rsidR="003B729E" w:rsidRDefault="00000000">
      <w:pPr>
        <w:spacing w:before="280" w:after="80" w:line="360" w:lineRule="exact"/>
      </w:pPr>
      <w:r>
        <w:rPr>
          <w:rFonts w:ascii="Times New Roman" w:hAnsi="Times New Roman"/>
          <w:b/>
          <w:sz w:val="26"/>
        </w:rPr>
        <w:t>2.4  Uncertainty Estimation in Medical AI</w:t>
      </w:r>
    </w:p>
    <w:p w14:paraId="2AC34B9F" w14:textId="77777777" w:rsidR="003B729E" w:rsidRDefault="00000000">
      <w:pPr>
        <w:spacing w:after="160" w:line="360" w:lineRule="exact"/>
        <w:ind w:firstLine="432"/>
        <w:jc w:val="both"/>
      </w:pPr>
      <w:r>
        <w:rPr>
          <w:rFonts w:ascii="Times New Roman" w:hAnsi="Times New Roman"/>
          <w:sz w:val="24"/>
        </w:rPr>
        <w:lastRenderedPageBreak/>
        <w:t>The importance of uncertainty quantification in healthcare AI has been recognised in several recent works. Begoli et al. (2019) argued that uncertainty awareness is a prerequisite for trustworthy medical AI, noting that overconfident predictions in clinical settings can actively harm patients [16]. Leibig et al. (2017) applied Monte Carlo dropout to retinal imaging models and showed that uncertainty estimates correlated with clinically meaningful error rates [17].</w:t>
      </w:r>
    </w:p>
    <w:p w14:paraId="2138D6B9" w14:textId="77777777" w:rsidR="003B729E" w:rsidRDefault="00000000">
      <w:pPr>
        <w:spacing w:after="160" w:line="360" w:lineRule="exact"/>
        <w:ind w:firstLine="432"/>
        <w:jc w:val="both"/>
      </w:pPr>
      <w:r>
        <w:rPr>
          <w:rFonts w:ascii="Times New Roman" w:hAnsi="Times New Roman"/>
          <w:sz w:val="24"/>
        </w:rPr>
        <w:t>For classical classifiers, the softmax probability distribution provides a natural uncertainty signal, though it is known to be poorly calibrated—models often assign high probabilities to incorrect predictions. Guo et al. (2017) demonstrated that temperature scaling can significantly improve calibration of deep classifiers [18], though this technique is less commonly applied to classical ML models. MediAssist AI uses entropy of the softmax distribution and the gap between the top-1 and top-2 probabilities as practical uncertainty indicators, an approach consistent with the recommendations of Hendrycks and Gimpel (2017) [19].</w:t>
      </w:r>
    </w:p>
    <w:p w14:paraId="1C924762" w14:textId="77777777" w:rsidR="003B729E" w:rsidRDefault="00000000">
      <w:pPr>
        <w:spacing w:before="280" w:after="80" w:line="360" w:lineRule="exact"/>
      </w:pPr>
      <w:r>
        <w:rPr>
          <w:rFonts w:ascii="Times New Roman" w:hAnsi="Times New Roman"/>
          <w:b/>
          <w:sz w:val="26"/>
        </w:rPr>
        <w:t>2.5  Medical Plausibility and Consistency Validation</w:t>
      </w:r>
    </w:p>
    <w:p w14:paraId="32C93BB7" w14:textId="77777777" w:rsidR="003B729E" w:rsidRDefault="00000000">
      <w:pPr>
        <w:spacing w:after="160" w:line="360" w:lineRule="exact"/>
        <w:ind w:firstLine="432"/>
        <w:jc w:val="both"/>
      </w:pPr>
      <w:r>
        <w:rPr>
          <w:rFonts w:ascii="Times New Roman" w:hAnsi="Times New Roman"/>
          <w:sz w:val="24"/>
        </w:rPr>
        <w:t>Medical plausibility checking—verifying that an AI prediction is consistent with the clinical category of the user's symptoms—has received relatively little attention in the symptom-checker literature. Topaz et al. (2016) discussed the importance of clinical decision support alerts being contextually appropriate, noting that alert fatigue from medically implausible suggestions reduces clinical utility [20].</w:t>
      </w:r>
    </w:p>
    <w:p w14:paraId="6D04AF66" w14:textId="77777777" w:rsidR="003B729E" w:rsidRDefault="00000000">
      <w:pPr>
        <w:spacing w:after="160" w:line="360" w:lineRule="exact"/>
        <w:ind w:firstLine="432"/>
        <w:jc w:val="both"/>
      </w:pPr>
      <w:r>
        <w:rPr>
          <w:rFonts w:ascii="Times New Roman" w:hAnsi="Times New Roman"/>
          <w:sz w:val="24"/>
        </w:rPr>
        <w:t>The approach taken in MediAssist AI—mapping symptoms and diseases to predefined clinical categories and applying multiplicative confidence penalties for category mismatches—is a novel lightweight alternative to full medical ontology integration. It does not require SNOMED-CT or ICD-10 database access at inference time, making it practical for resource-constrained deployments.</w:t>
      </w:r>
    </w:p>
    <w:p w14:paraId="67C9C6AD" w14:textId="77777777" w:rsidR="003B729E" w:rsidRDefault="00000000">
      <w:pPr>
        <w:spacing w:before="280" w:after="80" w:line="360" w:lineRule="exact"/>
      </w:pPr>
      <w:r>
        <w:rPr>
          <w:rFonts w:ascii="Times New Roman" w:hAnsi="Times New Roman"/>
          <w:b/>
          <w:sz w:val="26"/>
        </w:rPr>
        <w:t>2.6  Comparative Summary</w:t>
      </w:r>
    </w:p>
    <w:p w14:paraId="42D7C6F8" w14:textId="77777777" w:rsidR="003B729E" w:rsidRDefault="00000000">
      <w:pPr>
        <w:spacing w:after="120" w:line="360" w:lineRule="exact"/>
        <w:jc w:val="both"/>
      </w:pPr>
      <w:r>
        <w:rPr>
          <w:rFonts w:ascii="Times New Roman" w:hAnsi="Times New Roman"/>
          <w:sz w:val="24"/>
        </w:rPr>
        <w:t>Table 2.1 summarises the key characteristics of existing approaches in relation to the design requirements of MediAssist AI.</w:t>
      </w:r>
    </w:p>
    <w:tbl>
      <w:tblPr>
        <w:tblStyle w:val="TableGrid"/>
        <w:tblW w:w="0" w:type="auto"/>
        <w:tblLook w:val="04A0" w:firstRow="1" w:lastRow="0" w:firstColumn="1" w:lastColumn="0" w:noHBand="0" w:noVBand="1"/>
      </w:tblPr>
      <w:tblGrid>
        <w:gridCol w:w="1734"/>
        <w:gridCol w:w="1734"/>
        <w:gridCol w:w="1734"/>
        <w:gridCol w:w="1734"/>
        <w:gridCol w:w="1734"/>
      </w:tblGrid>
      <w:tr w:rsidR="003B729E" w14:paraId="567F6D15" w14:textId="77777777">
        <w:tc>
          <w:tcPr>
            <w:tcW w:w="1734" w:type="dxa"/>
          </w:tcPr>
          <w:p w14:paraId="6AF8F60D" w14:textId="77777777" w:rsidR="003B729E" w:rsidRDefault="00000000">
            <w:pPr>
              <w:jc w:val="center"/>
            </w:pPr>
            <w:r>
              <w:rPr>
                <w:rFonts w:ascii="Times New Roman" w:hAnsi="Times New Roman"/>
                <w:b/>
              </w:rPr>
              <w:t>System Type</w:t>
            </w:r>
          </w:p>
        </w:tc>
        <w:tc>
          <w:tcPr>
            <w:tcW w:w="1734" w:type="dxa"/>
          </w:tcPr>
          <w:p w14:paraId="6C044861" w14:textId="77777777" w:rsidR="003B729E" w:rsidRDefault="00000000">
            <w:pPr>
              <w:jc w:val="center"/>
            </w:pPr>
            <w:r>
              <w:rPr>
                <w:rFonts w:ascii="Times New Roman" w:hAnsi="Times New Roman"/>
                <w:b/>
              </w:rPr>
              <w:t>Accuracy</w:t>
            </w:r>
          </w:p>
        </w:tc>
        <w:tc>
          <w:tcPr>
            <w:tcW w:w="1734" w:type="dxa"/>
          </w:tcPr>
          <w:p w14:paraId="7B59B496" w14:textId="77777777" w:rsidR="003B729E" w:rsidRDefault="00000000">
            <w:pPr>
              <w:jc w:val="center"/>
            </w:pPr>
            <w:r>
              <w:rPr>
                <w:rFonts w:ascii="Times New Roman" w:hAnsi="Times New Roman"/>
                <w:b/>
              </w:rPr>
              <w:t>Uncertainty</w:t>
            </w:r>
            <w:r>
              <w:rPr>
                <w:rFonts w:ascii="Times New Roman" w:hAnsi="Times New Roman"/>
                <w:b/>
              </w:rPr>
              <w:br/>
              <w:t>Aware</w:t>
            </w:r>
          </w:p>
        </w:tc>
        <w:tc>
          <w:tcPr>
            <w:tcW w:w="1734" w:type="dxa"/>
          </w:tcPr>
          <w:p w14:paraId="3B71C85E" w14:textId="77777777" w:rsidR="003B729E" w:rsidRDefault="00000000">
            <w:pPr>
              <w:jc w:val="center"/>
            </w:pPr>
            <w:r>
              <w:rPr>
                <w:rFonts w:ascii="Times New Roman" w:hAnsi="Times New Roman"/>
                <w:b/>
              </w:rPr>
              <w:t>Emergency</w:t>
            </w:r>
            <w:r>
              <w:rPr>
                <w:rFonts w:ascii="Times New Roman" w:hAnsi="Times New Roman"/>
                <w:b/>
              </w:rPr>
              <w:br/>
              <w:t>Detection</w:t>
            </w:r>
          </w:p>
        </w:tc>
        <w:tc>
          <w:tcPr>
            <w:tcW w:w="1734" w:type="dxa"/>
          </w:tcPr>
          <w:p w14:paraId="17208AF4" w14:textId="77777777" w:rsidR="003B729E" w:rsidRDefault="00000000">
            <w:pPr>
              <w:jc w:val="center"/>
            </w:pPr>
            <w:r>
              <w:rPr>
                <w:rFonts w:ascii="Times New Roman" w:hAnsi="Times New Roman"/>
                <w:b/>
              </w:rPr>
              <w:t>Lightweight</w:t>
            </w:r>
          </w:p>
        </w:tc>
      </w:tr>
      <w:tr w:rsidR="003B729E" w14:paraId="53F4CFF2" w14:textId="77777777">
        <w:tc>
          <w:tcPr>
            <w:tcW w:w="1734" w:type="dxa"/>
          </w:tcPr>
          <w:p w14:paraId="7188B28A" w14:textId="77777777" w:rsidR="003B729E" w:rsidRDefault="00000000">
            <w:pPr>
              <w:jc w:val="center"/>
            </w:pPr>
            <w:r>
              <w:rPr>
                <w:rFonts w:ascii="Times New Roman" w:hAnsi="Times New Roman"/>
              </w:rPr>
              <w:t>Rule-Based Systems</w:t>
            </w:r>
          </w:p>
        </w:tc>
        <w:tc>
          <w:tcPr>
            <w:tcW w:w="1734" w:type="dxa"/>
          </w:tcPr>
          <w:p w14:paraId="24365843" w14:textId="77777777" w:rsidR="003B729E" w:rsidRDefault="00000000">
            <w:pPr>
              <w:jc w:val="center"/>
            </w:pPr>
            <w:r>
              <w:rPr>
                <w:rFonts w:ascii="Times New Roman" w:hAnsi="Times New Roman"/>
                <w:color w:val="B40000"/>
              </w:rPr>
              <w:t>Low</w:t>
            </w:r>
          </w:p>
        </w:tc>
        <w:tc>
          <w:tcPr>
            <w:tcW w:w="1734" w:type="dxa"/>
          </w:tcPr>
          <w:p w14:paraId="53E4CD31" w14:textId="77777777" w:rsidR="003B729E" w:rsidRDefault="00000000">
            <w:pPr>
              <w:jc w:val="center"/>
            </w:pPr>
            <w:r>
              <w:rPr>
                <w:rFonts w:ascii="Times New Roman" w:hAnsi="Times New Roman"/>
                <w:color w:val="B40000"/>
              </w:rPr>
              <w:t>No</w:t>
            </w:r>
          </w:p>
        </w:tc>
        <w:tc>
          <w:tcPr>
            <w:tcW w:w="1734" w:type="dxa"/>
          </w:tcPr>
          <w:p w14:paraId="0BA0BC40" w14:textId="77777777" w:rsidR="003B729E" w:rsidRDefault="00000000">
            <w:pPr>
              <w:jc w:val="center"/>
            </w:pPr>
            <w:r>
              <w:rPr>
                <w:rFonts w:ascii="Times New Roman" w:hAnsi="Times New Roman"/>
              </w:rPr>
              <w:t>Partial</w:t>
            </w:r>
          </w:p>
        </w:tc>
        <w:tc>
          <w:tcPr>
            <w:tcW w:w="1734" w:type="dxa"/>
          </w:tcPr>
          <w:p w14:paraId="3062A8DC" w14:textId="77777777" w:rsidR="003B729E" w:rsidRDefault="00000000">
            <w:pPr>
              <w:jc w:val="center"/>
            </w:pPr>
            <w:r>
              <w:rPr>
                <w:rFonts w:ascii="Times New Roman" w:hAnsi="Times New Roman"/>
                <w:color w:val="007000"/>
              </w:rPr>
              <w:t>Yes</w:t>
            </w:r>
          </w:p>
        </w:tc>
      </w:tr>
      <w:tr w:rsidR="003B729E" w14:paraId="60F40875" w14:textId="77777777">
        <w:tc>
          <w:tcPr>
            <w:tcW w:w="1734" w:type="dxa"/>
          </w:tcPr>
          <w:p w14:paraId="71DA5073" w14:textId="77777777" w:rsidR="003B729E" w:rsidRDefault="00000000">
            <w:pPr>
              <w:jc w:val="center"/>
            </w:pPr>
            <w:r>
              <w:rPr>
                <w:rFonts w:ascii="Times New Roman" w:hAnsi="Times New Roman"/>
              </w:rPr>
              <w:t>Naive Bayes / LR (TF-IDF)</w:t>
            </w:r>
          </w:p>
        </w:tc>
        <w:tc>
          <w:tcPr>
            <w:tcW w:w="1734" w:type="dxa"/>
          </w:tcPr>
          <w:p w14:paraId="5F4D4E4D" w14:textId="77777777" w:rsidR="003B729E" w:rsidRDefault="00000000">
            <w:pPr>
              <w:jc w:val="center"/>
            </w:pPr>
            <w:r>
              <w:rPr>
                <w:rFonts w:ascii="Times New Roman" w:hAnsi="Times New Roman"/>
              </w:rPr>
              <w:t>Moderate</w:t>
            </w:r>
          </w:p>
        </w:tc>
        <w:tc>
          <w:tcPr>
            <w:tcW w:w="1734" w:type="dxa"/>
          </w:tcPr>
          <w:p w14:paraId="33C1C9FF" w14:textId="77777777" w:rsidR="003B729E" w:rsidRDefault="00000000">
            <w:pPr>
              <w:jc w:val="center"/>
            </w:pPr>
            <w:r>
              <w:rPr>
                <w:rFonts w:ascii="Times New Roman" w:hAnsi="Times New Roman"/>
              </w:rPr>
              <w:t>Partial</w:t>
            </w:r>
          </w:p>
        </w:tc>
        <w:tc>
          <w:tcPr>
            <w:tcW w:w="1734" w:type="dxa"/>
          </w:tcPr>
          <w:p w14:paraId="2C6F164D" w14:textId="77777777" w:rsidR="003B729E" w:rsidRDefault="00000000">
            <w:pPr>
              <w:jc w:val="center"/>
            </w:pPr>
            <w:r>
              <w:rPr>
                <w:rFonts w:ascii="Times New Roman" w:hAnsi="Times New Roman"/>
                <w:color w:val="B40000"/>
              </w:rPr>
              <w:t>No</w:t>
            </w:r>
          </w:p>
        </w:tc>
        <w:tc>
          <w:tcPr>
            <w:tcW w:w="1734" w:type="dxa"/>
          </w:tcPr>
          <w:p w14:paraId="3CB75992" w14:textId="77777777" w:rsidR="003B729E" w:rsidRDefault="00000000">
            <w:pPr>
              <w:jc w:val="center"/>
            </w:pPr>
            <w:r>
              <w:rPr>
                <w:rFonts w:ascii="Times New Roman" w:hAnsi="Times New Roman"/>
                <w:color w:val="007000"/>
              </w:rPr>
              <w:t>Yes</w:t>
            </w:r>
          </w:p>
        </w:tc>
      </w:tr>
      <w:tr w:rsidR="003B729E" w14:paraId="636E1600" w14:textId="77777777">
        <w:tc>
          <w:tcPr>
            <w:tcW w:w="1734" w:type="dxa"/>
          </w:tcPr>
          <w:p w14:paraId="0CF56938" w14:textId="77777777" w:rsidR="003B729E" w:rsidRDefault="00000000">
            <w:pPr>
              <w:jc w:val="center"/>
            </w:pPr>
            <w:r>
              <w:rPr>
                <w:rFonts w:ascii="Times New Roman" w:hAnsi="Times New Roman"/>
              </w:rPr>
              <w:t>Random Forest / XGBoost</w:t>
            </w:r>
          </w:p>
        </w:tc>
        <w:tc>
          <w:tcPr>
            <w:tcW w:w="1734" w:type="dxa"/>
          </w:tcPr>
          <w:p w14:paraId="3DD22E5C" w14:textId="77777777" w:rsidR="003B729E" w:rsidRDefault="00000000">
            <w:pPr>
              <w:jc w:val="center"/>
            </w:pPr>
            <w:r>
              <w:rPr>
                <w:rFonts w:ascii="Times New Roman" w:hAnsi="Times New Roman"/>
              </w:rPr>
              <w:t>Moderate</w:t>
            </w:r>
          </w:p>
        </w:tc>
        <w:tc>
          <w:tcPr>
            <w:tcW w:w="1734" w:type="dxa"/>
          </w:tcPr>
          <w:p w14:paraId="43494EEC" w14:textId="77777777" w:rsidR="003B729E" w:rsidRDefault="00000000">
            <w:pPr>
              <w:jc w:val="center"/>
            </w:pPr>
            <w:r>
              <w:rPr>
                <w:rFonts w:ascii="Times New Roman" w:hAnsi="Times New Roman"/>
              </w:rPr>
              <w:t>Partial</w:t>
            </w:r>
          </w:p>
        </w:tc>
        <w:tc>
          <w:tcPr>
            <w:tcW w:w="1734" w:type="dxa"/>
          </w:tcPr>
          <w:p w14:paraId="6E6582DB" w14:textId="77777777" w:rsidR="003B729E" w:rsidRDefault="00000000">
            <w:pPr>
              <w:jc w:val="center"/>
            </w:pPr>
            <w:r>
              <w:rPr>
                <w:rFonts w:ascii="Times New Roman" w:hAnsi="Times New Roman"/>
                <w:color w:val="B40000"/>
              </w:rPr>
              <w:t>No</w:t>
            </w:r>
          </w:p>
        </w:tc>
        <w:tc>
          <w:tcPr>
            <w:tcW w:w="1734" w:type="dxa"/>
          </w:tcPr>
          <w:p w14:paraId="475A0491" w14:textId="77777777" w:rsidR="003B729E" w:rsidRDefault="00000000">
            <w:pPr>
              <w:jc w:val="center"/>
            </w:pPr>
            <w:r>
              <w:rPr>
                <w:rFonts w:ascii="Times New Roman" w:hAnsi="Times New Roman"/>
                <w:color w:val="B40000"/>
              </w:rPr>
              <w:t>No</w:t>
            </w:r>
          </w:p>
        </w:tc>
      </w:tr>
      <w:tr w:rsidR="003B729E" w14:paraId="6FA83916" w14:textId="77777777">
        <w:tc>
          <w:tcPr>
            <w:tcW w:w="1734" w:type="dxa"/>
          </w:tcPr>
          <w:p w14:paraId="114EEA59" w14:textId="77777777" w:rsidR="003B729E" w:rsidRDefault="00000000">
            <w:pPr>
              <w:jc w:val="center"/>
            </w:pPr>
            <w:r>
              <w:rPr>
                <w:rFonts w:ascii="Times New Roman" w:hAnsi="Times New Roman"/>
              </w:rPr>
              <w:t>Transformer (BERT/GPT)</w:t>
            </w:r>
          </w:p>
        </w:tc>
        <w:tc>
          <w:tcPr>
            <w:tcW w:w="1734" w:type="dxa"/>
          </w:tcPr>
          <w:p w14:paraId="1B8124D6" w14:textId="77777777" w:rsidR="003B729E" w:rsidRDefault="00000000">
            <w:pPr>
              <w:jc w:val="center"/>
            </w:pPr>
            <w:r>
              <w:rPr>
                <w:rFonts w:ascii="Times New Roman" w:hAnsi="Times New Roman"/>
                <w:color w:val="007000"/>
              </w:rPr>
              <w:t>High</w:t>
            </w:r>
          </w:p>
        </w:tc>
        <w:tc>
          <w:tcPr>
            <w:tcW w:w="1734" w:type="dxa"/>
          </w:tcPr>
          <w:p w14:paraId="446EEAAD" w14:textId="77777777" w:rsidR="003B729E" w:rsidRDefault="00000000">
            <w:pPr>
              <w:jc w:val="center"/>
            </w:pPr>
            <w:r>
              <w:rPr>
                <w:rFonts w:ascii="Times New Roman" w:hAnsi="Times New Roman"/>
              </w:rPr>
              <w:t>Partial</w:t>
            </w:r>
          </w:p>
        </w:tc>
        <w:tc>
          <w:tcPr>
            <w:tcW w:w="1734" w:type="dxa"/>
          </w:tcPr>
          <w:p w14:paraId="6E2DCCE1" w14:textId="77777777" w:rsidR="003B729E" w:rsidRDefault="00000000">
            <w:pPr>
              <w:jc w:val="center"/>
            </w:pPr>
            <w:r>
              <w:rPr>
                <w:rFonts w:ascii="Times New Roman" w:hAnsi="Times New Roman"/>
                <w:color w:val="B40000"/>
              </w:rPr>
              <w:t>No</w:t>
            </w:r>
          </w:p>
        </w:tc>
        <w:tc>
          <w:tcPr>
            <w:tcW w:w="1734" w:type="dxa"/>
          </w:tcPr>
          <w:p w14:paraId="6E19D25D" w14:textId="77777777" w:rsidR="003B729E" w:rsidRDefault="00000000">
            <w:pPr>
              <w:jc w:val="center"/>
            </w:pPr>
            <w:r>
              <w:rPr>
                <w:rFonts w:ascii="Times New Roman" w:hAnsi="Times New Roman"/>
                <w:color w:val="B40000"/>
              </w:rPr>
              <w:t>No</w:t>
            </w:r>
          </w:p>
        </w:tc>
      </w:tr>
      <w:tr w:rsidR="003B729E" w14:paraId="08DD5A61" w14:textId="77777777">
        <w:tc>
          <w:tcPr>
            <w:tcW w:w="1734" w:type="dxa"/>
          </w:tcPr>
          <w:p w14:paraId="23A2F236" w14:textId="77777777" w:rsidR="003B729E" w:rsidRDefault="00000000">
            <w:pPr>
              <w:jc w:val="center"/>
            </w:pPr>
            <w:r>
              <w:rPr>
                <w:rFonts w:ascii="Times New Roman" w:hAnsi="Times New Roman"/>
                <w:b/>
              </w:rPr>
              <w:lastRenderedPageBreak/>
              <w:t>MediAssist AI (Proposed)</w:t>
            </w:r>
          </w:p>
        </w:tc>
        <w:tc>
          <w:tcPr>
            <w:tcW w:w="1734" w:type="dxa"/>
          </w:tcPr>
          <w:p w14:paraId="3D32C6C7" w14:textId="77777777" w:rsidR="003B729E" w:rsidRDefault="00000000">
            <w:pPr>
              <w:jc w:val="center"/>
            </w:pPr>
            <w:r>
              <w:rPr>
                <w:rFonts w:ascii="Times New Roman" w:hAnsi="Times New Roman"/>
                <w:color w:val="007000"/>
              </w:rPr>
              <w:t>High</w:t>
            </w:r>
          </w:p>
        </w:tc>
        <w:tc>
          <w:tcPr>
            <w:tcW w:w="1734" w:type="dxa"/>
          </w:tcPr>
          <w:p w14:paraId="60008CDE" w14:textId="77777777" w:rsidR="003B729E" w:rsidRDefault="00000000">
            <w:pPr>
              <w:jc w:val="center"/>
            </w:pPr>
            <w:r>
              <w:rPr>
                <w:rFonts w:ascii="Times New Roman" w:hAnsi="Times New Roman"/>
                <w:color w:val="007000"/>
              </w:rPr>
              <w:t>Yes</w:t>
            </w:r>
          </w:p>
        </w:tc>
        <w:tc>
          <w:tcPr>
            <w:tcW w:w="1734" w:type="dxa"/>
          </w:tcPr>
          <w:p w14:paraId="102912EB" w14:textId="77777777" w:rsidR="003B729E" w:rsidRDefault="00000000">
            <w:pPr>
              <w:jc w:val="center"/>
            </w:pPr>
            <w:r>
              <w:rPr>
                <w:rFonts w:ascii="Times New Roman" w:hAnsi="Times New Roman"/>
                <w:color w:val="007000"/>
              </w:rPr>
              <w:t>Yes</w:t>
            </w:r>
          </w:p>
        </w:tc>
        <w:tc>
          <w:tcPr>
            <w:tcW w:w="1734" w:type="dxa"/>
          </w:tcPr>
          <w:p w14:paraId="12C774ED" w14:textId="77777777" w:rsidR="003B729E" w:rsidRDefault="00000000">
            <w:pPr>
              <w:jc w:val="center"/>
            </w:pPr>
            <w:r>
              <w:rPr>
                <w:rFonts w:ascii="Times New Roman" w:hAnsi="Times New Roman"/>
                <w:color w:val="007000"/>
              </w:rPr>
              <w:t>Yes</w:t>
            </w:r>
          </w:p>
        </w:tc>
      </w:tr>
    </w:tbl>
    <w:p w14:paraId="2EE0EA25" w14:textId="77777777" w:rsidR="003B729E" w:rsidRDefault="003B729E">
      <w:pPr>
        <w:spacing w:after="40" w:line="360" w:lineRule="exact"/>
        <w:jc w:val="both"/>
      </w:pPr>
    </w:p>
    <w:p w14:paraId="05835C0C" w14:textId="77777777" w:rsidR="003B729E" w:rsidRDefault="00000000">
      <w:pPr>
        <w:spacing w:before="80" w:after="240"/>
        <w:jc w:val="center"/>
      </w:pPr>
      <w:r>
        <w:rPr>
          <w:rFonts w:ascii="Times New Roman" w:hAnsi="Times New Roman"/>
          <w:i/>
        </w:rPr>
        <w:t>Table 2.1 – Comparative Summary of Healthcare AI Approaches</w:t>
      </w:r>
    </w:p>
    <w:p w14:paraId="1B6EDA3B" w14:textId="77777777" w:rsidR="003B729E" w:rsidRDefault="00000000">
      <w:pPr>
        <w:spacing w:after="160" w:line="360" w:lineRule="exact"/>
        <w:ind w:firstLine="432"/>
        <w:jc w:val="both"/>
      </w:pPr>
      <w:r>
        <w:rPr>
          <w:rFonts w:ascii="Times New Roman" w:hAnsi="Times New Roman"/>
          <w:sz w:val="24"/>
        </w:rPr>
        <w:t>As the table shows, MediAssist AI is uniquely positioned as the only approach that simultaneously provides uncertainty awareness, deterministic emergency detection, and lightweight deployability. The trade-off is a reliance on classical ML rather than the highest possible accuracy achievable with large transformer models. This trade-off is a deliberate architectural decision, justified by the safety-first design philosophy of the project.</w:t>
      </w:r>
    </w:p>
    <w:p w14:paraId="06B6C0CF" w14:textId="77777777" w:rsidR="003B729E" w:rsidRDefault="00000000">
      <w:r>
        <w:br w:type="page"/>
      </w:r>
    </w:p>
    <w:p w14:paraId="2C0F8198" w14:textId="77777777" w:rsidR="003B729E" w:rsidRDefault="00000000">
      <w:pPr>
        <w:spacing w:after="120" w:line="400" w:lineRule="exact"/>
      </w:pPr>
      <w:r>
        <w:rPr>
          <w:rFonts w:ascii="Times New Roman" w:hAnsi="Times New Roman"/>
          <w:b/>
          <w:sz w:val="32"/>
          <w:u w:val="single"/>
        </w:rPr>
        <w:lastRenderedPageBreak/>
        <w:t>Chapter 3: Problem Statement</w:t>
      </w:r>
    </w:p>
    <w:p w14:paraId="69EB6721" w14:textId="77777777" w:rsidR="003B729E" w:rsidRDefault="003B729E">
      <w:pPr>
        <w:pBdr>
          <w:bottom w:val="single" w:sz="6" w:space="1" w:color="4472C4"/>
        </w:pBdr>
      </w:pPr>
    </w:p>
    <w:p w14:paraId="06E03EB3" w14:textId="77777777" w:rsidR="003B729E" w:rsidRDefault="00000000">
      <w:pPr>
        <w:spacing w:after="160" w:line="360" w:lineRule="exact"/>
        <w:jc w:val="both"/>
      </w:pPr>
      <w:r>
        <w:rPr>
          <w:rFonts w:ascii="Times New Roman" w:hAnsi="Times New Roman"/>
          <w:sz w:val="24"/>
        </w:rPr>
        <w:t>The central problem addressed by this project can be stated as follows:</w:t>
      </w:r>
    </w:p>
    <w:p w14:paraId="63D2071B" w14:textId="77777777" w:rsidR="003B729E" w:rsidRDefault="00000000">
      <w:pPr>
        <w:spacing w:before="160" w:after="160" w:line="360" w:lineRule="exact"/>
        <w:ind w:left="576" w:right="576"/>
        <w:jc w:val="both"/>
      </w:pPr>
      <w:r>
        <w:rPr>
          <w:rFonts w:ascii="Times New Roman" w:hAnsi="Times New Roman"/>
          <w:i/>
          <w:sz w:val="24"/>
        </w:rPr>
        <w:t>"Purely probabilistic machine learning systems, when applied to symptom-based healthcare triage, may produce medically unsafe outputs. Specifically, statistical models trained to maximise aggregate accuracy over a large, imbalanced disease dataset lack any mechanism to prioritise the detection of low-frequency but life-threatening emergency presentations. The resulting system may assign high confidence to benign diagnoses even when the user's symptoms are indicative of a critical medical condition, leading to delayed or absent escalation to professional care."</w:t>
      </w:r>
    </w:p>
    <w:p w14:paraId="0B678BDA" w14:textId="77777777" w:rsidR="003B729E" w:rsidRDefault="00000000">
      <w:pPr>
        <w:spacing w:after="160" w:line="360" w:lineRule="exact"/>
        <w:ind w:firstLine="432"/>
        <w:jc w:val="both"/>
      </w:pPr>
      <w:r>
        <w:rPr>
          <w:rFonts w:ascii="Times New Roman" w:hAnsi="Times New Roman"/>
          <w:sz w:val="24"/>
        </w:rPr>
        <w:t>This problem manifests in four specific failure modes, each observed during the preliminary validation phase of this project:</w:t>
      </w:r>
    </w:p>
    <w:p w14:paraId="1E6CD309" w14:textId="77777777" w:rsidR="003B729E" w:rsidRDefault="00000000">
      <w:pPr>
        <w:spacing w:before="240" w:after="60" w:line="360" w:lineRule="exact"/>
      </w:pPr>
      <w:r>
        <w:rPr>
          <w:rFonts w:ascii="Times New Roman" w:hAnsi="Times New Roman"/>
          <w:b/>
          <w:i/>
          <w:sz w:val="24"/>
        </w:rPr>
        <w:t>3.1  Failure Mode 1: Emergency Symptom Misclassification</w:t>
      </w:r>
    </w:p>
    <w:p w14:paraId="4FE8B385" w14:textId="77777777" w:rsidR="003B729E" w:rsidRDefault="00000000">
      <w:pPr>
        <w:spacing w:after="160" w:line="360" w:lineRule="exact"/>
        <w:ind w:firstLine="432"/>
        <w:jc w:val="both"/>
      </w:pPr>
      <w:r>
        <w:rPr>
          <w:rFonts w:ascii="Times New Roman" w:hAnsi="Times New Roman"/>
          <w:sz w:val="24"/>
        </w:rPr>
        <w:t>Symptoms that are diagnostic indicators of life-threatening conditions—such as facial drooping combined with slurred speech (stroke), or coughing blood with acute respiratory distress (pulmonary emergency)—may share overlapping vocabulary features with more common, benign conditions in the training corpus. A TF-IDF model, operating on term frequency alone, will assign probability proportional to term co-occurrence statistics and may therefore rank a benign diagnosis above the correct emergency condition.</w:t>
      </w:r>
    </w:p>
    <w:p w14:paraId="2D3BD873" w14:textId="77777777" w:rsidR="003B729E" w:rsidRDefault="00000000">
      <w:pPr>
        <w:spacing w:before="240" w:after="60" w:line="360" w:lineRule="exact"/>
      </w:pPr>
      <w:r>
        <w:rPr>
          <w:rFonts w:ascii="Times New Roman" w:hAnsi="Times New Roman"/>
          <w:b/>
          <w:i/>
          <w:sz w:val="24"/>
        </w:rPr>
        <w:t>3.2  Failure Mode 2: Symptom Overlap in High-Dimensional Sparse Space</w:t>
      </w:r>
    </w:p>
    <w:p w14:paraId="6BEB732A" w14:textId="77777777" w:rsidR="003B729E" w:rsidRDefault="00000000">
      <w:pPr>
        <w:spacing w:after="160" w:line="360" w:lineRule="exact"/>
        <w:ind w:firstLine="432"/>
        <w:jc w:val="both"/>
      </w:pPr>
      <w:r>
        <w:rPr>
          <w:rFonts w:ascii="Times New Roman" w:hAnsi="Times New Roman"/>
          <w:sz w:val="24"/>
        </w:rPr>
        <w:t>Medical symptoms are described using natural language, and many disease categories share considerable vocabulary. Conditions involving fever, fatigue, and pain—the most common symptom descriptors—span hundreds of disease classes. In a sparse TF-IDF feature space, this overlap creates decision boundaries that are difficult to learn reliably, particularly for rare or emergency conditions that are underrepresented in typical training datasets.</w:t>
      </w:r>
    </w:p>
    <w:p w14:paraId="42AE05B9" w14:textId="77777777" w:rsidR="003B729E" w:rsidRDefault="00000000">
      <w:pPr>
        <w:spacing w:before="240" w:after="60" w:line="360" w:lineRule="exact"/>
      </w:pPr>
      <w:r>
        <w:rPr>
          <w:rFonts w:ascii="Times New Roman" w:hAnsi="Times New Roman"/>
          <w:b/>
          <w:i/>
          <w:sz w:val="24"/>
        </w:rPr>
        <w:t>3.3  Failure Mode 3: Absence of Medical Plausibility Checking</w:t>
      </w:r>
    </w:p>
    <w:p w14:paraId="291E609A" w14:textId="77777777" w:rsidR="003B729E" w:rsidRDefault="00000000">
      <w:pPr>
        <w:spacing w:after="160" w:line="360" w:lineRule="exact"/>
        <w:ind w:firstLine="432"/>
        <w:jc w:val="both"/>
      </w:pPr>
      <w:r>
        <w:rPr>
          <w:rFonts w:ascii="Times New Roman" w:hAnsi="Times New Roman"/>
          <w:sz w:val="24"/>
        </w:rPr>
        <w:t xml:space="preserve">Standard classification pipelines produce outputs ranked solely by posterior probability, with no mechanism to reject or penalise predictions that are clinically implausible given the stated symptoms. For example, predicting an eye condition for a patient reporting exclusively gastrointestinal symptoms, or a skin disorder for a patient </w:t>
      </w:r>
      <w:r>
        <w:rPr>
          <w:rFonts w:ascii="Times New Roman" w:hAnsi="Times New Roman"/>
          <w:sz w:val="24"/>
        </w:rPr>
        <w:lastRenderedPageBreak/>
        <w:t>describing chest pain, represents a failure of medical reasoning that pure ML systems cannot detect or correct.</w:t>
      </w:r>
    </w:p>
    <w:p w14:paraId="0D6CB7FC" w14:textId="77777777" w:rsidR="003B729E" w:rsidRDefault="00000000">
      <w:pPr>
        <w:spacing w:before="240" w:after="60" w:line="360" w:lineRule="exact"/>
      </w:pPr>
      <w:r>
        <w:rPr>
          <w:rFonts w:ascii="Times New Roman" w:hAnsi="Times New Roman"/>
          <w:b/>
          <w:i/>
          <w:sz w:val="24"/>
        </w:rPr>
        <w:t>3.4  Failure Mode 4: Overconfident Single-Label Outputs</w:t>
      </w:r>
    </w:p>
    <w:p w14:paraId="1EDAEF54" w14:textId="77777777" w:rsidR="003B729E" w:rsidRDefault="00000000">
      <w:pPr>
        <w:spacing w:after="160" w:line="360" w:lineRule="exact"/>
        <w:ind w:firstLine="432"/>
        <w:jc w:val="both"/>
      </w:pPr>
      <w:r>
        <w:rPr>
          <w:rFonts w:ascii="Times New Roman" w:hAnsi="Times New Roman"/>
          <w:sz w:val="24"/>
        </w:rPr>
        <w:t>In multi-class disease prediction, returning only the top-1 prediction with a softmax probability score creates an illusion of certainty. When symptom descriptions are ambiguous—as they frequently are in natural patient language—the difference in probability between the first and second ranked diseases may be negligible, yet the user sees only a single confident answer. This is both misleading and clinically dangerous.</w:t>
      </w:r>
    </w:p>
    <w:p w14:paraId="501C2682" w14:textId="77777777" w:rsidR="003B729E" w:rsidRDefault="00000000">
      <w:pPr>
        <w:spacing w:before="280" w:after="80" w:line="360" w:lineRule="exact"/>
      </w:pPr>
      <w:r>
        <w:rPr>
          <w:rFonts w:ascii="Times New Roman" w:hAnsi="Times New Roman"/>
          <w:b/>
          <w:sz w:val="26"/>
        </w:rPr>
        <w:t>3.5  Quantified Scope of the Problem</w:t>
      </w:r>
    </w:p>
    <w:p w14:paraId="62FE1D85" w14:textId="77777777" w:rsidR="003B729E" w:rsidRDefault="00000000">
      <w:pPr>
        <w:spacing w:after="160" w:line="360" w:lineRule="exact"/>
        <w:ind w:firstLine="432"/>
        <w:jc w:val="both"/>
      </w:pPr>
      <w:r>
        <w:rPr>
          <w:rFonts w:ascii="Times New Roman" w:hAnsi="Times New Roman"/>
          <w:sz w:val="24"/>
        </w:rPr>
        <w:t>To validate that these failure modes were genuine and reproducible—not merely theoretical—a preliminary validation was conducted using 480 test cases drawn from five categories: common symptoms, ambiguous multi-symptom presentations, emergency symptom combinations, noisy natural language inputs, and adversarial cases designed to probe model boundaries. The results are documented in detail in Chapter 10 and summarised in Table 3.1.</w:t>
      </w:r>
    </w:p>
    <w:tbl>
      <w:tblPr>
        <w:tblStyle w:val="TableGrid"/>
        <w:tblW w:w="0" w:type="auto"/>
        <w:tblLook w:val="04A0" w:firstRow="1" w:lastRow="0" w:firstColumn="1" w:lastColumn="0" w:noHBand="0" w:noVBand="1"/>
      </w:tblPr>
      <w:tblGrid>
        <w:gridCol w:w="2890"/>
        <w:gridCol w:w="2890"/>
        <w:gridCol w:w="2890"/>
      </w:tblGrid>
      <w:tr w:rsidR="003B729E" w14:paraId="4A0C8545" w14:textId="77777777">
        <w:tc>
          <w:tcPr>
            <w:tcW w:w="2890" w:type="dxa"/>
          </w:tcPr>
          <w:p w14:paraId="49BF5E6B" w14:textId="77777777" w:rsidR="003B729E" w:rsidRDefault="00000000">
            <w:pPr>
              <w:jc w:val="center"/>
            </w:pPr>
            <w:r>
              <w:rPr>
                <w:rFonts w:ascii="Times New Roman" w:hAnsi="Times New Roman"/>
                <w:b/>
              </w:rPr>
              <w:t>Failure Mode</w:t>
            </w:r>
          </w:p>
        </w:tc>
        <w:tc>
          <w:tcPr>
            <w:tcW w:w="2890" w:type="dxa"/>
          </w:tcPr>
          <w:p w14:paraId="4D960650" w14:textId="77777777" w:rsidR="003B729E" w:rsidRDefault="00000000">
            <w:pPr>
              <w:jc w:val="center"/>
            </w:pPr>
            <w:r>
              <w:rPr>
                <w:rFonts w:ascii="Times New Roman" w:hAnsi="Times New Roman"/>
                <w:b/>
              </w:rPr>
              <w:t>Inputs Tested</w:t>
            </w:r>
          </w:p>
        </w:tc>
        <w:tc>
          <w:tcPr>
            <w:tcW w:w="2890" w:type="dxa"/>
          </w:tcPr>
          <w:p w14:paraId="0F7D03EE" w14:textId="77777777" w:rsidR="003B729E" w:rsidRDefault="00000000">
            <w:pPr>
              <w:jc w:val="center"/>
            </w:pPr>
            <w:r>
              <w:rPr>
                <w:rFonts w:ascii="Times New Roman" w:hAnsi="Times New Roman"/>
                <w:b/>
              </w:rPr>
              <w:t>Failure Rate (Before Fix)</w:t>
            </w:r>
          </w:p>
        </w:tc>
      </w:tr>
      <w:tr w:rsidR="003B729E" w14:paraId="5283BD14" w14:textId="77777777">
        <w:tc>
          <w:tcPr>
            <w:tcW w:w="2890" w:type="dxa"/>
          </w:tcPr>
          <w:p w14:paraId="5D6190AA" w14:textId="77777777" w:rsidR="003B729E" w:rsidRDefault="00000000">
            <w:pPr>
              <w:jc w:val="center"/>
            </w:pPr>
            <w:r>
              <w:rPr>
                <w:rFonts w:ascii="Times New Roman" w:hAnsi="Times New Roman"/>
              </w:rPr>
              <w:t>Emergency Symptom Misclassification</w:t>
            </w:r>
          </w:p>
        </w:tc>
        <w:tc>
          <w:tcPr>
            <w:tcW w:w="2890" w:type="dxa"/>
          </w:tcPr>
          <w:p w14:paraId="02F7B97B" w14:textId="77777777" w:rsidR="003B729E" w:rsidRDefault="00000000">
            <w:pPr>
              <w:jc w:val="center"/>
            </w:pPr>
            <w:r>
              <w:rPr>
                <w:rFonts w:ascii="Times New Roman" w:hAnsi="Times New Roman"/>
              </w:rPr>
              <w:t>100</w:t>
            </w:r>
          </w:p>
        </w:tc>
        <w:tc>
          <w:tcPr>
            <w:tcW w:w="2890" w:type="dxa"/>
          </w:tcPr>
          <w:p w14:paraId="7493507D" w14:textId="77777777" w:rsidR="003B729E" w:rsidRDefault="00000000">
            <w:pPr>
              <w:jc w:val="center"/>
            </w:pPr>
            <w:r>
              <w:rPr>
                <w:rFonts w:ascii="Times New Roman" w:hAnsi="Times New Roman"/>
                <w:color w:val="B40000"/>
              </w:rPr>
              <w:t>~34%</w:t>
            </w:r>
          </w:p>
        </w:tc>
      </w:tr>
      <w:tr w:rsidR="003B729E" w14:paraId="6D9AAD89" w14:textId="77777777">
        <w:tc>
          <w:tcPr>
            <w:tcW w:w="2890" w:type="dxa"/>
          </w:tcPr>
          <w:p w14:paraId="22F987CD" w14:textId="77777777" w:rsidR="003B729E" w:rsidRDefault="00000000">
            <w:pPr>
              <w:jc w:val="center"/>
            </w:pPr>
            <w:r>
              <w:rPr>
                <w:rFonts w:ascii="Times New Roman" w:hAnsi="Times New Roman"/>
              </w:rPr>
              <w:t>Medically Implausible Top-1 Prediction</w:t>
            </w:r>
          </w:p>
        </w:tc>
        <w:tc>
          <w:tcPr>
            <w:tcW w:w="2890" w:type="dxa"/>
          </w:tcPr>
          <w:p w14:paraId="59DB8DA7" w14:textId="77777777" w:rsidR="003B729E" w:rsidRDefault="00000000">
            <w:pPr>
              <w:jc w:val="center"/>
            </w:pPr>
            <w:r>
              <w:rPr>
                <w:rFonts w:ascii="Times New Roman" w:hAnsi="Times New Roman"/>
              </w:rPr>
              <w:t>99</w:t>
            </w:r>
          </w:p>
        </w:tc>
        <w:tc>
          <w:tcPr>
            <w:tcW w:w="2890" w:type="dxa"/>
          </w:tcPr>
          <w:p w14:paraId="56D612C3" w14:textId="77777777" w:rsidR="003B729E" w:rsidRDefault="00000000">
            <w:pPr>
              <w:jc w:val="center"/>
            </w:pPr>
            <w:r>
              <w:rPr>
                <w:rFonts w:ascii="Times New Roman" w:hAnsi="Times New Roman"/>
                <w:color w:val="B40000"/>
              </w:rPr>
              <w:t>~28%</w:t>
            </w:r>
          </w:p>
        </w:tc>
      </w:tr>
      <w:tr w:rsidR="003B729E" w14:paraId="4EFBEEAB" w14:textId="77777777">
        <w:tc>
          <w:tcPr>
            <w:tcW w:w="2890" w:type="dxa"/>
          </w:tcPr>
          <w:p w14:paraId="620053C8" w14:textId="77777777" w:rsidR="003B729E" w:rsidRDefault="00000000">
            <w:pPr>
              <w:jc w:val="center"/>
            </w:pPr>
            <w:r>
              <w:rPr>
                <w:rFonts w:ascii="Times New Roman" w:hAnsi="Times New Roman"/>
              </w:rPr>
              <w:t>Overconfident Incorrect Output (UPR Proxy)</w:t>
            </w:r>
          </w:p>
        </w:tc>
        <w:tc>
          <w:tcPr>
            <w:tcW w:w="2890" w:type="dxa"/>
          </w:tcPr>
          <w:p w14:paraId="419B18F7" w14:textId="77777777" w:rsidR="003B729E" w:rsidRDefault="00000000">
            <w:pPr>
              <w:jc w:val="center"/>
            </w:pPr>
            <w:r>
              <w:rPr>
                <w:rFonts w:ascii="Times New Roman" w:hAnsi="Times New Roman"/>
              </w:rPr>
              <w:t>301</w:t>
            </w:r>
          </w:p>
        </w:tc>
        <w:tc>
          <w:tcPr>
            <w:tcW w:w="2890" w:type="dxa"/>
          </w:tcPr>
          <w:p w14:paraId="7619987D" w14:textId="77777777" w:rsidR="003B729E" w:rsidRDefault="00000000">
            <w:pPr>
              <w:jc w:val="center"/>
            </w:pPr>
            <w:r>
              <w:rPr>
                <w:rFonts w:ascii="Times New Roman" w:hAnsi="Times New Roman"/>
              </w:rPr>
              <w:t>~12.5%</w:t>
            </w:r>
          </w:p>
        </w:tc>
      </w:tr>
      <w:tr w:rsidR="003B729E" w14:paraId="42FF26B9" w14:textId="77777777">
        <w:tc>
          <w:tcPr>
            <w:tcW w:w="2890" w:type="dxa"/>
          </w:tcPr>
          <w:p w14:paraId="31FFE852" w14:textId="77777777" w:rsidR="003B729E" w:rsidRDefault="00000000">
            <w:pPr>
              <w:jc w:val="center"/>
            </w:pPr>
            <w:r>
              <w:rPr>
                <w:rFonts w:ascii="Times New Roman" w:hAnsi="Times New Roman"/>
              </w:rPr>
              <w:t>Missed Emergency Escalation (MER)</w:t>
            </w:r>
          </w:p>
        </w:tc>
        <w:tc>
          <w:tcPr>
            <w:tcW w:w="2890" w:type="dxa"/>
          </w:tcPr>
          <w:p w14:paraId="41804F3B" w14:textId="77777777" w:rsidR="003B729E" w:rsidRDefault="00000000">
            <w:pPr>
              <w:jc w:val="center"/>
            </w:pPr>
            <w:r>
              <w:rPr>
                <w:rFonts w:ascii="Times New Roman" w:hAnsi="Times New Roman"/>
              </w:rPr>
              <w:t>100</w:t>
            </w:r>
          </w:p>
        </w:tc>
        <w:tc>
          <w:tcPr>
            <w:tcW w:w="2890" w:type="dxa"/>
          </w:tcPr>
          <w:p w14:paraId="726C622C" w14:textId="77777777" w:rsidR="003B729E" w:rsidRDefault="00000000">
            <w:pPr>
              <w:jc w:val="center"/>
            </w:pPr>
            <w:r>
              <w:rPr>
                <w:rFonts w:ascii="Times New Roman" w:hAnsi="Times New Roman"/>
                <w:color w:val="B40000"/>
              </w:rPr>
              <w:t>~34%</w:t>
            </w:r>
          </w:p>
        </w:tc>
      </w:tr>
    </w:tbl>
    <w:p w14:paraId="517D610C" w14:textId="77777777" w:rsidR="003B729E" w:rsidRDefault="003B729E">
      <w:pPr>
        <w:spacing w:after="40" w:line="360" w:lineRule="exact"/>
        <w:jc w:val="both"/>
      </w:pPr>
    </w:p>
    <w:p w14:paraId="5200DB08" w14:textId="77777777" w:rsidR="003B729E" w:rsidRDefault="00000000">
      <w:pPr>
        <w:spacing w:before="80" w:after="240"/>
        <w:jc w:val="center"/>
      </w:pPr>
      <w:r>
        <w:rPr>
          <w:rFonts w:ascii="Times New Roman" w:hAnsi="Times New Roman"/>
          <w:i/>
        </w:rPr>
        <w:t>Table 3.1 – Preliminary Failure Rates Before Safety Architecture Implementation</w:t>
      </w:r>
    </w:p>
    <w:p w14:paraId="05DF9B4D" w14:textId="77777777" w:rsidR="003B729E" w:rsidRDefault="00000000">
      <w:pPr>
        <w:spacing w:after="160" w:line="360" w:lineRule="exact"/>
        <w:ind w:firstLine="432"/>
        <w:jc w:val="both"/>
      </w:pPr>
      <w:r>
        <w:rPr>
          <w:rFonts w:ascii="Times New Roman" w:hAnsi="Times New Roman"/>
          <w:sz w:val="24"/>
        </w:rPr>
        <w:t>These results confirm that the problems are systematic and quantifiable. The emergency misclassification rate of approximately 34%—meaning roughly one in three emergency symptom inputs was not escalated by the baseline ML system—is clinically unacceptable. This figure directly motivated the Emergency Safety Override Layer described in Chapter 7.</w:t>
      </w:r>
    </w:p>
    <w:p w14:paraId="6E5580D5" w14:textId="77777777" w:rsidR="003B729E" w:rsidRDefault="00000000">
      <w:pPr>
        <w:spacing w:after="160" w:line="360" w:lineRule="exact"/>
        <w:ind w:firstLine="432"/>
        <w:jc w:val="both"/>
      </w:pPr>
      <w:r>
        <w:rPr>
          <w:rFonts w:ascii="Times New Roman" w:hAnsi="Times New Roman"/>
          <w:sz w:val="24"/>
        </w:rPr>
        <w:t>It is worth noting that this is not a failure of the machine learning model per se. The Logistic Regression classifier achieves 84.36% top-1 accuracy overall, which is competitive for the task. The problem is architectural: a system optimised for aggregate accuracy will inevitably underperform on the rare, high-stakes cases that matter most in a healthcare context. This is the core design motivation for MediAssist AI's hybrid, defence-in-depth approach.</w:t>
      </w:r>
    </w:p>
    <w:p w14:paraId="613C5D7E" w14:textId="77777777" w:rsidR="003B729E" w:rsidRDefault="00000000">
      <w:pPr>
        <w:spacing w:after="120" w:line="400" w:lineRule="exact"/>
      </w:pPr>
      <w:r>
        <w:rPr>
          <w:rFonts w:ascii="Times New Roman" w:hAnsi="Times New Roman"/>
          <w:b/>
          <w:sz w:val="32"/>
          <w:u w:val="single"/>
        </w:rPr>
        <w:lastRenderedPageBreak/>
        <w:t>Chapter 4: System Architecture</w:t>
      </w:r>
    </w:p>
    <w:p w14:paraId="63DB9D30" w14:textId="77777777" w:rsidR="003B729E" w:rsidRDefault="003B729E">
      <w:pPr>
        <w:pBdr>
          <w:bottom w:val="single" w:sz="6" w:space="1" w:color="4472C4"/>
        </w:pBdr>
      </w:pPr>
    </w:p>
    <w:p w14:paraId="7B2A2249" w14:textId="77777777" w:rsidR="003B729E" w:rsidRDefault="00000000">
      <w:pPr>
        <w:spacing w:after="160" w:line="360" w:lineRule="exact"/>
        <w:jc w:val="both"/>
      </w:pPr>
      <w:r>
        <w:rPr>
          <w:rFonts w:ascii="Times New Roman" w:hAnsi="Times New Roman"/>
          <w:sz w:val="24"/>
        </w:rPr>
        <w:t>This chapter describes the overall architecture of MediAssist AI, the rationale behind each design decision, and the data flow from user input to final recommendation. The architecture is best understood as three sequential, independently verifiable layers: the Pre-ML Safety Gate, the ML Inference Engine, and the Post-ML Consistency and Presentation Layer.</w:t>
      </w:r>
    </w:p>
    <w:p w14:paraId="1A724149" w14:textId="77777777" w:rsidR="003B729E" w:rsidRDefault="00000000">
      <w:pPr>
        <w:spacing w:before="280" w:after="80" w:line="360" w:lineRule="exact"/>
      </w:pPr>
      <w:r>
        <w:rPr>
          <w:rFonts w:ascii="Times New Roman" w:hAnsi="Times New Roman"/>
          <w:b/>
          <w:sz w:val="26"/>
        </w:rPr>
        <w:t>4.1  Architectural Philosophy: Defence-in-Depth</w:t>
      </w:r>
    </w:p>
    <w:p w14:paraId="2C3F3D40" w14:textId="77777777" w:rsidR="003B729E" w:rsidRDefault="00000000">
      <w:pPr>
        <w:spacing w:after="160" w:line="360" w:lineRule="exact"/>
        <w:ind w:firstLine="432"/>
        <w:jc w:val="both"/>
      </w:pPr>
      <w:r>
        <w:rPr>
          <w:rFonts w:ascii="Times New Roman" w:hAnsi="Times New Roman"/>
          <w:sz w:val="24"/>
        </w:rPr>
        <w:t>The dominant design philosophy in MediAssist AI is defence-in-depth—the same principle used in safety-critical systems such as aviation autopilots and nuclear control software. Rather than relying on a single model to handle all cases correctly, the system deploys multiple independent safety mechanisms, each responsible for a distinct class of failure.</w:t>
      </w:r>
    </w:p>
    <w:p w14:paraId="111D8EC7" w14:textId="77777777" w:rsidR="003B729E" w:rsidRDefault="00000000">
      <w:pPr>
        <w:spacing w:after="160" w:line="360" w:lineRule="exact"/>
        <w:ind w:firstLine="432"/>
        <w:jc w:val="both"/>
      </w:pPr>
      <w:r>
        <w:rPr>
          <w:rFonts w:ascii="Times New Roman" w:hAnsi="Times New Roman"/>
          <w:sz w:val="24"/>
        </w:rPr>
        <w:t>This is a deliberate departure from the end-to-end learning paradigm, where a single neural network is trained to map raw inputs directly to outputs. While end-to-end systems can achieve impressive benchmark accuracy, they are fundamentally opaque and provide no guarantees about behaviour on out-of-distribution inputs—a critical concern in healthcare. By separating the safety layer from the prediction layer, MediAssist AI ensures that emergency escalation is never dependent on the statistical properties of a training dataset.</w:t>
      </w:r>
    </w:p>
    <w:p w14:paraId="35FB298E" w14:textId="77777777" w:rsidR="003B729E" w:rsidRDefault="00000000">
      <w:pPr>
        <w:spacing w:before="280" w:after="80" w:line="360" w:lineRule="exact"/>
      </w:pPr>
      <w:r>
        <w:rPr>
          <w:rFonts w:ascii="Times New Roman" w:hAnsi="Times New Roman"/>
          <w:b/>
          <w:sz w:val="26"/>
        </w:rPr>
        <w:t>4.2  End-to-End Pipeline Overview</w:t>
      </w:r>
    </w:p>
    <w:p w14:paraId="7F760E70" w14:textId="77777777" w:rsidR="003B729E" w:rsidRDefault="00000000">
      <w:pPr>
        <w:spacing w:after="160" w:line="360" w:lineRule="exact"/>
        <w:ind w:firstLine="432"/>
        <w:jc w:val="both"/>
      </w:pPr>
      <w:r>
        <w:rPr>
          <w:rFonts w:ascii="Times New Roman" w:hAnsi="Times New Roman"/>
          <w:sz w:val="24"/>
        </w:rPr>
        <w:t>Figure 4.1 illustrates the complete data flow from user input to system response. The pipeline consists of five stages:</w:t>
      </w:r>
    </w:p>
    <w:p w14:paraId="6F14E76E" w14:textId="77777777" w:rsidR="003B729E" w:rsidRDefault="00000000">
      <w:pPr>
        <w:spacing w:before="160" w:after="60" w:line="360" w:lineRule="exact"/>
      </w:pPr>
      <w:r>
        <w:rPr>
          <w:rFonts w:ascii="Times New Roman" w:hAnsi="Times New Roman"/>
          <w:b/>
          <w:i/>
          <w:sz w:val="24"/>
        </w:rPr>
        <w:t>4.2.1  Stage 1 – User Input</w:t>
      </w:r>
    </w:p>
    <w:p w14:paraId="0FFF53D6" w14:textId="77777777" w:rsidR="003B729E" w:rsidRDefault="00000000">
      <w:pPr>
        <w:spacing w:after="160" w:line="360" w:lineRule="exact"/>
        <w:ind w:firstLine="432"/>
        <w:jc w:val="both"/>
      </w:pPr>
      <w:r>
        <w:rPr>
          <w:rFonts w:ascii="Times New Roman" w:hAnsi="Times New Roman"/>
          <w:sz w:val="24"/>
        </w:rPr>
        <w:t>The user enters a natural language description of their symptoms through the Streamlit chat interface. The text is passed without modification to the next stage.</w:t>
      </w:r>
    </w:p>
    <w:p w14:paraId="513FE95F" w14:textId="77777777" w:rsidR="003B729E" w:rsidRDefault="00000000">
      <w:pPr>
        <w:spacing w:before="160" w:after="60" w:line="360" w:lineRule="exact"/>
      </w:pPr>
      <w:r>
        <w:rPr>
          <w:rFonts w:ascii="Times New Roman" w:hAnsi="Times New Roman"/>
          <w:b/>
          <w:i/>
          <w:sz w:val="24"/>
        </w:rPr>
        <w:t>4.2.2  Stage 2 – Emergency Rule Engine (Pre-ML Gate)</w:t>
      </w:r>
    </w:p>
    <w:p w14:paraId="1BE8B6EF" w14:textId="77777777" w:rsidR="003B729E" w:rsidRDefault="00000000">
      <w:pPr>
        <w:spacing w:after="160" w:line="360" w:lineRule="exact"/>
        <w:ind w:firstLine="432"/>
        <w:jc w:val="both"/>
      </w:pPr>
      <w:r>
        <w:rPr>
          <w:rFonts w:ascii="Times New Roman" w:hAnsi="Times New Roman"/>
          <w:sz w:val="24"/>
        </w:rPr>
        <w:t>Before any machine learning inference occurs, the input is passed to the EmergencyRuleEngine. This module performs deterministic substring matching against a curated dictionary of critical symptom phrases across five emergency categories: Neurological, Respiratory, Severe Infection, Hemorrhagic, and Cardiac. If any critical pattern is detected, the system immediately returns an emergency escalation response and bypasses all subsequent stages.</w:t>
      </w:r>
    </w:p>
    <w:p w14:paraId="49BEA4FF" w14:textId="77777777" w:rsidR="003B729E" w:rsidRDefault="00000000">
      <w:pPr>
        <w:spacing w:before="160" w:after="60" w:line="360" w:lineRule="exact"/>
      </w:pPr>
      <w:r>
        <w:rPr>
          <w:rFonts w:ascii="Times New Roman" w:hAnsi="Times New Roman"/>
          <w:b/>
          <w:i/>
          <w:sz w:val="24"/>
        </w:rPr>
        <w:lastRenderedPageBreak/>
        <w:t>4.2.3  Stage 3 – ML Inference (TF-IDF + Logistic Regression)</w:t>
      </w:r>
    </w:p>
    <w:p w14:paraId="31CCB0FD" w14:textId="77777777" w:rsidR="003B729E" w:rsidRDefault="00000000">
      <w:pPr>
        <w:spacing w:after="160" w:line="360" w:lineRule="exact"/>
        <w:ind w:firstLine="432"/>
        <w:jc w:val="both"/>
      </w:pPr>
      <w:r>
        <w:rPr>
          <w:rFonts w:ascii="Times New Roman" w:hAnsi="Times New Roman"/>
          <w:sz w:val="24"/>
        </w:rPr>
        <w:t>For inputs that pass the emergency gate, the text is vectorised using a fitted TF-IDF transformer and passed to the Logistic Regression classifier. The model returns a softmax probability distribution over all disease classes. The top-K predictions (typically K=3) are extracted along with their normalised confidence scores and uncertainty metrics.</w:t>
      </w:r>
    </w:p>
    <w:p w14:paraId="14AEB866" w14:textId="77777777" w:rsidR="003B729E" w:rsidRDefault="00000000">
      <w:pPr>
        <w:spacing w:before="160" w:after="60" w:line="360" w:lineRule="exact"/>
      </w:pPr>
      <w:r>
        <w:rPr>
          <w:rFonts w:ascii="Times New Roman" w:hAnsi="Times New Roman"/>
          <w:b/>
          <w:i/>
          <w:sz w:val="24"/>
        </w:rPr>
        <w:t>4.2.4  Stage 4 – Medical Consistency Validator (Post-ML Gate)</w:t>
      </w:r>
    </w:p>
    <w:p w14:paraId="0DE4D668" w14:textId="77777777" w:rsidR="003B729E" w:rsidRDefault="00000000">
      <w:pPr>
        <w:spacing w:after="160" w:line="360" w:lineRule="exact"/>
        <w:ind w:firstLine="432"/>
        <w:jc w:val="both"/>
      </w:pPr>
      <w:r>
        <w:rPr>
          <w:rFonts w:ascii="Times New Roman" w:hAnsi="Times New Roman"/>
          <w:sz w:val="24"/>
        </w:rPr>
        <w:t>The top-K predictions are passed to the MedicalConsistencyValidator. This module extracts the symptom categories implied by the user's input text and cross-references them against the disease categories stored in the disease_categories.json knowledge base. Predictions with a HIGH category overlap retain their original confidence score (penalty = 1.0x). Predictions with NO overlap receive a 0.1x confidence penalty. Predictions for diseases with UNKNOWN category mappings receive a 0.9x penalty. The adjusted predictions are then re-ranked by modified confidence score.</w:t>
      </w:r>
    </w:p>
    <w:p w14:paraId="1F0213D9" w14:textId="77777777" w:rsidR="003B729E" w:rsidRDefault="00000000">
      <w:pPr>
        <w:spacing w:before="160" w:after="60" w:line="360" w:lineRule="exact"/>
      </w:pPr>
      <w:r>
        <w:rPr>
          <w:rFonts w:ascii="Times New Roman" w:hAnsi="Times New Roman"/>
          <w:b/>
          <w:i/>
          <w:sz w:val="24"/>
        </w:rPr>
        <w:t>4.2.5  Stage 5 – Response Generation &amp; UI Rendering</w:t>
      </w:r>
    </w:p>
    <w:p w14:paraId="2DC02AEC" w14:textId="77777777" w:rsidR="003B729E" w:rsidRDefault="00000000">
      <w:pPr>
        <w:spacing w:after="160" w:line="360" w:lineRule="exact"/>
        <w:ind w:firstLine="432"/>
        <w:jc w:val="both"/>
      </w:pPr>
      <w:r>
        <w:rPr>
          <w:rFonts w:ascii="Times New Roman" w:hAnsi="Times New Roman"/>
          <w:sz w:val="24"/>
        </w:rPr>
        <w:t>The final predictions, adjusted confidence scores, uncertainty indicators, and severity classification are passed to the Streamlit frontend. The UI renders prediction cards with colour-coded confidence bars, a severity badge, and condition-specific home care guidance.</w:t>
      </w:r>
    </w:p>
    <w:p w14:paraId="403B7753" w14:textId="77777777" w:rsidR="003B729E" w:rsidRDefault="00000000">
      <w:pPr>
        <w:spacing w:before="120" w:after="40"/>
        <w:jc w:val="center"/>
      </w:pPr>
      <w:r>
        <w:rPr>
          <w:noProof/>
        </w:rPr>
        <w:drawing>
          <wp:inline distT="0" distB="0" distL="0" distR="0" wp14:anchorId="69BE14C5" wp14:editId="3C2FAF65">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fore_after_safety.png"/>
                    <pic:cNvPicPr/>
                  </pic:nvPicPr>
                  <pic:blipFill>
                    <a:blip r:embed="rId7"/>
                    <a:stretch>
                      <a:fillRect/>
                    </a:stretch>
                  </pic:blipFill>
                  <pic:spPr>
                    <a:xfrm>
                      <a:off x="0" y="0"/>
                      <a:ext cx="5029200" cy="3017520"/>
                    </a:xfrm>
                    <a:prstGeom prst="rect">
                      <a:avLst/>
                    </a:prstGeom>
                  </pic:spPr>
                </pic:pic>
              </a:graphicData>
            </a:graphic>
          </wp:inline>
        </w:drawing>
      </w:r>
    </w:p>
    <w:p w14:paraId="445D91F4" w14:textId="77777777" w:rsidR="003B729E" w:rsidRDefault="00000000">
      <w:pPr>
        <w:spacing w:before="80" w:after="240"/>
        <w:jc w:val="center"/>
      </w:pPr>
      <w:r>
        <w:rPr>
          <w:rFonts w:ascii="Times New Roman" w:hAnsi="Times New Roman"/>
          <w:i/>
        </w:rPr>
        <w:t>Figure 4.1 – MediAssist AI End-to-End Safety Pipeline (Before vs. After Architecture)</w:t>
      </w:r>
    </w:p>
    <w:p w14:paraId="54B51F92" w14:textId="77777777" w:rsidR="003B729E" w:rsidRDefault="00000000">
      <w:pPr>
        <w:spacing w:before="280" w:after="80" w:line="360" w:lineRule="exact"/>
      </w:pPr>
      <w:r>
        <w:rPr>
          <w:rFonts w:ascii="Times New Roman" w:hAnsi="Times New Roman"/>
          <w:b/>
          <w:sz w:val="26"/>
        </w:rPr>
        <w:t>4.3  Emergency Override Architecture</w:t>
      </w:r>
    </w:p>
    <w:p w14:paraId="43890D63" w14:textId="77777777" w:rsidR="003B729E" w:rsidRDefault="00000000">
      <w:pPr>
        <w:spacing w:after="160" w:line="360" w:lineRule="exact"/>
        <w:ind w:firstLine="432"/>
        <w:jc w:val="both"/>
      </w:pPr>
      <w:r>
        <w:rPr>
          <w:rFonts w:ascii="Times New Roman" w:hAnsi="Times New Roman"/>
          <w:sz w:val="24"/>
        </w:rPr>
        <w:t xml:space="preserve">The Emergency Safety Override Layer is the most critical component of the system and the primary innovation of this project. Its design was informed by the observed </w:t>
      </w:r>
      <w:r>
        <w:rPr>
          <w:rFonts w:ascii="Times New Roman" w:hAnsi="Times New Roman"/>
          <w:sz w:val="24"/>
        </w:rPr>
        <w:lastRenderedPageBreak/>
        <w:t>failure modes described in Chapter 3, specifically the inability of purely statistical models to reliably detect life-threatening symptom combinations.</w:t>
      </w:r>
    </w:p>
    <w:p w14:paraId="7BD377A3" w14:textId="77777777" w:rsidR="003B729E" w:rsidRDefault="00000000">
      <w:pPr>
        <w:spacing w:after="160" w:line="360" w:lineRule="exact"/>
        <w:ind w:firstLine="432"/>
        <w:jc w:val="both"/>
      </w:pPr>
      <w:r>
        <w:rPr>
          <w:rFonts w:ascii="Times New Roman" w:hAnsi="Times New Roman"/>
          <w:sz w:val="24"/>
        </w:rPr>
        <w:t>The EmergencyRuleEngine is implemented as a deterministic keyword-matching system with five pre-defined emergency categories, each associated with a curated list of critical trigger phrases. The matching is performed using substring search on lowercased input text, ensuring robustness to capitalisation variation. The categories and selected trigger phrases are:</w:t>
      </w:r>
    </w:p>
    <w:tbl>
      <w:tblPr>
        <w:tblStyle w:val="TableGrid"/>
        <w:tblW w:w="0" w:type="auto"/>
        <w:tblLook w:val="04A0" w:firstRow="1" w:lastRow="0" w:firstColumn="1" w:lastColumn="0" w:noHBand="0" w:noVBand="1"/>
      </w:tblPr>
      <w:tblGrid>
        <w:gridCol w:w="4334"/>
        <w:gridCol w:w="4334"/>
      </w:tblGrid>
      <w:tr w:rsidR="003B729E" w14:paraId="01FF3FDA" w14:textId="77777777">
        <w:tc>
          <w:tcPr>
            <w:tcW w:w="4334" w:type="dxa"/>
          </w:tcPr>
          <w:p w14:paraId="7AA19EE6" w14:textId="77777777" w:rsidR="003B729E" w:rsidRDefault="00000000">
            <w:pPr>
              <w:jc w:val="center"/>
            </w:pPr>
            <w:r>
              <w:rPr>
                <w:rFonts w:ascii="Times New Roman" w:hAnsi="Times New Roman"/>
                <w:b/>
              </w:rPr>
              <w:t>Emergency Category</w:t>
            </w:r>
          </w:p>
        </w:tc>
        <w:tc>
          <w:tcPr>
            <w:tcW w:w="4334" w:type="dxa"/>
          </w:tcPr>
          <w:p w14:paraId="2559D2F8" w14:textId="77777777" w:rsidR="003B729E" w:rsidRDefault="00000000">
            <w:pPr>
              <w:jc w:val="center"/>
            </w:pPr>
            <w:r>
              <w:rPr>
                <w:rFonts w:ascii="Times New Roman" w:hAnsi="Times New Roman"/>
                <w:b/>
              </w:rPr>
              <w:t>Selected Trigger Phrases (Illustrative)</w:t>
            </w:r>
          </w:p>
        </w:tc>
      </w:tr>
      <w:tr w:rsidR="003B729E" w14:paraId="58FEAA26" w14:textId="77777777">
        <w:tc>
          <w:tcPr>
            <w:tcW w:w="4334" w:type="dxa"/>
          </w:tcPr>
          <w:p w14:paraId="384133CF" w14:textId="77777777" w:rsidR="003B729E" w:rsidRDefault="00000000">
            <w:r>
              <w:rPr>
                <w:rFonts w:ascii="Times New Roman" w:hAnsi="Times New Roman"/>
              </w:rPr>
              <w:t>Neurological Emergency</w:t>
            </w:r>
          </w:p>
        </w:tc>
        <w:tc>
          <w:tcPr>
            <w:tcW w:w="4334" w:type="dxa"/>
          </w:tcPr>
          <w:p w14:paraId="386D6D16" w14:textId="77777777" w:rsidR="003B729E" w:rsidRDefault="00000000">
            <w:r>
              <w:rPr>
                <w:rFonts w:ascii="Times New Roman" w:hAnsi="Times New Roman"/>
              </w:rPr>
              <w:t>slurred speech, facial drooping, sudden numbness, vision loss, sudden severe headache, loss of consciousness</w:t>
            </w:r>
          </w:p>
        </w:tc>
      </w:tr>
      <w:tr w:rsidR="003B729E" w14:paraId="4F85E5CC" w14:textId="77777777">
        <w:tc>
          <w:tcPr>
            <w:tcW w:w="4334" w:type="dxa"/>
          </w:tcPr>
          <w:p w14:paraId="3CD266BF" w14:textId="77777777" w:rsidR="003B729E" w:rsidRDefault="00000000">
            <w:r>
              <w:rPr>
                <w:rFonts w:ascii="Times New Roman" w:hAnsi="Times New Roman"/>
              </w:rPr>
              <w:t>Respiratory Emergency</w:t>
            </w:r>
          </w:p>
        </w:tc>
        <w:tc>
          <w:tcPr>
            <w:tcW w:w="4334" w:type="dxa"/>
          </w:tcPr>
          <w:p w14:paraId="6EBC7949" w14:textId="77777777" w:rsidR="003B729E" w:rsidRDefault="00000000">
            <w:r>
              <w:rPr>
                <w:rFonts w:ascii="Times New Roman" w:hAnsi="Times New Roman"/>
              </w:rPr>
              <w:t>coughing up blood, can't breathe, difficulty breathing, blood in mucus, severe shortness of breath</w:t>
            </w:r>
          </w:p>
        </w:tc>
      </w:tr>
      <w:tr w:rsidR="003B729E" w14:paraId="060A906C" w14:textId="77777777">
        <w:tc>
          <w:tcPr>
            <w:tcW w:w="4334" w:type="dxa"/>
          </w:tcPr>
          <w:p w14:paraId="5ECD9BBF" w14:textId="77777777" w:rsidR="003B729E" w:rsidRDefault="00000000">
            <w:r>
              <w:rPr>
                <w:rFonts w:ascii="Times New Roman" w:hAnsi="Times New Roman"/>
              </w:rPr>
              <w:t>Severe Infection</w:t>
            </w:r>
          </w:p>
        </w:tc>
        <w:tc>
          <w:tcPr>
            <w:tcW w:w="4334" w:type="dxa"/>
          </w:tcPr>
          <w:p w14:paraId="10DCEA06" w14:textId="77777777" w:rsidR="003B729E" w:rsidRDefault="00000000">
            <w:r>
              <w:rPr>
                <w:rFonts w:ascii="Times New Roman" w:hAnsi="Times New Roman"/>
              </w:rPr>
              <w:t>stiff neck, extremely high fever, sensitivity to light, severe abdominal pain with fever, confusion with fever</w:t>
            </w:r>
          </w:p>
        </w:tc>
      </w:tr>
      <w:tr w:rsidR="003B729E" w14:paraId="7ABE8777" w14:textId="77777777">
        <w:tc>
          <w:tcPr>
            <w:tcW w:w="4334" w:type="dxa"/>
          </w:tcPr>
          <w:p w14:paraId="5E53211A" w14:textId="77777777" w:rsidR="003B729E" w:rsidRDefault="00000000">
            <w:r>
              <w:rPr>
                <w:rFonts w:ascii="Times New Roman" w:hAnsi="Times New Roman"/>
              </w:rPr>
              <w:t>Hemorrhagic Warning</w:t>
            </w:r>
          </w:p>
        </w:tc>
        <w:tc>
          <w:tcPr>
            <w:tcW w:w="4334" w:type="dxa"/>
          </w:tcPr>
          <w:p w14:paraId="3629C02E" w14:textId="77777777" w:rsidR="003B729E" w:rsidRDefault="00000000">
            <w:r>
              <w:rPr>
                <w:rFonts w:ascii="Times New Roman" w:hAnsi="Times New Roman"/>
              </w:rPr>
              <w:t>bleeding gums, blood in vomit, blood in stool, coughing blood, unexplained bruising with fever</w:t>
            </w:r>
          </w:p>
        </w:tc>
      </w:tr>
      <w:tr w:rsidR="003B729E" w14:paraId="0177046F" w14:textId="77777777">
        <w:tc>
          <w:tcPr>
            <w:tcW w:w="4334" w:type="dxa"/>
          </w:tcPr>
          <w:p w14:paraId="7A5FC980" w14:textId="77777777" w:rsidR="003B729E" w:rsidRDefault="00000000">
            <w:r>
              <w:rPr>
                <w:rFonts w:ascii="Times New Roman" w:hAnsi="Times New Roman"/>
              </w:rPr>
              <w:t>Cardiac Emergency</w:t>
            </w:r>
          </w:p>
        </w:tc>
        <w:tc>
          <w:tcPr>
            <w:tcW w:w="4334" w:type="dxa"/>
          </w:tcPr>
          <w:p w14:paraId="47C23BA5" w14:textId="77777777" w:rsidR="003B729E" w:rsidRDefault="00000000">
            <w:r>
              <w:rPr>
                <w:rFonts w:ascii="Times New Roman" w:hAnsi="Times New Roman"/>
              </w:rPr>
              <w:t>crushing chest pain, chest pain radiating to arm, palpitations with dizziness, sudden heart racing with chest tightness</w:t>
            </w:r>
          </w:p>
        </w:tc>
      </w:tr>
    </w:tbl>
    <w:p w14:paraId="4DF1C17B" w14:textId="77777777" w:rsidR="003B729E" w:rsidRDefault="003B729E">
      <w:pPr>
        <w:spacing w:after="40" w:line="360" w:lineRule="exact"/>
        <w:jc w:val="both"/>
      </w:pPr>
    </w:p>
    <w:p w14:paraId="4E987D80" w14:textId="77777777" w:rsidR="003B729E" w:rsidRDefault="00000000">
      <w:pPr>
        <w:spacing w:before="80" w:after="240"/>
        <w:jc w:val="center"/>
      </w:pPr>
      <w:r>
        <w:rPr>
          <w:rFonts w:ascii="Times New Roman" w:hAnsi="Times New Roman"/>
          <w:i/>
        </w:rPr>
        <w:t>Table 4.1 – Emergency Symptom Categories and Trigger Phrases</w:t>
      </w:r>
    </w:p>
    <w:p w14:paraId="4B13796E" w14:textId="77777777" w:rsidR="003B729E" w:rsidRDefault="00000000">
      <w:pPr>
        <w:spacing w:after="160" w:line="360" w:lineRule="exact"/>
        <w:ind w:firstLine="432"/>
        <w:jc w:val="both"/>
      </w:pPr>
      <w:r>
        <w:rPr>
          <w:rFonts w:ascii="Times New Roman" w:hAnsi="Times New Roman"/>
          <w:sz w:val="24"/>
        </w:rPr>
        <w:t>When any trigger phrase is matched, the system sets a boolean emergency flag and returns a structured escalation object containing the detected category and a user-facing urgency message. Crucially, this occurs before the TF-IDF vectoriser is invoked, so the statistical model never has the opportunity to produce a competing prediction. This architectural decision eliminates the entire class of emergency misclassification failures observed in the baseline system.</w:t>
      </w:r>
    </w:p>
    <w:p w14:paraId="45265A4F" w14:textId="77777777" w:rsidR="003B729E" w:rsidRDefault="00000000">
      <w:pPr>
        <w:spacing w:before="120" w:after="40"/>
        <w:jc w:val="center"/>
      </w:pPr>
      <w:r>
        <w:rPr>
          <w:noProof/>
        </w:rPr>
        <w:lastRenderedPageBreak/>
        <w:drawing>
          <wp:inline distT="0" distB="0" distL="0" distR="0" wp14:anchorId="0C6889C4" wp14:editId="2179D00A">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alation_heatmap.png"/>
                    <pic:cNvPicPr/>
                  </pic:nvPicPr>
                  <pic:blipFill>
                    <a:blip r:embed="rId8"/>
                    <a:stretch>
                      <a:fillRect/>
                    </a:stretch>
                  </pic:blipFill>
                  <pic:spPr>
                    <a:xfrm>
                      <a:off x="0" y="0"/>
                      <a:ext cx="5029200" cy="3017520"/>
                    </a:xfrm>
                    <a:prstGeom prst="rect">
                      <a:avLst/>
                    </a:prstGeom>
                  </pic:spPr>
                </pic:pic>
              </a:graphicData>
            </a:graphic>
          </wp:inline>
        </w:drawing>
      </w:r>
    </w:p>
    <w:p w14:paraId="6B63715F" w14:textId="77777777" w:rsidR="003B729E" w:rsidRDefault="00000000">
      <w:pPr>
        <w:spacing w:before="80" w:after="240"/>
        <w:jc w:val="center"/>
      </w:pPr>
      <w:r>
        <w:rPr>
          <w:rFonts w:ascii="Times New Roman" w:hAnsi="Times New Roman"/>
          <w:i/>
        </w:rPr>
        <w:t>Figure 4.2 – Escalation Action Heatmap by Symptom Category</w:t>
      </w:r>
    </w:p>
    <w:p w14:paraId="61014032" w14:textId="77777777" w:rsidR="003B729E" w:rsidRDefault="00000000">
      <w:pPr>
        <w:spacing w:before="280" w:after="80" w:line="360" w:lineRule="exact"/>
      </w:pPr>
      <w:r>
        <w:rPr>
          <w:rFonts w:ascii="Times New Roman" w:hAnsi="Times New Roman"/>
          <w:b/>
          <w:sz w:val="26"/>
        </w:rPr>
        <w:t>4.4  Medical Consistency Validator Architecture</w:t>
      </w:r>
    </w:p>
    <w:p w14:paraId="0808B395" w14:textId="77777777" w:rsidR="003B729E" w:rsidRDefault="00000000">
      <w:pPr>
        <w:spacing w:after="160" w:line="360" w:lineRule="exact"/>
        <w:ind w:firstLine="432"/>
        <w:jc w:val="both"/>
      </w:pPr>
      <w:r>
        <w:rPr>
          <w:rFonts w:ascii="Times New Roman" w:hAnsi="Times New Roman"/>
          <w:sz w:val="24"/>
        </w:rPr>
        <w:t>For inputs that pass the emergency gate, the Medical Consistency Validator provides a secondary safety check by ensuring that the ML model's predictions are medically coherent with respect to the user's symptom description. The validator operates in three steps:</w:t>
      </w:r>
    </w:p>
    <w:p w14:paraId="50DE0071" w14:textId="77777777" w:rsidR="003B729E" w:rsidRDefault="00000000">
      <w:pPr>
        <w:pStyle w:val="ListBullet"/>
        <w:spacing w:before="40" w:after="40" w:line="320" w:lineRule="exact"/>
        <w:ind w:left="576"/>
      </w:pPr>
      <w:r>
        <w:rPr>
          <w:rFonts w:ascii="Times New Roman" w:hAnsi="Times New Roman"/>
          <w:sz w:val="24"/>
        </w:rPr>
        <w:t>Symptom Category Extraction: The user's input text is matched against a dictionary of category-specific keywords covering eleven clinical domains: respiratory, eye, gastrointestinal, neurological, fever, cardiovascular, metabolic, skin, urinary, musculoskeletal, and systemic. This produces a set of detected input categories.</w:t>
      </w:r>
    </w:p>
    <w:p w14:paraId="6FC3DA6C" w14:textId="77777777" w:rsidR="003B729E" w:rsidRDefault="00000000">
      <w:pPr>
        <w:pStyle w:val="ListBullet"/>
        <w:spacing w:before="40" w:after="40" w:line="320" w:lineRule="exact"/>
        <w:ind w:left="576"/>
      </w:pPr>
      <w:r>
        <w:rPr>
          <w:rFonts w:ascii="Times New Roman" w:hAnsi="Times New Roman"/>
          <w:sz w:val="24"/>
        </w:rPr>
        <w:t>Disease Category Lookup: For each of the top-K predicted diseases, the validator retrieves the associated clinical categories from the disease_categories.json knowledge base, which was generated by mapping all 260+ disease classes in the training dataset to their relevant clinical domains.</w:t>
      </w:r>
    </w:p>
    <w:p w14:paraId="479F463D" w14:textId="77777777" w:rsidR="003B729E" w:rsidRDefault="00000000">
      <w:pPr>
        <w:pStyle w:val="ListBullet"/>
        <w:spacing w:before="40" w:after="40" w:line="320" w:lineRule="exact"/>
        <w:ind w:left="576"/>
      </w:pPr>
      <w:r>
        <w:rPr>
          <w:rFonts w:ascii="Times New Roman" w:hAnsi="Times New Roman"/>
          <w:sz w:val="24"/>
        </w:rPr>
        <w:t>Penalty Application and Re-ranking: The overlap between input categories and disease categories determines the penalty multiplier applied to each prediction's confidence score. Predictions are then re-sorted by adjusted confidence.</w:t>
      </w:r>
    </w:p>
    <w:p w14:paraId="4456664E" w14:textId="77777777" w:rsidR="003B729E" w:rsidRDefault="00000000">
      <w:pPr>
        <w:spacing w:after="160" w:line="360" w:lineRule="exact"/>
        <w:ind w:firstLine="432"/>
        <w:jc w:val="both"/>
      </w:pPr>
      <w:r>
        <w:rPr>
          <w:rFonts w:ascii="Times New Roman" w:hAnsi="Times New Roman"/>
          <w:sz w:val="24"/>
        </w:rPr>
        <w:t>The validator also generates a structured JSON log entry for every prediction, recording the detected input categories, each prediction's consistency rating, the penalty applied, and any re-ranking changes. These logs are stored in logs/safety/medical_consistency.log and form the basis of the explainability analysis reported in Chapter 11.</w:t>
      </w:r>
    </w:p>
    <w:p w14:paraId="419F9780" w14:textId="77777777" w:rsidR="003B729E" w:rsidRDefault="00000000">
      <w:pPr>
        <w:spacing w:before="120" w:after="40"/>
        <w:jc w:val="center"/>
      </w:pPr>
      <w:r>
        <w:rPr>
          <w:noProof/>
        </w:rPr>
        <w:lastRenderedPageBreak/>
        <w:drawing>
          <wp:inline distT="0" distB="0" distL="0" distR="0" wp14:anchorId="592ECD13" wp14:editId="737E29A4">
            <wp:extent cx="4754880" cy="28529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sistency_penalties.png"/>
                    <pic:cNvPicPr/>
                  </pic:nvPicPr>
                  <pic:blipFill>
                    <a:blip r:embed="rId9"/>
                    <a:stretch>
                      <a:fillRect/>
                    </a:stretch>
                  </pic:blipFill>
                  <pic:spPr>
                    <a:xfrm>
                      <a:off x="0" y="0"/>
                      <a:ext cx="4754880" cy="2852928"/>
                    </a:xfrm>
                    <a:prstGeom prst="rect">
                      <a:avLst/>
                    </a:prstGeom>
                  </pic:spPr>
                </pic:pic>
              </a:graphicData>
            </a:graphic>
          </wp:inline>
        </w:drawing>
      </w:r>
    </w:p>
    <w:p w14:paraId="2283E930" w14:textId="77777777" w:rsidR="003B729E" w:rsidRDefault="00000000">
      <w:pPr>
        <w:spacing w:before="80" w:after="240"/>
        <w:jc w:val="center"/>
      </w:pPr>
      <w:r>
        <w:rPr>
          <w:rFonts w:ascii="Times New Roman" w:hAnsi="Times New Roman"/>
          <w:i/>
        </w:rPr>
        <w:t>Figure 4.3 – Medical Consistency Penalty Impact on Confidence Scores</w:t>
      </w:r>
    </w:p>
    <w:p w14:paraId="39958831" w14:textId="77777777" w:rsidR="003B729E" w:rsidRDefault="00000000">
      <w:pPr>
        <w:spacing w:before="280" w:after="80" w:line="360" w:lineRule="exact"/>
      </w:pPr>
      <w:r>
        <w:rPr>
          <w:rFonts w:ascii="Times New Roman" w:hAnsi="Times New Roman"/>
          <w:b/>
          <w:sz w:val="26"/>
        </w:rPr>
        <w:t>4.5  Frontend Architecture</w:t>
      </w:r>
    </w:p>
    <w:p w14:paraId="38968AA8" w14:textId="77777777" w:rsidR="003B729E" w:rsidRDefault="00000000">
      <w:pPr>
        <w:spacing w:after="160" w:line="360" w:lineRule="exact"/>
        <w:ind w:firstLine="432"/>
        <w:jc w:val="both"/>
      </w:pPr>
      <w:r>
        <w:rPr>
          <w:rFonts w:ascii="Times New Roman" w:hAnsi="Times New Roman"/>
          <w:sz w:val="24"/>
        </w:rPr>
        <w:t>The user interface is implemented as a single-page Streamlit application (src/frontend/app.py). Streamlit was selected over Flask or FastAPI for the frontend layer because it allows rapid UI iteration without requiring a separate JavaScript frontend, which is consistent with the project's goal of being deployable in resource-constrained environments.</w:t>
      </w:r>
    </w:p>
    <w:p w14:paraId="0252141F" w14:textId="77777777" w:rsidR="003B729E" w:rsidRDefault="00000000">
      <w:pPr>
        <w:spacing w:after="160" w:line="360" w:lineRule="exact"/>
        <w:ind w:firstLine="432"/>
        <w:jc w:val="both"/>
      </w:pPr>
      <w:r>
        <w:rPr>
          <w:rFonts w:ascii="Times New Roman" w:hAnsi="Times New Roman"/>
          <w:sz w:val="24"/>
        </w:rPr>
        <w:t>The frontend is organised into three display modes, each activated based on the system's evaluation of the user's input:</w:t>
      </w:r>
    </w:p>
    <w:p w14:paraId="21DA8882" w14:textId="77777777" w:rsidR="003B729E" w:rsidRDefault="00000000">
      <w:pPr>
        <w:spacing w:before="160" w:after="60" w:line="360" w:lineRule="exact"/>
      </w:pPr>
      <w:r>
        <w:rPr>
          <w:rFonts w:ascii="Times New Roman" w:hAnsi="Times New Roman"/>
          <w:b/>
          <w:i/>
          <w:sz w:val="24"/>
        </w:rPr>
        <w:t xml:space="preserve">  Emergency Escalation Mode</w:t>
      </w:r>
    </w:p>
    <w:p w14:paraId="57B3B340" w14:textId="77777777" w:rsidR="003B729E" w:rsidRDefault="00000000">
      <w:pPr>
        <w:spacing w:after="160" w:line="360" w:lineRule="exact"/>
        <w:ind w:firstLine="432"/>
        <w:jc w:val="both"/>
      </w:pPr>
      <w:r>
        <w:rPr>
          <w:rFonts w:ascii="Times New Roman" w:hAnsi="Times New Roman"/>
          <w:sz w:val="24"/>
        </w:rPr>
        <w:t>Triggered when the Emergency Rule Engine returns a positive match. The interface renders a high-contrast red banner with the detected emergency category and an urgent instruction to seek immediate medical attention. All prediction cards are hidden. The glassmorphism card is replaced with a solid alert panel.</w:t>
      </w:r>
    </w:p>
    <w:p w14:paraId="23F08ECB" w14:textId="77777777" w:rsidR="003B729E" w:rsidRDefault="00000000">
      <w:pPr>
        <w:spacing w:before="160" w:after="60" w:line="360" w:lineRule="exact"/>
      </w:pPr>
      <w:r>
        <w:rPr>
          <w:rFonts w:ascii="Times New Roman" w:hAnsi="Times New Roman"/>
          <w:b/>
          <w:i/>
          <w:sz w:val="24"/>
        </w:rPr>
        <w:t xml:space="preserve">  Standard Prediction Mode</w:t>
      </w:r>
    </w:p>
    <w:p w14:paraId="5EA2D4D7" w14:textId="77777777" w:rsidR="003B729E" w:rsidRDefault="00000000">
      <w:pPr>
        <w:spacing w:after="160" w:line="360" w:lineRule="exact"/>
        <w:ind w:firstLine="432"/>
        <w:jc w:val="both"/>
      </w:pPr>
      <w:r>
        <w:rPr>
          <w:rFonts w:ascii="Times New Roman" w:hAnsi="Times New Roman"/>
          <w:sz w:val="24"/>
        </w:rPr>
        <w:t>Activated for non-emergency inputs. The interface displays the top-K predictions as individual cards, each containing the disease name, a translated human-friendly description, a colour-coded confidence bar (green &gt; 70%, amber 40–70%, red &lt; 40%), a severity badge, and the consistency rating from the validator.</w:t>
      </w:r>
    </w:p>
    <w:p w14:paraId="27CC26CE" w14:textId="77777777" w:rsidR="003B729E" w:rsidRDefault="00000000">
      <w:pPr>
        <w:spacing w:before="160" w:after="60" w:line="360" w:lineRule="exact"/>
      </w:pPr>
      <w:r>
        <w:rPr>
          <w:rFonts w:ascii="Times New Roman" w:hAnsi="Times New Roman"/>
          <w:b/>
          <w:i/>
          <w:sz w:val="24"/>
        </w:rPr>
        <w:t xml:space="preserve">  Uncertainty Warning Mode</w:t>
      </w:r>
    </w:p>
    <w:p w14:paraId="5DF9797C" w14:textId="77777777" w:rsidR="003B729E" w:rsidRDefault="00000000">
      <w:pPr>
        <w:spacing w:after="160" w:line="360" w:lineRule="exact"/>
        <w:ind w:firstLine="432"/>
        <w:jc w:val="both"/>
      </w:pPr>
      <w:r>
        <w:rPr>
          <w:rFonts w:ascii="Times New Roman" w:hAnsi="Times New Roman"/>
          <w:sz w:val="24"/>
        </w:rPr>
        <w:t xml:space="preserve">When the entropy of the softmax distribution exceeds a configurable threshold, or when the gap between top-1 and top-2 confidence scores is below 0.15, the system </w:t>
      </w:r>
      <w:r>
        <w:rPr>
          <w:rFonts w:ascii="Times New Roman" w:hAnsi="Times New Roman"/>
          <w:sz w:val="24"/>
        </w:rPr>
        <w:lastRenderedPageBreak/>
        <w:t>displays an uncertainty warning alongside the predictions, advising the user that the symptom description is ambiguous and that professional consultation is particularly recommended.</w:t>
      </w:r>
    </w:p>
    <w:p w14:paraId="46B68348" w14:textId="77777777" w:rsidR="003B729E" w:rsidRDefault="00000000">
      <w:pPr>
        <w:spacing w:after="160" w:line="360" w:lineRule="exact"/>
        <w:ind w:firstLine="432"/>
        <w:jc w:val="both"/>
      </w:pPr>
      <w:r>
        <w:rPr>
          <w:rFonts w:ascii="Times New Roman" w:hAnsi="Times New Roman"/>
          <w:sz w:val="24"/>
        </w:rPr>
        <w:t>Custom CSS implementing the glassmorphism aesthetic is injected via Streamlit's st.markdown() mechanism. The style system defines a consistent design token set including background blur, border radius, transparency levels, and a colour palette that uses desaturated blues and teals for non-emergency states, shifting to high-contrast reds for emergency escalations.</w:t>
      </w:r>
    </w:p>
    <w:p w14:paraId="62D736F3" w14:textId="77777777" w:rsidR="003B729E" w:rsidRDefault="00000000">
      <w:r>
        <w:br w:type="page"/>
      </w:r>
    </w:p>
    <w:p w14:paraId="7563E14A" w14:textId="77777777" w:rsidR="003B729E" w:rsidRDefault="00000000">
      <w:pPr>
        <w:spacing w:after="120" w:line="400" w:lineRule="exact"/>
      </w:pPr>
      <w:r>
        <w:rPr>
          <w:rFonts w:ascii="Times New Roman" w:hAnsi="Times New Roman"/>
          <w:b/>
          <w:sz w:val="32"/>
          <w:u w:val="single"/>
        </w:rPr>
        <w:lastRenderedPageBreak/>
        <w:t>Chapter 5: Dataset Description</w:t>
      </w:r>
    </w:p>
    <w:p w14:paraId="13C6CBFF" w14:textId="77777777" w:rsidR="003B729E" w:rsidRDefault="003B729E">
      <w:pPr>
        <w:pBdr>
          <w:bottom w:val="single" w:sz="6" w:space="1" w:color="4472C4"/>
        </w:pBdr>
      </w:pPr>
    </w:p>
    <w:p w14:paraId="4C8CAFB5" w14:textId="77777777" w:rsidR="003B729E" w:rsidRDefault="00000000">
      <w:pPr>
        <w:spacing w:after="160" w:line="360" w:lineRule="exact"/>
        <w:jc w:val="both"/>
      </w:pPr>
      <w:r>
        <w:rPr>
          <w:rFonts w:ascii="Times New Roman" w:hAnsi="Times New Roman"/>
          <w:sz w:val="24"/>
        </w:rPr>
        <w:t>MediAssist AI was built and evaluated on a combination of publicly available healthcare datasets. This chapter describes each dataset's source, structure, size, and the preprocessing pipeline applied to prepare it for model training and system integration.</w:t>
      </w:r>
    </w:p>
    <w:p w14:paraId="4C3D83D3" w14:textId="77777777" w:rsidR="003B729E" w:rsidRDefault="00000000">
      <w:pPr>
        <w:spacing w:before="280" w:after="80" w:line="360" w:lineRule="exact"/>
      </w:pPr>
      <w:r>
        <w:rPr>
          <w:rFonts w:ascii="Times New Roman" w:hAnsi="Times New Roman"/>
          <w:b/>
          <w:sz w:val="26"/>
        </w:rPr>
        <w:t>5.1  Dataset Overview</w:t>
      </w:r>
    </w:p>
    <w:p w14:paraId="6EF72405" w14:textId="77777777" w:rsidR="003B729E" w:rsidRDefault="00000000">
      <w:pPr>
        <w:spacing w:after="120" w:line="360" w:lineRule="exact"/>
        <w:jc w:val="both"/>
      </w:pPr>
      <w:r>
        <w:rPr>
          <w:rFonts w:ascii="Times New Roman" w:hAnsi="Times New Roman"/>
          <w:sz w:val="24"/>
        </w:rPr>
        <w:t>Table 5.1 provides a summary of all datasets used in the project, including their approximate size, format, and primary role in the system.</w:t>
      </w:r>
    </w:p>
    <w:tbl>
      <w:tblPr>
        <w:tblStyle w:val="TableGrid"/>
        <w:tblW w:w="0" w:type="auto"/>
        <w:tblLook w:val="04A0" w:firstRow="1" w:lastRow="0" w:firstColumn="1" w:lastColumn="0" w:noHBand="0" w:noVBand="1"/>
      </w:tblPr>
      <w:tblGrid>
        <w:gridCol w:w="1854"/>
        <w:gridCol w:w="1734"/>
        <w:gridCol w:w="1734"/>
        <w:gridCol w:w="1768"/>
        <w:gridCol w:w="1734"/>
      </w:tblGrid>
      <w:tr w:rsidR="003B729E" w14:paraId="6F3595DE" w14:textId="77777777">
        <w:tc>
          <w:tcPr>
            <w:tcW w:w="1734" w:type="dxa"/>
          </w:tcPr>
          <w:p w14:paraId="1A2DC303" w14:textId="77777777" w:rsidR="003B729E" w:rsidRDefault="00000000">
            <w:pPr>
              <w:jc w:val="center"/>
            </w:pPr>
            <w:r>
              <w:rPr>
                <w:rFonts w:ascii="Times New Roman" w:hAnsi="Times New Roman"/>
                <w:b/>
              </w:rPr>
              <w:t>Dataset</w:t>
            </w:r>
          </w:p>
        </w:tc>
        <w:tc>
          <w:tcPr>
            <w:tcW w:w="1734" w:type="dxa"/>
          </w:tcPr>
          <w:p w14:paraId="689F12D8" w14:textId="77777777" w:rsidR="003B729E" w:rsidRDefault="00000000">
            <w:pPr>
              <w:jc w:val="center"/>
            </w:pPr>
            <w:r>
              <w:rPr>
                <w:rFonts w:ascii="Times New Roman" w:hAnsi="Times New Roman"/>
                <w:b/>
              </w:rPr>
              <w:t>Rows</w:t>
            </w:r>
          </w:p>
        </w:tc>
        <w:tc>
          <w:tcPr>
            <w:tcW w:w="1734" w:type="dxa"/>
          </w:tcPr>
          <w:p w14:paraId="39A2D09F" w14:textId="77777777" w:rsidR="003B729E" w:rsidRDefault="00000000">
            <w:pPr>
              <w:jc w:val="center"/>
            </w:pPr>
            <w:r>
              <w:rPr>
                <w:rFonts w:ascii="Times New Roman" w:hAnsi="Times New Roman"/>
                <w:b/>
              </w:rPr>
              <w:t>Format</w:t>
            </w:r>
          </w:p>
        </w:tc>
        <w:tc>
          <w:tcPr>
            <w:tcW w:w="1734" w:type="dxa"/>
          </w:tcPr>
          <w:p w14:paraId="362A29AC" w14:textId="77777777" w:rsidR="003B729E" w:rsidRDefault="00000000">
            <w:pPr>
              <w:jc w:val="center"/>
            </w:pPr>
            <w:r>
              <w:rPr>
                <w:rFonts w:ascii="Times New Roman" w:hAnsi="Times New Roman"/>
                <w:b/>
              </w:rPr>
              <w:t>Role</w:t>
            </w:r>
          </w:p>
        </w:tc>
        <w:tc>
          <w:tcPr>
            <w:tcW w:w="1734" w:type="dxa"/>
          </w:tcPr>
          <w:p w14:paraId="0A8D7105" w14:textId="77777777" w:rsidR="003B729E" w:rsidRDefault="00000000">
            <w:pPr>
              <w:jc w:val="center"/>
            </w:pPr>
            <w:r>
              <w:rPr>
                <w:rFonts w:ascii="Times New Roman" w:hAnsi="Times New Roman"/>
                <w:b/>
              </w:rPr>
              <w:t>Source</w:t>
            </w:r>
          </w:p>
        </w:tc>
      </w:tr>
      <w:tr w:rsidR="003B729E" w14:paraId="7326AB11" w14:textId="77777777">
        <w:tc>
          <w:tcPr>
            <w:tcW w:w="1734" w:type="dxa"/>
          </w:tcPr>
          <w:p w14:paraId="75C369AB" w14:textId="77777777" w:rsidR="003B729E" w:rsidRDefault="00000000">
            <w:pPr>
              <w:jc w:val="center"/>
            </w:pPr>
            <w:r>
              <w:rPr>
                <w:rFonts w:ascii="Times New Roman" w:hAnsi="Times New Roman"/>
              </w:rPr>
              <w:t>Symptom–Disease (Primary)</w:t>
            </w:r>
          </w:p>
        </w:tc>
        <w:tc>
          <w:tcPr>
            <w:tcW w:w="1734" w:type="dxa"/>
          </w:tcPr>
          <w:p w14:paraId="64B9C76B" w14:textId="77777777" w:rsidR="003B729E" w:rsidRDefault="00000000">
            <w:pPr>
              <w:jc w:val="center"/>
            </w:pPr>
            <w:r>
              <w:rPr>
                <w:rFonts w:ascii="Times New Roman" w:hAnsi="Times New Roman"/>
              </w:rPr>
              <w:t>163,727</w:t>
            </w:r>
          </w:p>
        </w:tc>
        <w:tc>
          <w:tcPr>
            <w:tcW w:w="1734" w:type="dxa"/>
          </w:tcPr>
          <w:p w14:paraId="46244F47" w14:textId="77777777" w:rsidR="003B729E" w:rsidRDefault="00000000">
            <w:pPr>
              <w:jc w:val="center"/>
            </w:pPr>
            <w:r>
              <w:rPr>
                <w:rFonts w:ascii="Times New Roman" w:hAnsi="Times New Roman"/>
              </w:rPr>
              <w:t>CSV</w:t>
            </w:r>
          </w:p>
        </w:tc>
        <w:tc>
          <w:tcPr>
            <w:tcW w:w="1734" w:type="dxa"/>
          </w:tcPr>
          <w:p w14:paraId="7A0236D9" w14:textId="77777777" w:rsidR="003B729E" w:rsidRDefault="00000000">
            <w:pPr>
              <w:jc w:val="center"/>
            </w:pPr>
            <w:r>
              <w:rPr>
                <w:rFonts w:ascii="Times New Roman" w:hAnsi="Times New Roman"/>
              </w:rPr>
              <w:t>ML Training &amp; Evaluation</w:t>
            </w:r>
          </w:p>
        </w:tc>
        <w:tc>
          <w:tcPr>
            <w:tcW w:w="1734" w:type="dxa"/>
          </w:tcPr>
          <w:p w14:paraId="41FF1DCA" w14:textId="77777777" w:rsidR="003B729E" w:rsidRDefault="00000000">
            <w:pPr>
              <w:jc w:val="center"/>
            </w:pPr>
            <w:r>
              <w:rPr>
                <w:rFonts w:ascii="Times New Roman" w:hAnsi="Times New Roman"/>
              </w:rPr>
              <w:t>Kaggle / Curated</w:t>
            </w:r>
          </w:p>
        </w:tc>
      </w:tr>
      <w:tr w:rsidR="003B729E" w14:paraId="69F94BAE" w14:textId="77777777">
        <w:tc>
          <w:tcPr>
            <w:tcW w:w="1734" w:type="dxa"/>
          </w:tcPr>
          <w:p w14:paraId="2D7D9F77" w14:textId="77777777" w:rsidR="003B729E" w:rsidRDefault="00000000">
            <w:pPr>
              <w:jc w:val="center"/>
            </w:pPr>
            <w:r>
              <w:rPr>
                <w:rFonts w:ascii="Times New Roman" w:hAnsi="Times New Roman"/>
              </w:rPr>
              <w:t>HealthCareMagic-100k</w:t>
            </w:r>
          </w:p>
        </w:tc>
        <w:tc>
          <w:tcPr>
            <w:tcW w:w="1734" w:type="dxa"/>
          </w:tcPr>
          <w:p w14:paraId="475B6E79" w14:textId="77777777" w:rsidR="003B729E" w:rsidRDefault="00000000">
            <w:pPr>
              <w:jc w:val="center"/>
            </w:pPr>
            <w:r>
              <w:rPr>
                <w:rFonts w:ascii="Times New Roman" w:hAnsi="Times New Roman"/>
              </w:rPr>
              <w:t>112,164</w:t>
            </w:r>
          </w:p>
        </w:tc>
        <w:tc>
          <w:tcPr>
            <w:tcW w:w="1734" w:type="dxa"/>
          </w:tcPr>
          <w:p w14:paraId="19A9F46C" w14:textId="77777777" w:rsidR="003B729E" w:rsidRDefault="00000000">
            <w:pPr>
              <w:jc w:val="center"/>
            </w:pPr>
            <w:r>
              <w:rPr>
                <w:rFonts w:ascii="Times New Roman" w:hAnsi="Times New Roman"/>
              </w:rPr>
              <w:t>JSON</w:t>
            </w:r>
          </w:p>
        </w:tc>
        <w:tc>
          <w:tcPr>
            <w:tcW w:w="1734" w:type="dxa"/>
          </w:tcPr>
          <w:p w14:paraId="28128C42" w14:textId="77777777" w:rsidR="003B729E" w:rsidRDefault="00000000">
            <w:pPr>
              <w:jc w:val="center"/>
            </w:pPr>
            <w:r>
              <w:rPr>
                <w:rFonts w:ascii="Times New Roman" w:hAnsi="Times New Roman"/>
              </w:rPr>
              <w:t>Conversational Context</w:t>
            </w:r>
          </w:p>
        </w:tc>
        <w:tc>
          <w:tcPr>
            <w:tcW w:w="1734" w:type="dxa"/>
          </w:tcPr>
          <w:p w14:paraId="6A9B7C37" w14:textId="77777777" w:rsidR="003B729E" w:rsidRDefault="00000000">
            <w:pPr>
              <w:jc w:val="center"/>
            </w:pPr>
            <w:r>
              <w:rPr>
                <w:rFonts w:ascii="Times New Roman" w:hAnsi="Times New Roman"/>
              </w:rPr>
              <w:t>HuggingFace</w:t>
            </w:r>
          </w:p>
        </w:tc>
      </w:tr>
      <w:tr w:rsidR="003B729E" w14:paraId="2D7B79ED" w14:textId="77777777">
        <w:tc>
          <w:tcPr>
            <w:tcW w:w="1734" w:type="dxa"/>
          </w:tcPr>
          <w:p w14:paraId="1BD93C29" w14:textId="77777777" w:rsidR="003B729E" w:rsidRDefault="00000000">
            <w:pPr>
              <w:jc w:val="center"/>
            </w:pPr>
            <w:r>
              <w:rPr>
                <w:rFonts w:ascii="Times New Roman" w:hAnsi="Times New Roman"/>
              </w:rPr>
              <w:t>National Hospital Directory</w:t>
            </w:r>
          </w:p>
        </w:tc>
        <w:tc>
          <w:tcPr>
            <w:tcW w:w="1734" w:type="dxa"/>
          </w:tcPr>
          <w:p w14:paraId="77E5C496" w14:textId="77777777" w:rsidR="003B729E" w:rsidRDefault="00000000">
            <w:pPr>
              <w:jc w:val="center"/>
            </w:pPr>
            <w:r>
              <w:rPr>
                <w:rFonts w:ascii="Times New Roman" w:hAnsi="Times New Roman"/>
              </w:rPr>
              <w:t>30,273</w:t>
            </w:r>
          </w:p>
        </w:tc>
        <w:tc>
          <w:tcPr>
            <w:tcW w:w="1734" w:type="dxa"/>
          </w:tcPr>
          <w:p w14:paraId="44B3AA93" w14:textId="77777777" w:rsidR="003B729E" w:rsidRDefault="00000000">
            <w:pPr>
              <w:jc w:val="center"/>
            </w:pPr>
            <w:r>
              <w:rPr>
                <w:rFonts w:ascii="Times New Roman" w:hAnsi="Times New Roman"/>
              </w:rPr>
              <w:t>XLSX</w:t>
            </w:r>
          </w:p>
        </w:tc>
        <w:tc>
          <w:tcPr>
            <w:tcW w:w="1734" w:type="dxa"/>
          </w:tcPr>
          <w:p w14:paraId="3BA39B73" w14:textId="77777777" w:rsidR="003B729E" w:rsidRDefault="00000000">
            <w:pPr>
              <w:jc w:val="center"/>
            </w:pPr>
            <w:r>
              <w:rPr>
                <w:rFonts w:ascii="Times New Roman" w:hAnsi="Times New Roman"/>
              </w:rPr>
              <w:t>Hospital Recommendation</w:t>
            </w:r>
          </w:p>
        </w:tc>
        <w:tc>
          <w:tcPr>
            <w:tcW w:w="1734" w:type="dxa"/>
          </w:tcPr>
          <w:p w14:paraId="0E8F60A6" w14:textId="77777777" w:rsidR="003B729E" w:rsidRDefault="00000000">
            <w:pPr>
              <w:jc w:val="center"/>
            </w:pPr>
            <w:r>
              <w:rPr>
                <w:rFonts w:ascii="Times New Roman" w:hAnsi="Times New Roman"/>
              </w:rPr>
              <w:t>Govt. of India</w:t>
            </w:r>
          </w:p>
        </w:tc>
      </w:tr>
      <w:tr w:rsidR="003B729E" w14:paraId="61CDB3A5" w14:textId="77777777">
        <w:tc>
          <w:tcPr>
            <w:tcW w:w="1734" w:type="dxa"/>
          </w:tcPr>
          <w:p w14:paraId="750146B8" w14:textId="77777777" w:rsidR="003B729E" w:rsidRDefault="00000000">
            <w:pPr>
              <w:jc w:val="center"/>
            </w:pPr>
            <w:r>
              <w:rPr>
                <w:rFonts w:ascii="Times New Roman" w:hAnsi="Times New Roman"/>
              </w:rPr>
              <w:t>Rural Health Facilities</w:t>
            </w:r>
          </w:p>
        </w:tc>
        <w:tc>
          <w:tcPr>
            <w:tcW w:w="1734" w:type="dxa"/>
          </w:tcPr>
          <w:p w14:paraId="4D0307F0" w14:textId="77777777" w:rsidR="003B729E" w:rsidRDefault="00000000">
            <w:pPr>
              <w:jc w:val="center"/>
            </w:pPr>
            <w:r>
              <w:rPr>
                <w:rFonts w:ascii="Times New Roman" w:hAnsi="Times New Roman"/>
              </w:rPr>
              <w:t>55</w:t>
            </w:r>
          </w:p>
        </w:tc>
        <w:tc>
          <w:tcPr>
            <w:tcW w:w="1734" w:type="dxa"/>
          </w:tcPr>
          <w:p w14:paraId="08546F36" w14:textId="77777777" w:rsidR="003B729E" w:rsidRDefault="00000000">
            <w:pPr>
              <w:jc w:val="center"/>
            </w:pPr>
            <w:r>
              <w:rPr>
                <w:rFonts w:ascii="Times New Roman" w:hAnsi="Times New Roman"/>
              </w:rPr>
              <w:t>CSV</w:t>
            </w:r>
          </w:p>
        </w:tc>
        <w:tc>
          <w:tcPr>
            <w:tcW w:w="1734" w:type="dxa"/>
          </w:tcPr>
          <w:p w14:paraId="2A3B291C" w14:textId="77777777" w:rsidR="003B729E" w:rsidRDefault="00000000">
            <w:pPr>
              <w:jc w:val="center"/>
            </w:pPr>
            <w:r>
              <w:rPr>
                <w:rFonts w:ascii="Times New Roman" w:hAnsi="Times New Roman"/>
              </w:rPr>
              <w:t>Rural Facility Mapping</w:t>
            </w:r>
          </w:p>
        </w:tc>
        <w:tc>
          <w:tcPr>
            <w:tcW w:w="1734" w:type="dxa"/>
          </w:tcPr>
          <w:p w14:paraId="3AA4DD61" w14:textId="77777777" w:rsidR="003B729E" w:rsidRDefault="00000000">
            <w:pPr>
              <w:jc w:val="center"/>
            </w:pPr>
            <w:r>
              <w:rPr>
                <w:rFonts w:ascii="Times New Roman" w:hAnsi="Times New Roman"/>
              </w:rPr>
              <w:t>MoHFW India</w:t>
            </w:r>
          </w:p>
        </w:tc>
      </w:tr>
      <w:tr w:rsidR="003B729E" w14:paraId="3A4CE5CD" w14:textId="77777777">
        <w:tc>
          <w:tcPr>
            <w:tcW w:w="1734" w:type="dxa"/>
          </w:tcPr>
          <w:p w14:paraId="2B719FE1" w14:textId="77777777" w:rsidR="003B729E" w:rsidRDefault="00000000">
            <w:pPr>
              <w:jc w:val="center"/>
            </w:pPr>
            <w:r>
              <w:rPr>
                <w:rFonts w:ascii="Times New Roman" w:hAnsi="Times New Roman"/>
              </w:rPr>
              <w:t>India Fact Sheet</w:t>
            </w:r>
          </w:p>
        </w:tc>
        <w:tc>
          <w:tcPr>
            <w:tcW w:w="1734" w:type="dxa"/>
          </w:tcPr>
          <w:p w14:paraId="410F3389" w14:textId="77777777" w:rsidR="003B729E" w:rsidRDefault="00000000">
            <w:pPr>
              <w:jc w:val="center"/>
            </w:pPr>
            <w:r>
              <w:rPr>
                <w:rFonts w:ascii="Times New Roman" w:hAnsi="Times New Roman"/>
              </w:rPr>
              <w:t>N/A</w:t>
            </w:r>
          </w:p>
        </w:tc>
        <w:tc>
          <w:tcPr>
            <w:tcW w:w="1734" w:type="dxa"/>
          </w:tcPr>
          <w:p w14:paraId="7F38DC77" w14:textId="77777777" w:rsidR="003B729E" w:rsidRDefault="00000000">
            <w:pPr>
              <w:jc w:val="center"/>
            </w:pPr>
            <w:r>
              <w:rPr>
                <w:rFonts w:ascii="Times New Roman" w:hAnsi="Times New Roman"/>
              </w:rPr>
              <w:t>PDF</w:t>
            </w:r>
          </w:p>
        </w:tc>
        <w:tc>
          <w:tcPr>
            <w:tcW w:w="1734" w:type="dxa"/>
          </w:tcPr>
          <w:p w14:paraId="436ECF4B" w14:textId="77777777" w:rsidR="003B729E" w:rsidRDefault="00000000">
            <w:pPr>
              <w:jc w:val="center"/>
            </w:pPr>
            <w:r>
              <w:rPr>
                <w:rFonts w:ascii="Times New Roman" w:hAnsi="Times New Roman"/>
              </w:rPr>
              <w:t>Healthcare Context</w:t>
            </w:r>
          </w:p>
        </w:tc>
        <w:tc>
          <w:tcPr>
            <w:tcW w:w="1734" w:type="dxa"/>
          </w:tcPr>
          <w:p w14:paraId="0D135913" w14:textId="77777777" w:rsidR="003B729E" w:rsidRDefault="00000000">
            <w:pPr>
              <w:jc w:val="center"/>
            </w:pPr>
            <w:r>
              <w:rPr>
                <w:rFonts w:ascii="Times New Roman" w:hAnsi="Times New Roman"/>
              </w:rPr>
              <w:t>WHO / MoHFW</w:t>
            </w:r>
          </w:p>
        </w:tc>
      </w:tr>
    </w:tbl>
    <w:p w14:paraId="3318B048" w14:textId="77777777" w:rsidR="003B729E" w:rsidRDefault="003B729E">
      <w:pPr>
        <w:spacing w:after="40" w:line="360" w:lineRule="exact"/>
        <w:jc w:val="both"/>
      </w:pPr>
    </w:p>
    <w:p w14:paraId="552F8695" w14:textId="77777777" w:rsidR="003B729E" w:rsidRDefault="00000000">
      <w:pPr>
        <w:spacing w:before="80" w:after="240"/>
        <w:jc w:val="center"/>
      </w:pPr>
      <w:r>
        <w:rPr>
          <w:rFonts w:ascii="Times New Roman" w:hAnsi="Times New Roman"/>
          <w:i/>
        </w:rPr>
        <w:t>Table 5.1 – Summary of Datasets Used in MediAssist AI</w:t>
      </w:r>
    </w:p>
    <w:p w14:paraId="1B4AE676" w14:textId="77777777" w:rsidR="003B729E" w:rsidRDefault="00000000">
      <w:pPr>
        <w:spacing w:before="280" w:after="80" w:line="360" w:lineRule="exact"/>
      </w:pPr>
      <w:r>
        <w:rPr>
          <w:rFonts w:ascii="Times New Roman" w:hAnsi="Times New Roman"/>
          <w:b/>
          <w:sz w:val="26"/>
        </w:rPr>
        <w:t>5.2  Primary Symptom–Disease Dataset</w:t>
      </w:r>
    </w:p>
    <w:p w14:paraId="2377F8A9" w14:textId="77777777" w:rsidR="003B729E" w:rsidRDefault="00000000">
      <w:pPr>
        <w:spacing w:after="160" w:line="360" w:lineRule="exact"/>
        <w:ind w:firstLine="432"/>
        <w:jc w:val="both"/>
      </w:pPr>
      <w:r>
        <w:rPr>
          <w:rFonts w:ascii="Times New Roman" w:hAnsi="Times New Roman"/>
          <w:sz w:val="24"/>
        </w:rPr>
        <w:t>The primary dataset used for machine learning training and evaluation contains 163,727 labelled examples, each consisting of a natural language symptom description and a corresponding disease label. The dataset covers 260 distinct disease categories, ranging from common conditions such as the common cold and urinary tract infections to less frequent conditions including rare autoimmune disorders and neurological syndromes.</w:t>
      </w:r>
    </w:p>
    <w:p w14:paraId="4C8B4349" w14:textId="77777777" w:rsidR="003B729E" w:rsidRDefault="00000000">
      <w:pPr>
        <w:spacing w:after="160" w:line="360" w:lineRule="exact"/>
        <w:ind w:firstLine="432"/>
        <w:jc w:val="both"/>
      </w:pPr>
      <w:r>
        <w:rPr>
          <w:rFonts w:ascii="Times New Roman" w:hAnsi="Times New Roman"/>
          <w:sz w:val="24"/>
        </w:rPr>
        <w:t>Figure 5.1 shows the distribution of disease frequency in the training set. The distribution is notably long-tailed: the top 20 most common diseases account for a disproportionate share of the training examples, while many conditions appear fewer than 200 times. This class imbalance is a known source of bias in trained classifiers and influenced several design decisions, most notably the use of Top-K prediction rather than a single top-1 output.</w:t>
      </w:r>
    </w:p>
    <w:p w14:paraId="15A123D6" w14:textId="77777777" w:rsidR="003B729E" w:rsidRDefault="00000000">
      <w:pPr>
        <w:spacing w:before="120" w:after="40"/>
        <w:jc w:val="center"/>
      </w:pPr>
      <w:r>
        <w:rPr>
          <w:noProof/>
        </w:rPr>
        <w:lastRenderedPageBreak/>
        <w:drawing>
          <wp:inline distT="0" distB="0" distL="0" distR="0" wp14:anchorId="4A106D51" wp14:editId="733E9643">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sease_frequency.png"/>
                    <pic:cNvPicPr/>
                  </pic:nvPicPr>
                  <pic:blipFill>
                    <a:blip r:embed="rId10"/>
                    <a:stretch>
                      <a:fillRect/>
                    </a:stretch>
                  </pic:blipFill>
                  <pic:spPr>
                    <a:xfrm>
                      <a:off x="0" y="0"/>
                      <a:ext cx="5029200" cy="2514600"/>
                    </a:xfrm>
                    <a:prstGeom prst="rect">
                      <a:avLst/>
                    </a:prstGeom>
                  </pic:spPr>
                </pic:pic>
              </a:graphicData>
            </a:graphic>
          </wp:inline>
        </w:drawing>
      </w:r>
    </w:p>
    <w:p w14:paraId="61E873D3" w14:textId="77777777" w:rsidR="003B729E" w:rsidRDefault="00000000">
      <w:pPr>
        <w:spacing w:before="80" w:after="240"/>
        <w:jc w:val="center"/>
      </w:pPr>
      <w:r>
        <w:rPr>
          <w:rFonts w:ascii="Times New Roman" w:hAnsi="Times New Roman"/>
          <w:i/>
        </w:rPr>
        <w:t>Figure 5.1 – Top-20 Disease Frequency Distribution in the Training Dataset</w:t>
      </w:r>
    </w:p>
    <w:p w14:paraId="2DB05080" w14:textId="77777777" w:rsidR="003B729E" w:rsidRDefault="00000000">
      <w:pPr>
        <w:spacing w:after="160" w:line="360" w:lineRule="exact"/>
        <w:ind w:firstLine="432"/>
        <w:jc w:val="both"/>
      </w:pPr>
      <w:r>
        <w:rPr>
          <w:rFonts w:ascii="Times New Roman" w:hAnsi="Times New Roman"/>
          <w:sz w:val="24"/>
        </w:rPr>
        <w:t>Figure 5.2 shows the symptom co-occurrence heatmap for the most frequent symptom terms. High co-occurrence values between fever, fatigue, and pain confirm the feature overlap problem described in Chapter 3—these generic symptoms appear across hundreds of disease classes, making them poor discriminators for any individual condition.</w:t>
      </w:r>
    </w:p>
    <w:p w14:paraId="600D1916" w14:textId="77777777" w:rsidR="003B729E" w:rsidRDefault="00000000">
      <w:pPr>
        <w:spacing w:before="120" w:after="40"/>
        <w:jc w:val="center"/>
      </w:pPr>
      <w:r>
        <w:rPr>
          <w:noProof/>
        </w:rPr>
        <w:drawing>
          <wp:inline distT="0" distB="0" distL="0" distR="0" wp14:anchorId="43178060" wp14:editId="77A4BC69">
            <wp:extent cx="5029200" cy="419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mptoms_cooccurrence.png"/>
                    <pic:cNvPicPr/>
                  </pic:nvPicPr>
                  <pic:blipFill>
                    <a:blip r:embed="rId11"/>
                    <a:stretch>
                      <a:fillRect/>
                    </a:stretch>
                  </pic:blipFill>
                  <pic:spPr>
                    <a:xfrm>
                      <a:off x="0" y="0"/>
                      <a:ext cx="5029200" cy="4191000"/>
                    </a:xfrm>
                    <a:prstGeom prst="rect">
                      <a:avLst/>
                    </a:prstGeom>
                  </pic:spPr>
                </pic:pic>
              </a:graphicData>
            </a:graphic>
          </wp:inline>
        </w:drawing>
      </w:r>
    </w:p>
    <w:p w14:paraId="718851FB" w14:textId="77777777" w:rsidR="003B729E" w:rsidRDefault="00000000">
      <w:pPr>
        <w:spacing w:before="80" w:after="240"/>
        <w:jc w:val="center"/>
      </w:pPr>
      <w:r>
        <w:rPr>
          <w:rFonts w:ascii="Times New Roman" w:hAnsi="Times New Roman"/>
          <w:i/>
        </w:rPr>
        <w:t>Figure 5.2 – Symptom Co-occurrence Heatmap (Top Symptom Terms)</w:t>
      </w:r>
    </w:p>
    <w:p w14:paraId="15BE0718" w14:textId="77777777" w:rsidR="003B729E" w:rsidRDefault="00000000">
      <w:pPr>
        <w:spacing w:before="200" w:after="60" w:line="360" w:lineRule="exact"/>
      </w:pPr>
      <w:r>
        <w:rPr>
          <w:rFonts w:ascii="Times New Roman" w:hAnsi="Times New Roman"/>
          <w:b/>
          <w:i/>
          <w:sz w:val="24"/>
        </w:rPr>
        <w:lastRenderedPageBreak/>
        <w:t>5.2.1  Dataset Splits</w:t>
      </w:r>
    </w:p>
    <w:p w14:paraId="3622CF67" w14:textId="77777777" w:rsidR="003B729E" w:rsidRDefault="00000000">
      <w:pPr>
        <w:spacing w:after="160" w:line="360" w:lineRule="exact"/>
        <w:ind w:firstLine="432"/>
        <w:jc w:val="both"/>
      </w:pPr>
      <w:r>
        <w:rPr>
          <w:rFonts w:ascii="Times New Roman" w:hAnsi="Times New Roman"/>
          <w:sz w:val="24"/>
        </w:rPr>
        <w:t>The dataset was split into training (80%), validation (10%), and test (10%) subsets using stratified sampling to maintain class proportions across all splits. The resulting split sizes are approximately:</w:t>
      </w:r>
    </w:p>
    <w:tbl>
      <w:tblPr>
        <w:tblStyle w:val="TableGrid"/>
        <w:tblW w:w="0" w:type="auto"/>
        <w:tblLook w:val="04A0" w:firstRow="1" w:lastRow="0" w:firstColumn="1" w:lastColumn="0" w:noHBand="0" w:noVBand="1"/>
      </w:tblPr>
      <w:tblGrid>
        <w:gridCol w:w="2890"/>
        <w:gridCol w:w="2890"/>
        <w:gridCol w:w="2890"/>
      </w:tblGrid>
      <w:tr w:rsidR="003B729E" w14:paraId="55467E03" w14:textId="77777777">
        <w:tc>
          <w:tcPr>
            <w:tcW w:w="2890" w:type="dxa"/>
          </w:tcPr>
          <w:p w14:paraId="707B7848" w14:textId="77777777" w:rsidR="003B729E" w:rsidRDefault="00000000">
            <w:pPr>
              <w:jc w:val="center"/>
            </w:pPr>
            <w:r>
              <w:rPr>
                <w:rFonts w:ascii="Times New Roman" w:hAnsi="Times New Roman"/>
                <w:b/>
              </w:rPr>
              <w:t>Split</w:t>
            </w:r>
          </w:p>
        </w:tc>
        <w:tc>
          <w:tcPr>
            <w:tcW w:w="2890" w:type="dxa"/>
          </w:tcPr>
          <w:p w14:paraId="4BC26881" w14:textId="77777777" w:rsidR="003B729E" w:rsidRDefault="00000000">
            <w:pPr>
              <w:jc w:val="center"/>
            </w:pPr>
            <w:r>
              <w:rPr>
                <w:rFonts w:ascii="Times New Roman" w:hAnsi="Times New Roman"/>
                <w:b/>
              </w:rPr>
              <w:t>Size (Approx.)</w:t>
            </w:r>
          </w:p>
        </w:tc>
        <w:tc>
          <w:tcPr>
            <w:tcW w:w="2890" w:type="dxa"/>
          </w:tcPr>
          <w:p w14:paraId="7C2FEA90" w14:textId="77777777" w:rsidR="003B729E" w:rsidRDefault="00000000">
            <w:pPr>
              <w:jc w:val="center"/>
            </w:pPr>
            <w:r>
              <w:rPr>
                <w:rFonts w:ascii="Times New Roman" w:hAnsi="Times New Roman"/>
                <w:b/>
              </w:rPr>
              <w:t>Purpose</w:t>
            </w:r>
          </w:p>
        </w:tc>
      </w:tr>
      <w:tr w:rsidR="003B729E" w14:paraId="209132E1" w14:textId="77777777">
        <w:tc>
          <w:tcPr>
            <w:tcW w:w="2890" w:type="dxa"/>
          </w:tcPr>
          <w:p w14:paraId="0C5D21EB" w14:textId="77777777" w:rsidR="003B729E" w:rsidRDefault="00000000">
            <w:pPr>
              <w:jc w:val="center"/>
            </w:pPr>
            <w:r>
              <w:rPr>
                <w:rFonts w:ascii="Times New Roman" w:hAnsi="Times New Roman"/>
              </w:rPr>
              <w:t>Training Set</w:t>
            </w:r>
          </w:p>
        </w:tc>
        <w:tc>
          <w:tcPr>
            <w:tcW w:w="2890" w:type="dxa"/>
          </w:tcPr>
          <w:p w14:paraId="6BEAEC44" w14:textId="77777777" w:rsidR="003B729E" w:rsidRDefault="00000000">
            <w:pPr>
              <w:jc w:val="center"/>
            </w:pPr>
            <w:r>
              <w:rPr>
                <w:rFonts w:ascii="Times New Roman" w:hAnsi="Times New Roman"/>
              </w:rPr>
              <w:t>~130,982</w:t>
            </w:r>
          </w:p>
        </w:tc>
        <w:tc>
          <w:tcPr>
            <w:tcW w:w="2890" w:type="dxa"/>
          </w:tcPr>
          <w:p w14:paraId="2E76D9E0" w14:textId="77777777" w:rsidR="003B729E" w:rsidRDefault="00000000">
            <w:pPr>
              <w:jc w:val="center"/>
            </w:pPr>
            <w:r>
              <w:rPr>
                <w:rFonts w:ascii="Times New Roman" w:hAnsi="Times New Roman"/>
              </w:rPr>
              <w:t>Used for model fitting</w:t>
            </w:r>
          </w:p>
        </w:tc>
      </w:tr>
      <w:tr w:rsidR="003B729E" w14:paraId="564CFCDD" w14:textId="77777777">
        <w:tc>
          <w:tcPr>
            <w:tcW w:w="2890" w:type="dxa"/>
          </w:tcPr>
          <w:p w14:paraId="7D59A6AB" w14:textId="77777777" w:rsidR="003B729E" w:rsidRDefault="00000000">
            <w:pPr>
              <w:jc w:val="center"/>
            </w:pPr>
            <w:r>
              <w:rPr>
                <w:rFonts w:ascii="Times New Roman" w:hAnsi="Times New Roman"/>
              </w:rPr>
              <w:t>Validation Set</w:t>
            </w:r>
          </w:p>
        </w:tc>
        <w:tc>
          <w:tcPr>
            <w:tcW w:w="2890" w:type="dxa"/>
          </w:tcPr>
          <w:p w14:paraId="735BF284" w14:textId="77777777" w:rsidR="003B729E" w:rsidRDefault="00000000">
            <w:pPr>
              <w:jc w:val="center"/>
            </w:pPr>
            <w:r>
              <w:rPr>
                <w:rFonts w:ascii="Times New Roman" w:hAnsi="Times New Roman"/>
              </w:rPr>
              <w:t>~16,373</w:t>
            </w:r>
          </w:p>
        </w:tc>
        <w:tc>
          <w:tcPr>
            <w:tcW w:w="2890" w:type="dxa"/>
          </w:tcPr>
          <w:p w14:paraId="2973B0A9" w14:textId="77777777" w:rsidR="003B729E" w:rsidRDefault="00000000">
            <w:pPr>
              <w:jc w:val="center"/>
            </w:pPr>
            <w:r>
              <w:rPr>
                <w:rFonts w:ascii="Times New Roman" w:hAnsi="Times New Roman"/>
              </w:rPr>
              <w:t>Used for hyperparameter tuning</w:t>
            </w:r>
          </w:p>
        </w:tc>
      </w:tr>
      <w:tr w:rsidR="003B729E" w14:paraId="5220E146" w14:textId="77777777">
        <w:tc>
          <w:tcPr>
            <w:tcW w:w="2890" w:type="dxa"/>
          </w:tcPr>
          <w:p w14:paraId="628D9056" w14:textId="77777777" w:rsidR="003B729E" w:rsidRDefault="00000000">
            <w:pPr>
              <w:jc w:val="center"/>
            </w:pPr>
            <w:r>
              <w:rPr>
                <w:rFonts w:ascii="Times New Roman" w:hAnsi="Times New Roman"/>
              </w:rPr>
              <w:t>Test Set</w:t>
            </w:r>
          </w:p>
        </w:tc>
        <w:tc>
          <w:tcPr>
            <w:tcW w:w="2890" w:type="dxa"/>
          </w:tcPr>
          <w:p w14:paraId="6BE71C37" w14:textId="77777777" w:rsidR="003B729E" w:rsidRDefault="00000000">
            <w:pPr>
              <w:jc w:val="center"/>
            </w:pPr>
            <w:r>
              <w:rPr>
                <w:rFonts w:ascii="Times New Roman" w:hAnsi="Times New Roman"/>
              </w:rPr>
              <w:t>~16,372</w:t>
            </w:r>
          </w:p>
        </w:tc>
        <w:tc>
          <w:tcPr>
            <w:tcW w:w="2890" w:type="dxa"/>
          </w:tcPr>
          <w:p w14:paraId="1C32562E" w14:textId="77777777" w:rsidR="003B729E" w:rsidRDefault="00000000">
            <w:pPr>
              <w:jc w:val="center"/>
            </w:pPr>
            <w:r>
              <w:rPr>
                <w:rFonts w:ascii="Times New Roman" w:hAnsi="Times New Roman"/>
              </w:rPr>
              <w:t>Used for final evaluation metrics</w:t>
            </w:r>
          </w:p>
        </w:tc>
      </w:tr>
    </w:tbl>
    <w:p w14:paraId="526F2DF8" w14:textId="77777777" w:rsidR="003B729E" w:rsidRDefault="003B729E">
      <w:pPr>
        <w:spacing w:after="40" w:line="360" w:lineRule="exact"/>
        <w:jc w:val="both"/>
      </w:pPr>
    </w:p>
    <w:p w14:paraId="0E436062" w14:textId="77777777" w:rsidR="003B729E" w:rsidRDefault="00000000">
      <w:pPr>
        <w:spacing w:before="80" w:after="240"/>
        <w:jc w:val="center"/>
      </w:pPr>
      <w:r>
        <w:rPr>
          <w:rFonts w:ascii="Times New Roman" w:hAnsi="Times New Roman"/>
          <w:i/>
        </w:rPr>
        <w:t>Table 5.2 – Dataset Split Sizes</w:t>
      </w:r>
    </w:p>
    <w:p w14:paraId="49D5488C" w14:textId="77777777" w:rsidR="003B729E" w:rsidRDefault="00000000">
      <w:pPr>
        <w:spacing w:before="280" w:after="80" w:line="360" w:lineRule="exact"/>
      </w:pPr>
      <w:r>
        <w:rPr>
          <w:rFonts w:ascii="Times New Roman" w:hAnsi="Times New Roman"/>
          <w:b/>
          <w:sz w:val="26"/>
        </w:rPr>
        <w:t>5.3  HealthCareMagic Conversational Dataset</w:t>
      </w:r>
    </w:p>
    <w:p w14:paraId="164CFE80" w14:textId="77777777" w:rsidR="003B729E" w:rsidRDefault="00000000">
      <w:pPr>
        <w:spacing w:after="160" w:line="360" w:lineRule="exact"/>
        <w:ind w:firstLine="432"/>
        <w:jc w:val="both"/>
      </w:pPr>
      <w:r>
        <w:rPr>
          <w:rFonts w:ascii="Times New Roman" w:hAnsi="Times New Roman"/>
          <w:sz w:val="24"/>
        </w:rPr>
        <w:t>The HealthCareMagic-100k dataset contains 112,164 de-identified patient–doctor conversations extracted from the HealthCareMagic online consultation platform. Each entry consists of a patient query and a corresponding doctor response. Figure 5.3 shows the distribution of patient query lengths.</w:t>
      </w:r>
    </w:p>
    <w:p w14:paraId="22CC2D99" w14:textId="77777777" w:rsidR="003B729E" w:rsidRDefault="00000000">
      <w:pPr>
        <w:spacing w:before="120" w:after="40"/>
        <w:jc w:val="center"/>
      </w:pPr>
      <w:r>
        <w:rPr>
          <w:noProof/>
        </w:rPr>
        <w:drawing>
          <wp:inline distT="0" distB="0" distL="0" distR="0" wp14:anchorId="05DD0AAC" wp14:editId="0BEF2C26">
            <wp:extent cx="45720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uery_length_dist.png"/>
                    <pic:cNvPicPr/>
                  </pic:nvPicPr>
                  <pic:blipFill>
                    <a:blip r:embed="rId12"/>
                    <a:stretch>
                      <a:fillRect/>
                    </a:stretch>
                  </pic:blipFill>
                  <pic:spPr>
                    <a:xfrm>
                      <a:off x="0" y="0"/>
                      <a:ext cx="4572000" cy="2743200"/>
                    </a:xfrm>
                    <a:prstGeom prst="rect">
                      <a:avLst/>
                    </a:prstGeom>
                  </pic:spPr>
                </pic:pic>
              </a:graphicData>
            </a:graphic>
          </wp:inline>
        </w:drawing>
      </w:r>
    </w:p>
    <w:p w14:paraId="0DFE09CC" w14:textId="77777777" w:rsidR="003B729E" w:rsidRDefault="00000000">
      <w:pPr>
        <w:spacing w:before="80" w:after="240"/>
        <w:jc w:val="center"/>
      </w:pPr>
      <w:r>
        <w:rPr>
          <w:rFonts w:ascii="Times New Roman" w:hAnsi="Times New Roman"/>
          <w:i/>
        </w:rPr>
        <w:t>Figure 5.3 – Distribution of Patient Query Lengths (HealthCareMagic Dataset)</w:t>
      </w:r>
    </w:p>
    <w:p w14:paraId="65CA87F6" w14:textId="77777777" w:rsidR="003B729E" w:rsidRDefault="00000000">
      <w:pPr>
        <w:spacing w:after="160" w:line="360" w:lineRule="exact"/>
        <w:ind w:firstLine="432"/>
        <w:jc w:val="both"/>
      </w:pPr>
      <w:r>
        <w:rPr>
          <w:rFonts w:ascii="Times New Roman" w:hAnsi="Times New Roman"/>
          <w:sz w:val="24"/>
        </w:rPr>
        <w:t>This dataset was included in the project primarily as a qualitative reference for understanding how patients naturally articulate symptoms in conversational language. It informed the vocabulary coverage and phrasing patterns used in constructing the 500-case validation dataset described in Chapter 10. The dataset was not used directly for training the classical ML classifiers, as its conversational format is better suited to sequence-to-sequence or retrieval-based models.</w:t>
      </w:r>
    </w:p>
    <w:p w14:paraId="25CED2B1" w14:textId="77777777" w:rsidR="003B729E" w:rsidRDefault="00000000">
      <w:pPr>
        <w:spacing w:after="160" w:line="360" w:lineRule="exact"/>
        <w:ind w:firstLine="432"/>
        <w:jc w:val="both"/>
      </w:pPr>
      <w:r>
        <w:rPr>
          <w:rFonts w:ascii="Times New Roman" w:hAnsi="Times New Roman"/>
          <w:sz w:val="24"/>
        </w:rPr>
        <w:lastRenderedPageBreak/>
        <w:t>Data quality analysis revealed that approximately 10–15% of entries contained near-duplicate queries. These were identified using cosine similarity on TF-IDF vectors and removed from the cleaned version stored at data/processed/bert/conversations_cleaned.csv.</w:t>
      </w:r>
    </w:p>
    <w:p w14:paraId="0A75A07A" w14:textId="77777777" w:rsidR="003B729E" w:rsidRDefault="00000000">
      <w:pPr>
        <w:spacing w:before="280" w:after="80" w:line="360" w:lineRule="exact"/>
      </w:pPr>
      <w:r>
        <w:rPr>
          <w:rFonts w:ascii="Times New Roman" w:hAnsi="Times New Roman"/>
          <w:b/>
          <w:sz w:val="26"/>
        </w:rPr>
        <w:t>5.4  Hospital Infrastructure Datasets</w:t>
      </w:r>
    </w:p>
    <w:p w14:paraId="5D9A296E" w14:textId="77777777" w:rsidR="003B729E" w:rsidRDefault="00000000">
      <w:pPr>
        <w:spacing w:after="160" w:line="360" w:lineRule="exact"/>
        <w:ind w:firstLine="432"/>
        <w:jc w:val="both"/>
      </w:pPr>
      <w:r>
        <w:rPr>
          <w:rFonts w:ascii="Times New Roman" w:hAnsi="Times New Roman"/>
          <w:sz w:val="24"/>
        </w:rPr>
        <w:t>Two hospital-related datasets were incorporated to support the hospital recommendation feature of the system.</w:t>
      </w:r>
    </w:p>
    <w:p w14:paraId="7E345B3E" w14:textId="77777777" w:rsidR="003B729E" w:rsidRDefault="00000000">
      <w:pPr>
        <w:spacing w:after="160" w:line="360" w:lineRule="exact"/>
        <w:ind w:firstLine="432"/>
        <w:jc w:val="both"/>
      </w:pPr>
      <w:r>
        <w:rPr>
          <w:rFonts w:ascii="Times New Roman" w:hAnsi="Times New Roman"/>
          <w:sz w:val="24"/>
        </w:rPr>
        <w:t>The National Hospital Directory with Geo-Code, sourced from the Government of India's Ministry of Health and Family Welfare, contains 30,273 hospital entries covering public and private facilities across all states and union territories. Each entry includes the hospital name, type, state, district, and, for a subset of entries, geographic coordinates (latitude and longitude). Figure 5.4 shows the state-wise distribution of recorded hospital facilities.</w:t>
      </w:r>
    </w:p>
    <w:p w14:paraId="399D4426" w14:textId="77777777" w:rsidR="003B729E" w:rsidRDefault="00000000">
      <w:pPr>
        <w:spacing w:before="120" w:after="40"/>
        <w:jc w:val="center"/>
      </w:pPr>
      <w:r>
        <w:rPr>
          <w:noProof/>
        </w:rPr>
        <w:drawing>
          <wp:inline distT="0" distB="0" distL="0" distR="0" wp14:anchorId="717D621A" wp14:editId="72297767">
            <wp:extent cx="5029200"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spital_state_dist.png"/>
                    <pic:cNvPicPr/>
                  </pic:nvPicPr>
                  <pic:blipFill>
                    <a:blip r:embed="rId13"/>
                    <a:stretch>
                      <a:fillRect/>
                    </a:stretch>
                  </pic:blipFill>
                  <pic:spPr>
                    <a:xfrm>
                      <a:off x="0" y="0"/>
                      <a:ext cx="5029200" cy="2514600"/>
                    </a:xfrm>
                    <a:prstGeom prst="rect">
                      <a:avLst/>
                    </a:prstGeom>
                  </pic:spPr>
                </pic:pic>
              </a:graphicData>
            </a:graphic>
          </wp:inline>
        </w:drawing>
      </w:r>
    </w:p>
    <w:p w14:paraId="614C2B90" w14:textId="77777777" w:rsidR="003B729E" w:rsidRDefault="00000000">
      <w:pPr>
        <w:spacing w:before="80" w:after="240"/>
        <w:jc w:val="center"/>
      </w:pPr>
      <w:r>
        <w:rPr>
          <w:rFonts w:ascii="Times New Roman" w:hAnsi="Times New Roman"/>
          <w:i/>
        </w:rPr>
        <w:t>Figure 5.4 – State-wise Distribution of Hospitals in the National Directory</w:t>
      </w:r>
    </w:p>
    <w:p w14:paraId="42301146" w14:textId="77777777" w:rsidR="003B729E" w:rsidRDefault="00000000">
      <w:pPr>
        <w:spacing w:after="160" w:line="360" w:lineRule="exact"/>
        <w:ind w:firstLine="432"/>
        <w:jc w:val="both"/>
      </w:pPr>
      <w:r>
        <w:rPr>
          <w:rFonts w:ascii="Times New Roman" w:hAnsi="Times New Roman"/>
          <w:sz w:val="24"/>
        </w:rPr>
        <w:t>One of the key data quality issues encountered was the high proportion of missing geo-coordinates: approximately 38% of entries lacked valid latitude/longitude data. This limits the system's ability to provide proximity-based hospital recommendations and is acknowledged as a limitation in Chapter 12. For the current implementation, the system recommends hospitals by state and district rather than by computed geographic proximity.</w:t>
      </w:r>
    </w:p>
    <w:p w14:paraId="49137BBA" w14:textId="77777777" w:rsidR="003B729E" w:rsidRDefault="00000000">
      <w:pPr>
        <w:spacing w:after="160" w:line="360" w:lineRule="exact"/>
        <w:ind w:firstLine="432"/>
        <w:jc w:val="both"/>
      </w:pPr>
      <w:r>
        <w:rPr>
          <w:rFonts w:ascii="Times New Roman" w:hAnsi="Times New Roman"/>
          <w:sz w:val="24"/>
        </w:rPr>
        <w:t>The Rural Health Facilities dataset contains 55 entries for primary health centres and sub-centres in select rural regions. While small, this dataset is specifically included to support the project's stated goal of improving healthcare accessibility in low-resource settings.</w:t>
      </w:r>
    </w:p>
    <w:p w14:paraId="0B7E6B7C" w14:textId="77777777" w:rsidR="003B729E" w:rsidRDefault="00000000">
      <w:pPr>
        <w:spacing w:before="280" w:after="80" w:line="360" w:lineRule="exact"/>
      </w:pPr>
      <w:r>
        <w:rPr>
          <w:rFonts w:ascii="Times New Roman" w:hAnsi="Times New Roman"/>
          <w:b/>
          <w:sz w:val="26"/>
        </w:rPr>
        <w:lastRenderedPageBreak/>
        <w:t>5.5  Preprocessing Pipeline</w:t>
      </w:r>
    </w:p>
    <w:p w14:paraId="0BEE3084" w14:textId="77777777" w:rsidR="003B729E" w:rsidRDefault="00000000">
      <w:pPr>
        <w:spacing w:after="120" w:line="360" w:lineRule="exact"/>
        <w:jc w:val="both"/>
      </w:pPr>
      <w:r>
        <w:rPr>
          <w:rFonts w:ascii="Times New Roman" w:hAnsi="Times New Roman"/>
          <w:sz w:val="24"/>
        </w:rPr>
        <w:t>A modular preprocessing pipeline was implemented to clean and standardise all datasets before use. Table 5.3 summarises the preprocessing steps applied to each dataset.</w:t>
      </w:r>
    </w:p>
    <w:tbl>
      <w:tblPr>
        <w:tblStyle w:val="TableGrid"/>
        <w:tblW w:w="0" w:type="auto"/>
        <w:tblLook w:val="04A0" w:firstRow="1" w:lastRow="0" w:firstColumn="1" w:lastColumn="0" w:noHBand="0" w:noVBand="1"/>
      </w:tblPr>
      <w:tblGrid>
        <w:gridCol w:w="2890"/>
        <w:gridCol w:w="2890"/>
        <w:gridCol w:w="2890"/>
      </w:tblGrid>
      <w:tr w:rsidR="003B729E" w14:paraId="0ECE7161" w14:textId="77777777">
        <w:tc>
          <w:tcPr>
            <w:tcW w:w="2890" w:type="dxa"/>
          </w:tcPr>
          <w:p w14:paraId="4BC801D5" w14:textId="77777777" w:rsidR="003B729E" w:rsidRDefault="00000000">
            <w:pPr>
              <w:jc w:val="center"/>
            </w:pPr>
            <w:r>
              <w:rPr>
                <w:rFonts w:ascii="Times New Roman" w:hAnsi="Times New Roman"/>
                <w:b/>
              </w:rPr>
              <w:t>Step</w:t>
            </w:r>
          </w:p>
        </w:tc>
        <w:tc>
          <w:tcPr>
            <w:tcW w:w="2890" w:type="dxa"/>
          </w:tcPr>
          <w:p w14:paraId="52FB25F7" w14:textId="77777777" w:rsidR="003B729E" w:rsidRDefault="00000000">
            <w:pPr>
              <w:jc w:val="center"/>
            </w:pPr>
            <w:r>
              <w:rPr>
                <w:rFonts w:ascii="Times New Roman" w:hAnsi="Times New Roman"/>
                <w:b/>
              </w:rPr>
              <w:t>Applied To</w:t>
            </w:r>
          </w:p>
        </w:tc>
        <w:tc>
          <w:tcPr>
            <w:tcW w:w="2890" w:type="dxa"/>
          </w:tcPr>
          <w:p w14:paraId="07EC498E" w14:textId="77777777" w:rsidR="003B729E" w:rsidRDefault="00000000">
            <w:pPr>
              <w:jc w:val="center"/>
            </w:pPr>
            <w:r>
              <w:rPr>
                <w:rFonts w:ascii="Times New Roman" w:hAnsi="Times New Roman"/>
                <w:b/>
              </w:rPr>
              <w:t>Description</w:t>
            </w:r>
          </w:p>
        </w:tc>
      </w:tr>
      <w:tr w:rsidR="003B729E" w14:paraId="434C6770" w14:textId="77777777">
        <w:tc>
          <w:tcPr>
            <w:tcW w:w="2890" w:type="dxa"/>
          </w:tcPr>
          <w:p w14:paraId="20E050D6" w14:textId="77777777" w:rsidR="003B729E" w:rsidRDefault="00000000">
            <w:pPr>
              <w:jc w:val="center"/>
            </w:pPr>
            <w:r>
              <w:rPr>
                <w:rFonts w:ascii="Times New Roman" w:hAnsi="Times New Roman"/>
              </w:rPr>
              <w:t>Lowercasing</w:t>
            </w:r>
          </w:p>
        </w:tc>
        <w:tc>
          <w:tcPr>
            <w:tcW w:w="2890" w:type="dxa"/>
          </w:tcPr>
          <w:p w14:paraId="5889D6DD" w14:textId="77777777" w:rsidR="003B729E" w:rsidRDefault="00000000">
            <w:pPr>
              <w:jc w:val="center"/>
            </w:pPr>
            <w:r>
              <w:rPr>
                <w:rFonts w:ascii="Times New Roman" w:hAnsi="Times New Roman"/>
              </w:rPr>
              <w:t>All text fields</w:t>
            </w:r>
          </w:p>
        </w:tc>
        <w:tc>
          <w:tcPr>
            <w:tcW w:w="2890" w:type="dxa"/>
          </w:tcPr>
          <w:p w14:paraId="3B04D42C" w14:textId="77777777" w:rsidR="003B729E" w:rsidRDefault="00000000">
            <w:pPr>
              <w:jc w:val="center"/>
            </w:pPr>
            <w:r>
              <w:rPr>
                <w:rFonts w:ascii="Times New Roman" w:hAnsi="Times New Roman"/>
              </w:rPr>
              <w:t>All symptom and query text normalised to lowercase.</w:t>
            </w:r>
          </w:p>
        </w:tc>
      </w:tr>
      <w:tr w:rsidR="003B729E" w14:paraId="4866DE1D" w14:textId="77777777">
        <w:tc>
          <w:tcPr>
            <w:tcW w:w="2890" w:type="dxa"/>
          </w:tcPr>
          <w:p w14:paraId="65290A27" w14:textId="77777777" w:rsidR="003B729E" w:rsidRDefault="00000000">
            <w:pPr>
              <w:jc w:val="center"/>
            </w:pPr>
            <w:r>
              <w:rPr>
                <w:rFonts w:ascii="Times New Roman" w:hAnsi="Times New Roman"/>
              </w:rPr>
              <w:t>Punctuation Removal</w:t>
            </w:r>
          </w:p>
        </w:tc>
        <w:tc>
          <w:tcPr>
            <w:tcW w:w="2890" w:type="dxa"/>
          </w:tcPr>
          <w:p w14:paraId="72776B88" w14:textId="77777777" w:rsidR="003B729E" w:rsidRDefault="00000000">
            <w:pPr>
              <w:jc w:val="center"/>
            </w:pPr>
            <w:r>
              <w:rPr>
                <w:rFonts w:ascii="Times New Roman" w:hAnsi="Times New Roman"/>
              </w:rPr>
              <w:t>Symptom text</w:t>
            </w:r>
          </w:p>
        </w:tc>
        <w:tc>
          <w:tcPr>
            <w:tcW w:w="2890" w:type="dxa"/>
          </w:tcPr>
          <w:p w14:paraId="6A6539CA" w14:textId="77777777" w:rsidR="003B729E" w:rsidRDefault="00000000">
            <w:pPr>
              <w:jc w:val="center"/>
            </w:pPr>
            <w:r>
              <w:rPr>
                <w:rFonts w:ascii="Times New Roman" w:hAnsi="Times New Roman"/>
              </w:rPr>
              <w:t>Non-alphanumeric characters removed; hyphenated medical terms preserved.</w:t>
            </w:r>
          </w:p>
        </w:tc>
      </w:tr>
      <w:tr w:rsidR="003B729E" w14:paraId="02398CF2" w14:textId="77777777">
        <w:tc>
          <w:tcPr>
            <w:tcW w:w="2890" w:type="dxa"/>
          </w:tcPr>
          <w:p w14:paraId="2D63CF4F" w14:textId="77777777" w:rsidR="003B729E" w:rsidRDefault="00000000">
            <w:pPr>
              <w:jc w:val="center"/>
            </w:pPr>
            <w:r>
              <w:rPr>
                <w:rFonts w:ascii="Times New Roman" w:hAnsi="Times New Roman"/>
              </w:rPr>
              <w:t>Duplicate Removal</w:t>
            </w:r>
          </w:p>
        </w:tc>
        <w:tc>
          <w:tcPr>
            <w:tcW w:w="2890" w:type="dxa"/>
          </w:tcPr>
          <w:p w14:paraId="6914DC31" w14:textId="77777777" w:rsidR="003B729E" w:rsidRDefault="00000000">
            <w:pPr>
              <w:jc w:val="center"/>
            </w:pPr>
            <w:r>
              <w:rPr>
                <w:rFonts w:ascii="Times New Roman" w:hAnsi="Times New Roman"/>
              </w:rPr>
              <w:t>All datasets</w:t>
            </w:r>
          </w:p>
        </w:tc>
        <w:tc>
          <w:tcPr>
            <w:tcW w:w="2890" w:type="dxa"/>
          </w:tcPr>
          <w:p w14:paraId="6050437A" w14:textId="77777777" w:rsidR="003B729E" w:rsidRDefault="00000000">
            <w:pPr>
              <w:jc w:val="center"/>
            </w:pPr>
            <w:r>
              <w:rPr>
                <w:rFonts w:ascii="Times New Roman" w:hAnsi="Times New Roman"/>
              </w:rPr>
              <w:t>Exact and near-duplicate rows identified and removed.</w:t>
            </w:r>
          </w:p>
        </w:tc>
      </w:tr>
      <w:tr w:rsidR="003B729E" w14:paraId="7BF049F4" w14:textId="77777777">
        <w:tc>
          <w:tcPr>
            <w:tcW w:w="2890" w:type="dxa"/>
          </w:tcPr>
          <w:p w14:paraId="74E0C96C" w14:textId="77777777" w:rsidR="003B729E" w:rsidRDefault="00000000">
            <w:pPr>
              <w:jc w:val="center"/>
            </w:pPr>
            <w:r>
              <w:rPr>
                <w:rFonts w:ascii="Times New Roman" w:hAnsi="Times New Roman"/>
              </w:rPr>
              <w:t>Label Standardisation</w:t>
            </w:r>
          </w:p>
        </w:tc>
        <w:tc>
          <w:tcPr>
            <w:tcW w:w="2890" w:type="dxa"/>
          </w:tcPr>
          <w:p w14:paraId="6E9C2633" w14:textId="77777777" w:rsidR="003B729E" w:rsidRDefault="00000000">
            <w:pPr>
              <w:jc w:val="center"/>
            </w:pPr>
            <w:r>
              <w:rPr>
                <w:rFonts w:ascii="Times New Roman" w:hAnsi="Times New Roman"/>
              </w:rPr>
              <w:t>Disease labels</w:t>
            </w:r>
          </w:p>
        </w:tc>
        <w:tc>
          <w:tcPr>
            <w:tcW w:w="2890" w:type="dxa"/>
          </w:tcPr>
          <w:p w14:paraId="77726DEE" w14:textId="77777777" w:rsidR="003B729E" w:rsidRDefault="00000000">
            <w:pPr>
              <w:jc w:val="center"/>
            </w:pPr>
            <w:r>
              <w:rPr>
                <w:rFonts w:ascii="Times New Roman" w:hAnsi="Times New Roman"/>
              </w:rPr>
              <w:t>Disease names converted to consistent Title Case formatting.</w:t>
            </w:r>
          </w:p>
        </w:tc>
      </w:tr>
      <w:tr w:rsidR="003B729E" w14:paraId="534E5793" w14:textId="77777777">
        <w:tc>
          <w:tcPr>
            <w:tcW w:w="2890" w:type="dxa"/>
          </w:tcPr>
          <w:p w14:paraId="4C5217A4" w14:textId="77777777" w:rsidR="003B729E" w:rsidRDefault="00000000">
            <w:pPr>
              <w:jc w:val="center"/>
            </w:pPr>
            <w:r>
              <w:rPr>
                <w:rFonts w:ascii="Times New Roman" w:hAnsi="Times New Roman"/>
              </w:rPr>
              <w:t>Column Standardisation</w:t>
            </w:r>
          </w:p>
        </w:tc>
        <w:tc>
          <w:tcPr>
            <w:tcW w:w="2890" w:type="dxa"/>
          </w:tcPr>
          <w:p w14:paraId="0461CE1E" w14:textId="77777777" w:rsidR="003B729E" w:rsidRDefault="00000000">
            <w:pPr>
              <w:jc w:val="center"/>
            </w:pPr>
            <w:r>
              <w:rPr>
                <w:rFonts w:ascii="Times New Roman" w:hAnsi="Times New Roman"/>
              </w:rPr>
              <w:t>Hospital data</w:t>
            </w:r>
          </w:p>
        </w:tc>
        <w:tc>
          <w:tcPr>
            <w:tcW w:w="2890" w:type="dxa"/>
          </w:tcPr>
          <w:p w14:paraId="372CF8B7" w14:textId="77777777" w:rsidR="003B729E" w:rsidRDefault="00000000">
            <w:pPr>
              <w:jc w:val="center"/>
            </w:pPr>
            <w:r>
              <w:rPr>
                <w:rFonts w:ascii="Times New Roman" w:hAnsi="Times New Roman"/>
              </w:rPr>
              <w:t>Column names normalised to snake_case for programmatic access.</w:t>
            </w:r>
          </w:p>
        </w:tc>
      </w:tr>
      <w:tr w:rsidR="003B729E" w14:paraId="79F9764D" w14:textId="77777777">
        <w:tc>
          <w:tcPr>
            <w:tcW w:w="2890" w:type="dxa"/>
          </w:tcPr>
          <w:p w14:paraId="7F828D19" w14:textId="77777777" w:rsidR="003B729E" w:rsidRDefault="00000000">
            <w:pPr>
              <w:jc w:val="center"/>
            </w:pPr>
            <w:r>
              <w:rPr>
                <w:rFonts w:ascii="Times New Roman" w:hAnsi="Times New Roman"/>
              </w:rPr>
              <w:t>Encoding Fix</w:t>
            </w:r>
          </w:p>
        </w:tc>
        <w:tc>
          <w:tcPr>
            <w:tcW w:w="2890" w:type="dxa"/>
          </w:tcPr>
          <w:p w14:paraId="4E6BEB19" w14:textId="77777777" w:rsidR="003B729E" w:rsidRDefault="00000000">
            <w:pPr>
              <w:jc w:val="center"/>
            </w:pPr>
            <w:r>
              <w:rPr>
                <w:rFonts w:ascii="Times New Roman" w:hAnsi="Times New Roman"/>
              </w:rPr>
              <w:t>All CSVs</w:t>
            </w:r>
          </w:p>
        </w:tc>
        <w:tc>
          <w:tcPr>
            <w:tcW w:w="2890" w:type="dxa"/>
          </w:tcPr>
          <w:p w14:paraId="1D26F108" w14:textId="77777777" w:rsidR="003B729E" w:rsidRDefault="00000000">
            <w:pPr>
              <w:jc w:val="center"/>
            </w:pPr>
            <w:r>
              <w:rPr>
                <w:rFonts w:ascii="Times New Roman" w:hAnsi="Times New Roman"/>
              </w:rPr>
              <w:t>Non-UTF-8 characters handled using charmap fallback decoding.</w:t>
            </w:r>
          </w:p>
        </w:tc>
      </w:tr>
      <w:tr w:rsidR="003B729E" w14:paraId="507208DB" w14:textId="77777777">
        <w:tc>
          <w:tcPr>
            <w:tcW w:w="2890" w:type="dxa"/>
          </w:tcPr>
          <w:p w14:paraId="723C633A" w14:textId="77777777" w:rsidR="003B729E" w:rsidRDefault="00000000">
            <w:pPr>
              <w:jc w:val="center"/>
            </w:pPr>
            <w:r>
              <w:rPr>
                <w:rFonts w:ascii="Times New Roman" w:hAnsi="Times New Roman"/>
              </w:rPr>
              <w:t>Stratified Split</w:t>
            </w:r>
          </w:p>
        </w:tc>
        <w:tc>
          <w:tcPr>
            <w:tcW w:w="2890" w:type="dxa"/>
          </w:tcPr>
          <w:p w14:paraId="11B7A0A2" w14:textId="77777777" w:rsidR="003B729E" w:rsidRDefault="00000000">
            <w:pPr>
              <w:jc w:val="center"/>
            </w:pPr>
            <w:r>
              <w:rPr>
                <w:rFonts w:ascii="Times New Roman" w:hAnsi="Times New Roman"/>
              </w:rPr>
              <w:t>Symptom–Disease</w:t>
            </w:r>
          </w:p>
        </w:tc>
        <w:tc>
          <w:tcPr>
            <w:tcW w:w="2890" w:type="dxa"/>
          </w:tcPr>
          <w:p w14:paraId="4C9A245E" w14:textId="77777777" w:rsidR="003B729E" w:rsidRDefault="00000000">
            <w:pPr>
              <w:jc w:val="center"/>
            </w:pPr>
            <w:r>
              <w:rPr>
                <w:rFonts w:ascii="Times New Roman" w:hAnsi="Times New Roman"/>
              </w:rPr>
              <w:t>80/10/10 train/val/test split with class stratification.</w:t>
            </w:r>
          </w:p>
        </w:tc>
      </w:tr>
      <w:tr w:rsidR="003B729E" w14:paraId="11FB0A3D" w14:textId="77777777">
        <w:tc>
          <w:tcPr>
            <w:tcW w:w="2890" w:type="dxa"/>
          </w:tcPr>
          <w:p w14:paraId="41CAAA2D" w14:textId="77777777" w:rsidR="003B729E" w:rsidRDefault="00000000">
            <w:pPr>
              <w:jc w:val="center"/>
            </w:pPr>
            <w:r>
              <w:rPr>
                <w:rFonts w:ascii="Times New Roman" w:hAnsi="Times New Roman"/>
              </w:rPr>
              <w:t>TF-IDF Fitting</w:t>
            </w:r>
          </w:p>
        </w:tc>
        <w:tc>
          <w:tcPr>
            <w:tcW w:w="2890" w:type="dxa"/>
          </w:tcPr>
          <w:p w14:paraId="16EF5A6A" w14:textId="77777777" w:rsidR="003B729E" w:rsidRDefault="00000000">
            <w:pPr>
              <w:jc w:val="center"/>
            </w:pPr>
            <w:r>
              <w:rPr>
                <w:rFonts w:ascii="Times New Roman" w:hAnsi="Times New Roman"/>
              </w:rPr>
              <w:t>Training set only</w:t>
            </w:r>
          </w:p>
        </w:tc>
        <w:tc>
          <w:tcPr>
            <w:tcW w:w="2890" w:type="dxa"/>
          </w:tcPr>
          <w:p w14:paraId="776C54B8" w14:textId="77777777" w:rsidR="003B729E" w:rsidRDefault="00000000">
            <w:pPr>
              <w:jc w:val="center"/>
            </w:pPr>
            <w:r>
              <w:rPr>
                <w:rFonts w:ascii="Times New Roman" w:hAnsi="Times New Roman"/>
              </w:rPr>
              <w:t>Vectoriser fit exclusively on training data to prevent data leakage.</w:t>
            </w:r>
          </w:p>
        </w:tc>
      </w:tr>
    </w:tbl>
    <w:p w14:paraId="66C46F25" w14:textId="77777777" w:rsidR="003B729E" w:rsidRDefault="003B729E">
      <w:pPr>
        <w:spacing w:after="40" w:line="360" w:lineRule="exact"/>
        <w:jc w:val="both"/>
      </w:pPr>
    </w:p>
    <w:p w14:paraId="18E8C5FF" w14:textId="77777777" w:rsidR="003B729E" w:rsidRDefault="00000000">
      <w:pPr>
        <w:spacing w:before="80" w:after="240"/>
        <w:jc w:val="center"/>
      </w:pPr>
      <w:r>
        <w:rPr>
          <w:rFonts w:ascii="Times New Roman" w:hAnsi="Times New Roman"/>
          <w:i/>
        </w:rPr>
        <w:t>Table 5.3 – Preprocessing Steps Applied to Each Dataset</w:t>
      </w:r>
    </w:p>
    <w:p w14:paraId="35007C2A" w14:textId="77777777" w:rsidR="003B729E" w:rsidRDefault="00000000">
      <w:pPr>
        <w:spacing w:after="160" w:line="360" w:lineRule="exact"/>
        <w:ind w:firstLine="432"/>
        <w:jc w:val="both"/>
      </w:pPr>
      <w:r>
        <w:rPr>
          <w:rFonts w:ascii="Times New Roman" w:hAnsi="Times New Roman"/>
          <w:sz w:val="24"/>
        </w:rPr>
        <w:t>One issue encountered during preprocessing was that the raw symptom dataset contained a small number of disease labels with inconsistent capitalisation and spelling variations (e.g. 'URTI' vs 'Upper Respiratory Tract Infection'). These were resolved using a manual label mapping dictionary, which is stored at data/processed/ml/label_mapping.json and contains the canonical form for each variant encountered.</w:t>
      </w:r>
    </w:p>
    <w:p w14:paraId="6EA81765" w14:textId="77777777" w:rsidR="003B729E" w:rsidRDefault="00000000">
      <w:pPr>
        <w:spacing w:after="160" w:line="360" w:lineRule="exact"/>
        <w:ind w:firstLine="432"/>
        <w:jc w:val="both"/>
      </w:pPr>
      <w:r>
        <w:rPr>
          <w:rFonts w:ascii="Times New Roman" w:hAnsi="Times New Roman"/>
          <w:sz w:val="24"/>
        </w:rPr>
        <w:t>The TF-IDF vectoriser was configured with ngram_range=(1, 2) to capture two-word medical phrases such as 'high fever', 'chest pain', and 'runny nose', which carry significantly more diagnostic specificity than their constituent unigrams alone. The minimum document frequency was set to 2 to exclude extremely rare terms that would only add noise to the feature space. The final fitted vocabulary contained approximately 47,000 unique tokens.</w:t>
      </w:r>
    </w:p>
    <w:p w14:paraId="41966A1D" w14:textId="77777777" w:rsidR="003B729E" w:rsidRDefault="00000000">
      <w:pPr>
        <w:spacing w:before="280" w:after="80" w:line="360" w:lineRule="exact"/>
      </w:pPr>
      <w:r>
        <w:rPr>
          <w:rFonts w:ascii="Times New Roman" w:hAnsi="Times New Roman"/>
          <w:b/>
          <w:sz w:val="26"/>
        </w:rPr>
        <w:t>5.6  Disease Category Knowledge Base</w:t>
      </w:r>
    </w:p>
    <w:p w14:paraId="4271AE15" w14:textId="77777777" w:rsidR="003B729E" w:rsidRDefault="00000000">
      <w:pPr>
        <w:spacing w:after="160" w:line="360" w:lineRule="exact"/>
        <w:ind w:firstLine="432"/>
        <w:jc w:val="both"/>
      </w:pPr>
      <w:r>
        <w:rPr>
          <w:rFonts w:ascii="Times New Roman" w:hAnsi="Times New Roman"/>
          <w:sz w:val="24"/>
        </w:rPr>
        <w:t xml:space="preserve">A custom knowledge base mapping each of the 260+ disease classes to their relevant clinical categories was generated specifically for the Medical Consistency Validator. This </w:t>
      </w:r>
      <w:r>
        <w:rPr>
          <w:rFonts w:ascii="Times New Roman" w:hAnsi="Times New Roman"/>
          <w:sz w:val="24"/>
        </w:rPr>
        <w:lastRenderedPageBreak/>
        <w:t>mapping—stored at data/disease_categories.json—was constructed semi-automatically using the generate_disease_categories.py script, which applies keyword heuristics to assign each disease to one or more of the eleven clinical domains defined in the validator's symptom_keywords dictionary.</w:t>
      </w:r>
    </w:p>
    <w:p w14:paraId="1E30236A" w14:textId="77777777" w:rsidR="003B729E" w:rsidRDefault="00000000">
      <w:pPr>
        <w:spacing w:after="160" w:line="360" w:lineRule="exact"/>
        <w:ind w:firstLine="432"/>
        <w:jc w:val="both"/>
      </w:pPr>
      <w:r>
        <w:rPr>
          <w:rFonts w:ascii="Times New Roman" w:hAnsi="Times New Roman"/>
          <w:sz w:val="24"/>
        </w:rPr>
        <w:t>The resulting knowledge base covers 247 disease classes with at least one category assignment. Thirteen disease classes returned no category match and are handled as UNKNOWN, receiving the 0.9x default penalty. This knowledge base is a core asset of the project and distinguishes MediAssist AI from systems that perform medical plausibility checking only through end-to-end learned representations.</w:t>
      </w:r>
    </w:p>
    <w:p w14:paraId="37CB4D6F" w14:textId="77777777" w:rsidR="003B729E" w:rsidRDefault="00000000">
      <w:pPr>
        <w:spacing w:after="120" w:line="400" w:lineRule="exact"/>
      </w:pPr>
      <w:r>
        <w:rPr>
          <w:rFonts w:ascii="Times New Roman" w:hAnsi="Times New Roman"/>
          <w:b/>
          <w:sz w:val="32"/>
          <w:u w:val="single"/>
        </w:rPr>
        <w:t>Chapter 6: Methodology</w:t>
      </w:r>
    </w:p>
    <w:p w14:paraId="0D667072" w14:textId="77777777" w:rsidR="003B729E" w:rsidRDefault="003B729E">
      <w:pPr>
        <w:pBdr>
          <w:bottom w:val="single" w:sz="6" w:space="1" w:color="4472C4"/>
        </w:pBdr>
      </w:pPr>
    </w:p>
    <w:p w14:paraId="2DF48614" w14:textId="77777777" w:rsidR="003B729E" w:rsidRDefault="00000000">
      <w:pPr>
        <w:spacing w:after="160" w:line="360" w:lineRule="exact"/>
        <w:jc w:val="both"/>
      </w:pPr>
      <w:r>
        <w:rPr>
          <w:rFonts w:ascii="Times New Roman" w:hAnsi="Times New Roman"/>
          <w:sz w:val="24"/>
        </w:rPr>
        <w:t>This chapter details every algorithmic and engineering decision made during the development of MediAssist AI, including the choice of feature representation, classifier selection, prediction strategy, and uncertainty quantification. Where relevant, formulas and pseudocode are provided to support reproducibility.</w:t>
      </w:r>
    </w:p>
    <w:p w14:paraId="18C87DBE" w14:textId="77777777" w:rsidR="003B729E" w:rsidRDefault="00000000">
      <w:pPr>
        <w:spacing w:before="280" w:after="80" w:line="360" w:lineRule="exact"/>
      </w:pPr>
      <w:r>
        <w:rPr>
          <w:rFonts w:ascii="Times New Roman" w:hAnsi="Times New Roman"/>
          <w:b/>
          <w:sz w:val="26"/>
        </w:rPr>
        <w:t>6.1  TF-IDF Feature Representation</w:t>
      </w:r>
    </w:p>
    <w:p w14:paraId="5E8C98A5" w14:textId="77777777" w:rsidR="003B729E" w:rsidRDefault="00000000">
      <w:pPr>
        <w:spacing w:after="160" w:line="360" w:lineRule="exact"/>
        <w:ind w:firstLine="432"/>
        <w:jc w:val="both"/>
      </w:pPr>
      <w:r>
        <w:rPr>
          <w:rFonts w:ascii="Times New Roman" w:hAnsi="Times New Roman"/>
          <w:sz w:val="24"/>
        </w:rPr>
        <w:t>Term Frequency–Inverse Document Frequency (TF-IDF) was selected as the primary feature representation for symptom text. Given a corpus of N documents, the TF-IDF weight for term t in document d is defined as:</w:t>
      </w:r>
    </w:p>
    <w:p w14:paraId="52C8DBBD" w14:textId="77777777" w:rsidR="003B729E" w:rsidRDefault="00000000">
      <w:pPr>
        <w:spacing w:before="80" w:after="80"/>
        <w:ind w:left="576"/>
      </w:pPr>
      <w:r>
        <w:rPr>
          <w:rFonts w:ascii="Courier New" w:hAnsi="Courier New"/>
          <w:sz w:val="19"/>
        </w:rPr>
        <w:t>TF-IDF(t, d) = TF(t, d) × log(N / (1 + df(t)))</w:t>
      </w:r>
    </w:p>
    <w:p w14:paraId="7EA2CDC7" w14:textId="77777777" w:rsidR="003B729E" w:rsidRDefault="00000000">
      <w:pPr>
        <w:spacing w:after="160" w:line="360" w:lineRule="exact"/>
        <w:ind w:firstLine="432"/>
        <w:jc w:val="both"/>
      </w:pPr>
      <w:r>
        <w:rPr>
          <w:rFonts w:ascii="Times New Roman" w:hAnsi="Times New Roman"/>
          <w:sz w:val="24"/>
        </w:rPr>
        <w:t>where TF(t, d) is the frequency of term t in document d, and df(t) is the number of documents containing term t. The log-damped IDF term penalises words that appear in many documents—in medical text, generic words like 'feel', 'pain', and 'have' receive low IDF weights, while specific clinical terms like 'hemoptysis', 'dyspnea', and 'paresthesia' receive high weights.</w:t>
      </w:r>
    </w:p>
    <w:p w14:paraId="46BD4F9E" w14:textId="77777777" w:rsidR="003B729E" w:rsidRDefault="00000000">
      <w:pPr>
        <w:spacing w:after="160" w:line="360" w:lineRule="exact"/>
        <w:ind w:firstLine="432"/>
        <w:jc w:val="both"/>
      </w:pPr>
      <w:r>
        <w:rPr>
          <w:rFonts w:ascii="Times New Roman" w:hAnsi="Times New Roman"/>
          <w:sz w:val="24"/>
        </w:rPr>
        <w:t>The vectoriser was configured with the following parameters after grid-search cross-validation:</w:t>
      </w:r>
    </w:p>
    <w:tbl>
      <w:tblPr>
        <w:tblStyle w:val="TableGrid"/>
        <w:tblW w:w="0" w:type="auto"/>
        <w:tblLook w:val="04A0" w:firstRow="1" w:lastRow="0" w:firstColumn="1" w:lastColumn="0" w:noHBand="0" w:noVBand="1"/>
      </w:tblPr>
      <w:tblGrid>
        <w:gridCol w:w="2890"/>
        <w:gridCol w:w="2890"/>
        <w:gridCol w:w="2890"/>
      </w:tblGrid>
      <w:tr w:rsidR="003B729E" w14:paraId="14C5F016" w14:textId="77777777">
        <w:tc>
          <w:tcPr>
            <w:tcW w:w="2890" w:type="dxa"/>
          </w:tcPr>
          <w:p w14:paraId="67A431D8" w14:textId="77777777" w:rsidR="003B729E" w:rsidRDefault="00000000">
            <w:pPr>
              <w:jc w:val="center"/>
            </w:pPr>
            <w:r>
              <w:rPr>
                <w:rFonts w:ascii="Times New Roman" w:hAnsi="Times New Roman"/>
                <w:b/>
              </w:rPr>
              <w:t>Parameter</w:t>
            </w:r>
          </w:p>
        </w:tc>
        <w:tc>
          <w:tcPr>
            <w:tcW w:w="2890" w:type="dxa"/>
          </w:tcPr>
          <w:p w14:paraId="21191652" w14:textId="77777777" w:rsidR="003B729E" w:rsidRDefault="00000000">
            <w:pPr>
              <w:jc w:val="center"/>
            </w:pPr>
            <w:r>
              <w:rPr>
                <w:rFonts w:ascii="Times New Roman" w:hAnsi="Times New Roman"/>
                <w:b/>
              </w:rPr>
              <w:t>Value</w:t>
            </w:r>
          </w:p>
        </w:tc>
        <w:tc>
          <w:tcPr>
            <w:tcW w:w="2890" w:type="dxa"/>
          </w:tcPr>
          <w:p w14:paraId="5A79FC03" w14:textId="77777777" w:rsidR="003B729E" w:rsidRDefault="00000000">
            <w:pPr>
              <w:jc w:val="center"/>
            </w:pPr>
            <w:r>
              <w:rPr>
                <w:rFonts w:ascii="Times New Roman" w:hAnsi="Times New Roman"/>
                <w:b/>
              </w:rPr>
              <w:t>Rationale</w:t>
            </w:r>
          </w:p>
        </w:tc>
      </w:tr>
      <w:tr w:rsidR="003B729E" w14:paraId="15062006" w14:textId="77777777">
        <w:tc>
          <w:tcPr>
            <w:tcW w:w="2890" w:type="dxa"/>
          </w:tcPr>
          <w:p w14:paraId="08982C2D" w14:textId="77777777" w:rsidR="003B729E" w:rsidRDefault="00000000">
            <w:pPr>
              <w:jc w:val="center"/>
            </w:pPr>
            <w:r>
              <w:rPr>
                <w:rFonts w:ascii="Times New Roman" w:hAnsi="Times New Roman"/>
              </w:rPr>
              <w:t>ngram_range</w:t>
            </w:r>
          </w:p>
        </w:tc>
        <w:tc>
          <w:tcPr>
            <w:tcW w:w="2890" w:type="dxa"/>
          </w:tcPr>
          <w:p w14:paraId="50E365F5" w14:textId="77777777" w:rsidR="003B729E" w:rsidRDefault="00000000">
            <w:pPr>
              <w:jc w:val="center"/>
            </w:pPr>
            <w:r>
              <w:rPr>
                <w:rFonts w:ascii="Times New Roman" w:hAnsi="Times New Roman"/>
              </w:rPr>
              <w:t>(1, 2)</w:t>
            </w:r>
          </w:p>
        </w:tc>
        <w:tc>
          <w:tcPr>
            <w:tcW w:w="2890" w:type="dxa"/>
          </w:tcPr>
          <w:p w14:paraId="3ECB36E7" w14:textId="77777777" w:rsidR="003B729E" w:rsidRDefault="00000000">
            <w:pPr>
              <w:jc w:val="center"/>
            </w:pPr>
            <w:r>
              <w:rPr>
                <w:rFonts w:ascii="Times New Roman" w:hAnsi="Times New Roman"/>
              </w:rPr>
              <w:t>Captures two-word clinical phrases (e.g. 'chest pain')</w:t>
            </w:r>
          </w:p>
        </w:tc>
      </w:tr>
      <w:tr w:rsidR="003B729E" w14:paraId="126061A3" w14:textId="77777777">
        <w:tc>
          <w:tcPr>
            <w:tcW w:w="2890" w:type="dxa"/>
          </w:tcPr>
          <w:p w14:paraId="2707536F" w14:textId="77777777" w:rsidR="003B729E" w:rsidRDefault="00000000">
            <w:pPr>
              <w:jc w:val="center"/>
            </w:pPr>
            <w:r>
              <w:rPr>
                <w:rFonts w:ascii="Times New Roman" w:hAnsi="Times New Roman"/>
              </w:rPr>
              <w:t>min_df</w:t>
            </w:r>
          </w:p>
        </w:tc>
        <w:tc>
          <w:tcPr>
            <w:tcW w:w="2890" w:type="dxa"/>
          </w:tcPr>
          <w:p w14:paraId="5F188737" w14:textId="77777777" w:rsidR="003B729E" w:rsidRDefault="00000000">
            <w:pPr>
              <w:jc w:val="center"/>
            </w:pPr>
            <w:r>
              <w:rPr>
                <w:rFonts w:ascii="Times New Roman" w:hAnsi="Times New Roman"/>
              </w:rPr>
              <w:t>2</w:t>
            </w:r>
          </w:p>
        </w:tc>
        <w:tc>
          <w:tcPr>
            <w:tcW w:w="2890" w:type="dxa"/>
          </w:tcPr>
          <w:p w14:paraId="4B08242B" w14:textId="77777777" w:rsidR="003B729E" w:rsidRDefault="00000000">
            <w:pPr>
              <w:jc w:val="center"/>
            </w:pPr>
            <w:r>
              <w:rPr>
                <w:rFonts w:ascii="Times New Roman" w:hAnsi="Times New Roman"/>
              </w:rPr>
              <w:t>Removes terms seen in fewer than 2 documents</w:t>
            </w:r>
          </w:p>
        </w:tc>
      </w:tr>
      <w:tr w:rsidR="003B729E" w14:paraId="61631DCF" w14:textId="77777777">
        <w:tc>
          <w:tcPr>
            <w:tcW w:w="2890" w:type="dxa"/>
          </w:tcPr>
          <w:p w14:paraId="168E5FCB" w14:textId="77777777" w:rsidR="003B729E" w:rsidRDefault="00000000">
            <w:pPr>
              <w:jc w:val="center"/>
            </w:pPr>
            <w:r>
              <w:rPr>
                <w:rFonts w:ascii="Times New Roman" w:hAnsi="Times New Roman"/>
              </w:rPr>
              <w:t>max_df</w:t>
            </w:r>
          </w:p>
        </w:tc>
        <w:tc>
          <w:tcPr>
            <w:tcW w:w="2890" w:type="dxa"/>
          </w:tcPr>
          <w:p w14:paraId="6EFD9D59" w14:textId="77777777" w:rsidR="003B729E" w:rsidRDefault="00000000">
            <w:pPr>
              <w:jc w:val="center"/>
            </w:pPr>
            <w:r>
              <w:rPr>
                <w:rFonts w:ascii="Times New Roman" w:hAnsi="Times New Roman"/>
              </w:rPr>
              <w:t>0.90</w:t>
            </w:r>
          </w:p>
        </w:tc>
        <w:tc>
          <w:tcPr>
            <w:tcW w:w="2890" w:type="dxa"/>
          </w:tcPr>
          <w:p w14:paraId="128A5ECA" w14:textId="77777777" w:rsidR="003B729E" w:rsidRDefault="00000000">
            <w:pPr>
              <w:jc w:val="center"/>
            </w:pPr>
            <w:r>
              <w:rPr>
                <w:rFonts w:ascii="Times New Roman" w:hAnsi="Times New Roman"/>
              </w:rPr>
              <w:t>Removes terms present in &gt;90% of documents</w:t>
            </w:r>
          </w:p>
        </w:tc>
      </w:tr>
      <w:tr w:rsidR="003B729E" w14:paraId="105F3D25" w14:textId="77777777">
        <w:tc>
          <w:tcPr>
            <w:tcW w:w="2890" w:type="dxa"/>
          </w:tcPr>
          <w:p w14:paraId="327B7168" w14:textId="77777777" w:rsidR="003B729E" w:rsidRDefault="00000000">
            <w:pPr>
              <w:jc w:val="center"/>
            </w:pPr>
            <w:r>
              <w:rPr>
                <w:rFonts w:ascii="Times New Roman" w:hAnsi="Times New Roman"/>
              </w:rPr>
              <w:t>sublinear_tf</w:t>
            </w:r>
          </w:p>
        </w:tc>
        <w:tc>
          <w:tcPr>
            <w:tcW w:w="2890" w:type="dxa"/>
          </w:tcPr>
          <w:p w14:paraId="44BA6924" w14:textId="77777777" w:rsidR="003B729E" w:rsidRDefault="00000000">
            <w:pPr>
              <w:jc w:val="center"/>
            </w:pPr>
            <w:r>
              <w:rPr>
                <w:rFonts w:ascii="Times New Roman" w:hAnsi="Times New Roman"/>
              </w:rPr>
              <w:t>True</w:t>
            </w:r>
          </w:p>
        </w:tc>
        <w:tc>
          <w:tcPr>
            <w:tcW w:w="2890" w:type="dxa"/>
          </w:tcPr>
          <w:p w14:paraId="3E60530F" w14:textId="77777777" w:rsidR="003B729E" w:rsidRDefault="00000000">
            <w:pPr>
              <w:jc w:val="center"/>
            </w:pPr>
            <w:r>
              <w:rPr>
                <w:rFonts w:ascii="Times New Roman" w:hAnsi="Times New Roman"/>
              </w:rPr>
              <w:t>Log-scale TF suppresses high-frequency term dominance</w:t>
            </w:r>
          </w:p>
        </w:tc>
      </w:tr>
      <w:tr w:rsidR="003B729E" w14:paraId="58D23B9D" w14:textId="77777777">
        <w:tc>
          <w:tcPr>
            <w:tcW w:w="2890" w:type="dxa"/>
          </w:tcPr>
          <w:p w14:paraId="30B96DFD" w14:textId="77777777" w:rsidR="003B729E" w:rsidRDefault="00000000">
            <w:pPr>
              <w:jc w:val="center"/>
            </w:pPr>
            <w:r>
              <w:rPr>
                <w:rFonts w:ascii="Times New Roman" w:hAnsi="Times New Roman"/>
              </w:rPr>
              <w:lastRenderedPageBreak/>
              <w:t>analyzer</w:t>
            </w:r>
          </w:p>
        </w:tc>
        <w:tc>
          <w:tcPr>
            <w:tcW w:w="2890" w:type="dxa"/>
          </w:tcPr>
          <w:p w14:paraId="54BD4991" w14:textId="77777777" w:rsidR="003B729E" w:rsidRDefault="00000000">
            <w:pPr>
              <w:jc w:val="center"/>
            </w:pPr>
            <w:r>
              <w:rPr>
                <w:rFonts w:ascii="Times New Roman" w:hAnsi="Times New Roman"/>
              </w:rPr>
              <w:t>'word'</w:t>
            </w:r>
          </w:p>
        </w:tc>
        <w:tc>
          <w:tcPr>
            <w:tcW w:w="2890" w:type="dxa"/>
          </w:tcPr>
          <w:p w14:paraId="7CBC2487" w14:textId="77777777" w:rsidR="003B729E" w:rsidRDefault="00000000">
            <w:pPr>
              <w:jc w:val="center"/>
            </w:pPr>
            <w:r>
              <w:rPr>
                <w:rFonts w:ascii="Times New Roman" w:hAnsi="Times New Roman"/>
              </w:rPr>
              <w:t>Word-level tokenisation appropriate for clinical text</w:t>
            </w:r>
          </w:p>
        </w:tc>
      </w:tr>
      <w:tr w:rsidR="003B729E" w14:paraId="6BF93FA8" w14:textId="77777777">
        <w:tc>
          <w:tcPr>
            <w:tcW w:w="2890" w:type="dxa"/>
          </w:tcPr>
          <w:p w14:paraId="1445D785" w14:textId="77777777" w:rsidR="003B729E" w:rsidRDefault="00000000">
            <w:pPr>
              <w:jc w:val="center"/>
            </w:pPr>
            <w:r>
              <w:rPr>
                <w:rFonts w:ascii="Times New Roman" w:hAnsi="Times New Roman"/>
              </w:rPr>
              <w:t>Vocabulary size</w:t>
            </w:r>
          </w:p>
        </w:tc>
        <w:tc>
          <w:tcPr>
            <w:tcW w:w="2890" w:type="dxa"/>
          </w:tcPr>
          <w:p w14:paraId="5669C8DB" w14:textId="77777777" w:rsidR="003B729E" w:rsidRDefault="00000000">
            <w:pPr>
              <w:jc w:val="center"/>
            </w:pPr>
            <w:r>
              <w:rPr>
                <w:rFonts w:ascii="Times New Roman" w:hAnsi="Times New Roman"/>
              </w:rPr>
              <w:t>~47,000</w:t>
            </w:r>
          </w:p>
        </w:tc>
        <w:tc>
          <w:tcPr>
            <w:tcW w:w="2890" w:type="dxa"/>
          </w:tcPr>
          <w:p w14:paraId="334B5499" w14:textId="77777777" w:rsidR="003B729E" w:rsidRDefault="00000000">
            <w:pPr>
              <w:jc w:val="center"/>
            </w:pPr>
            <w:r>
              <w:rPr>
                <w:rFonts w:ascii="Times New Roman" w:hAnsi="Times New Roman"/>
              </w:rPr>
              <w:t>Tokens retained after min/max df filtering</w:t>
            </w:r>
          </w:p>
        </w:tc>
      </w:tr>
    </w:tbl>
    <w:p w14:paraId="540BF436" w14:textId="77777777" w:rsidR="003B729E" w:rsidRDefault="003B729E">
      <w:pPr>
        <w:spacing w:after="40" w:line="360" w:lineRule="exact"/>
        <w:jc w:val="both"/>
      </w:pPr>
    </w:p>
    <w:p w14:paraId="69A48FE9" w14:textId="77777777" w:rsidR="003B729E" w:rsidRDefault="00000000">
      <w:pPr>
        <w:spacing w:before="80" w:after="240"/>
        <w:jc w:val="center"/>
      </w:pPr>
      <w:r>
        <w:rPr>
          <w:rFonts w:ascii="Times New Roman" w:hAnsi="Times New Roman"/>
          <w:i/>
        </w:rPr>
        <w:t>Table 6.1 – TF-IDF Vectoriser Configuration Parameters</w:t>
      </w:r>
    </w:p>
    <w:p w14:paraId="6931C4BE" w14:textId="77777777" w:rsidR="003B729E" w:rsidRDefault="00000000">
      <w:pPr>
        <w:spacing w:after="160" w:line="360" w:lineRule="exact"/>
        <w:ind w:firstLine="432"/>
        <w:jc w:val="both"/>
      </w:pPr>
      <w:r>
        <w:rPr>
          <w:rFonts w:ascii="Times New Roman" w:hAnsi="Times New Roman"/>
          <w:sz w:val="24"/>
        </w:rPr>
        <w:t>One design choice worth explaining is the use of bigrams (ngram_range=(1,2)). Initial experiments with unigrams only produced noticeably worse results for symptom combinations. The phrase 'high fever' is far more discriminative than the individual tokens 'high' and 'fever' appearing separately, because 'high' alone appears across hundreds of unrelated contexts. Adding bigrams increased Top-3 accuracy by approximately 2.1 percentage points on the validation set.</w:t>
      </w:r>
    </w:p>
    <w:p w14:paraId="3555AAD4" w14:textId="77777777" w:rsidR="003B729E" w:rsidRDefault="00000000">
      <w:pPr>
        <w:spacing w:before="280" w:after="80" w:line="360" w:lineRule="exact"/>
      </w:pPr>
      <w:r>
        <w:rPr>
          <w:rFonts w:ascii="Times New Roman" w:hAnsi="Times New Roman"/>
          <w:b/>
          <w:sz w:val="26"/>
        </w:rPr>
        <w:t>6.2  Classifier Selection and Training</w:t>
      </w:r>
    </w:p>
    <w:p w14:paraId="32875FE2" w14:textId="77777777" w:rsidR="003B729E" w:rsidRDefault="00000000">
      <w:pPr>
        <w:spacing w:before="200" w:after="60" w:line="360" w:lineRule="exact"/>
      </w:pPr>
      <w:r>
        <w:rPr>
          <w:rFonts w:ascii="Times New Roman" w:hAnsi="Times New Roman"/>
          <w:b/>
          <w:i/>
          <w:sz w:val="24"/>
        </w:rPr>
        <w:t>6.2.1  Logistic Regression</w:t>
      </w:r>
    </w:p>
    <w:p w14:paraId="0E7624EA" w14:textId="77777777" w:rsidR="003B729E" w:rsidRDefault="00000000">
      <w:pPr>
        <w:spacing w:after="160" w:line="360" w:lineRule="exact"/>
        <w:ind w:firstLine="432"/>
        <w:jc w:val="both"/>
      </w:pPr>
      <w:r>
        <w:rPr>
          <w:rFonts w:ascii="Times New Roman" w:hAnsi="Times New Roman"/>
          <w:sz w:val="24"/>
        </w:rPr>
        <w:t>Logistic Regression was selected as the primary classifier after comparative evaluation against four alternatives. For a K-class problem, the softmax extension of Logistic Regression models the posterior probability of class k given feature vector x as:</w:t>
      </w:r>
    </w:p>
    <w:p w14:paraId="6572E73E" w14:textId="77777777" w:rsidR="003B729E" w:rsidRDefault="00000000">
      <w:pPr>
        <w:spacing w:before="80" w:after="80"/>
        <w:ind w:left="576"/>
      </w:pPr>
      <w:r>
        <w:rPr>
          <w:rFonts w:ascii="Courier New" w:hAnsi="Courier New"/>
          <w:sz w:val="19"/>
        </w:rPr>
        <w:t>P(y=k | x) = exp(w_k · x + b_k) / Σ_j exp(w_j · x + b_j)</w:t>
      </w:r>
    </w:p>
    <w:p w14:paraId="041E253F" w14:textId="77777777" w:rsidR="003B729E" w:rsidRDefault="00000000">
      <w:pPr>
        <w:spacing w:after="160" w:line="360" w:lineRule="exact"/>
        <w:ind w:firstLine="432"/>
        <w:jc w:val="both"/>
      </w:pPr>
      <w:r>
        <w:rPr>
          <w:rFonts w:ascii="Times New Roman" w:hAnsi="Times New Roman"/>
          <w:sz w:val="24"/>
        </w:rPr>
        <w:t>Training minimises the cross-entropy loss with L2 regularisation (C=1.0, determined by cross-validation). The solver was set to 'lbfgs' with max_iter=1000. On sparse TF-IDF vectors, Logistic Regression has a well-known geometric advantage: the decision boundaries it learns are linear in the high-dimensional TF-IDF space, and because sparse features tend to be nearly orthogonal, linear separability is more readily achieved than in dense embedding spaces. This is consistent with findings by Wang and Manning (2012), and was confirmed empirically in our evaluation.</w:t>
      </w:r>
    </w:p>
    <w:p w14:paraId="13878EB2" w14:textId="77777777" w:rsidR="003B729E" w:rsidRDefault="00000000">
      <w:pPr>
        <w:spacing w:before="200" w:after="60" w:line="360" w:lineRule="exact"/>
      </w:pPr>
      <w:r>
        <w:rPr>
          <w:rFonts w:ascii="Times New Roman" w:hAnsi="Times New Roman"/>
          <w:b/>
          <w:i/>
          <w:sz w:val="24"/>
        </w:rPr>
        <w:t>6.2.2  Naive Bayes</w:t>
      </w:r>
    </w:p>
    <w:p w14:paraId="527A0DF7" w14:textId="77777777" w:rsidR="003B729E" w:rsidRDefault="00000000">
      <w:pPr>
        <w:spacing w:after="160" w:line="360" w:lineRule="exact"/>
        <w:ind w:firstLine="432"/>
        <w:jc w:val="both"/>
      </w:pPr>
      <w:r>
        <w:rPr>
          <w:rFonts w:ascii="Times New Roman" w:hAnsi="Times New Roman"/>
          <w:sz w:val="24"/>
        </w:rPr>
        <w:t>Multinomial Naive Bayes was trained as a secondary classifier for comparison. Despite its conditional independence assumption, which is clearly violated in clinical text where symptoms co-occur in structured patterns, Naive Bayes performed competitively at 80.51% Top-1 accuracy. Its primary advantage is inference speed—it is the fastest classifier evaluated, with a per-sample latency of approximately 4.7 microseconds.</w:t>
      </w:r>
    </w:p>
    <w:p w14:paraId="2F76ABA0" w14:textId="77777777" w:rsidR="003B729E" w:rsidRDefault="00000000">
      <w:pPr>
        <w:spacing w:before="200" w:after="60" w:line="360" w:lineRule="exact"/>
      </w:pPr>
      <w:r>
        <w:rPr>
          <w:rFonts w:ascii="Times New Roman" w:hAnsi="Times New Roman"/>
          <w:b/>
          <w:i/>
          <w:sz w:val="24"/>
        </w:rPr>
        <w:t>6.2.3  Why Decision Tree and XGBoost Underperformed</w:t>
      </w:r>
    </w:p>
    <w:p w14:paraId="76A2EC5E" w14:textId="77777777" w:rsidR="003B729E" w:rsidRDefault="00000000">
      <w:pPr>
        <w:spacing w:after="160" w:line="360" w:lineRule="exact"/>
        <w:ind w:firstLine="432"/>
        <w:jc w:val="both"/>
      </w:pPr>
      <w:r>
        <w:rPr>
          <w:rFonts w:ascii="Times New Roman" w:hAnsi="Times New Roman"/>
          <w:sz w:val="24"/>
        </w:rPr>
        <w:t xml:space="preserve">Decision Trees achieved only 15.27% Top-1 accuracy, and XGBoost fared even worse at 7.15%. This result initially seemed surprising given XGBoost's strong track </w:t>
      </w:r>
      <w:r>
        <w:rPr>
          <w:rFonts w:ascii="Times New Roman" w:hAnsi="Times New Roman"/>
          <w:sz w:val="24"/>
        </w:rPr>
        <w:lastRenderedPageBreak/>
        <w:t>record on tabular data. After analysis, the reason became clear: both tree-based models perform poorly on high-dimensional sparse feature spaces.</w:t>
      </w:r>
    </w:p>
    <w:p w14:paraId="6352CAC8" w14:textId="77777777" w:rsidR="003B729E" w:rsidRDefault="00000000">
      <w:pPr>
        <w:spacing w:after="160" w:line="360" w:lineRule="exact"/>
        <w:ind w:firstLine="432"/>
        <w:jc w:val="both"/>
      </w:pPr>
      <w:r>
        <w:rPr>
          <w:rFonts w:ascii="Times New Roman" w:hAnsi="Times New Roman"/>
          <w:sz w:val="24"/>
        </w:rPr>
        <w:t>At each tree node, a Decision Tree evaluates splits over a random subset of features. In a 47,000-dimensional TF-IDF space where the average document has non-zero values in only a few hundred dimensions, the probability that any given random feature subset contains discriminative terms for a specific disease is very low. The resulting trees are shallow and poorly calibrated. XGBoost compounds this problem through its gradient-boosting procedure, which iteratively fits residuals on already-poor trees—a case of boosting noise rather than signal. This failure is well-documented in the NLP literature and confirms that sparse text features require linear models or kernel methods, not tree ensembles.</w:t>
      </w:r>
    </w:p>
    <w:p w14:paraId="7A3A4593" w14:textId="77777777" w:rsidR="003B729E" w:rsidRDefault="00000000">
      <w:pPr>
        <w:spacing w:before="120" w:after="40"/>
        <w:jc w:val="center"/>
      </w:pPr>
      <w:r>
        <w:rPr>
          <w:noProof/>
        </w:rPr>
        <w:drawing>
          <wp:inline distT="0" distB="0" distL="0" distR="0" wp14:anchorId="3BD6A347" wp14:editId="3442B42F">
            <wp:extent cx="4754880" cy="2852928"/>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odel_f1_comparison.png"/>
                    <pic:cNvPicPr/>
                  </pic:nvPicPr>
                  <pic:blipFill>
                    <a:blip r:embed="rId14"/>
                    <a:stretch>
                      <a:fillRect/>
                    </a:stretch>
                  </pic:blipFill>
                  <pic:spPr>
                    <a:xfrm>
                      <a:off x="0" y="0"/>
                      <a:ext cx="4754880" cy="2852928"/>
                    </a:xfrm>
                    <a:prstGeom prst="rect">
                      <a:avLst/>
                    </a:prstGeom>
                  </pic:spPr>
                </pic:pic>
              </a:graphicData>
            </a:graphic>
          </wp:inline>
        </w:drawing>
      </w:r>
    </w:p>
    <w:p w14:paraId="288C2053" w14:textId="77777777" w:rsidR="003B729E" w:rsidRDefault="00000000">
      <w:pPr>
        <w:spacing w:before="80" w:after="240"/>
        <w:jc w:val="center"/>
      </w:pPr>
      <w:r>
        <w:rPr>
          <w:rFonts w:ascii="Times New Roman" w:hAnsi="Times New Roman"/>
          <w:i/>
        </w:rPr>
        <w:t>Figure 6.1 – F1-Score Comparison Across All Evaluated Classifiers</w:t>
      </w:r>
    </w:p>
    <w:p w14:paraId="22C0D6D0" w14:textId="77777777" w:rsidR="003B729E" w:rsidRDefault="00000000">
      <w:pPr>
        <w:spacing w:before="280" w:after="80" w:line="360" w:lineRule="exact"/>
      </w:pPr>
      <w:r>
        <w:rPr>
          <w:rFonts w:ascii="Times New Roman" w:hAnsi="Times New Roman"/>
          <w:b/>
          <w:sz w:val="26"/>
        </w:rPr>
        <w:t>6.3  Top-K Prediction Strategy</w:t>
      </w:r>
    </w:p>
    <w:p w14:paraId="5AFDA80D" w14:textId="77777777" w:rsidR="003B729E" w:rsidRDefault="00000000">
      <w:pPr>
        <w:spacing w:after="160" w:line="360" w:lineRule="exact"/>
        <w:ind w:firstLine="432"/>
        <w:jc w:val="both"/>
      </w:pPr>
      <w:r>
        <w:rPr>
          <w:rFonts w:ascii="Times New Roman" w:hAnsi="Times New Roman"/>
          <w:sz w:val="24"/>
        </w:rPr>
        <w:t>Rather than returning a single top-1 prediction, MediAssist AI extracts the top-K classes by posterior probability (default K=3). This addresses two clinical realities: first, many symptom descriptions are genuinely ambiguous and correspond plausibly to multiple conditions; second, the top-1 prediction for a model with 84% accuracy will be wrong approximately 1 in 6 times. Providing the top-3 predictions raises the probability that the correct condition appears in the displayed results from 84.36% to 95.78%—a clinically meaningful improvement.</w:t>
      </w:r>
    </w:p>
    <w:p w14:paraId="5024E74B" w14:textId="77777777" w:rsidR="003B729E" w:rsidRDefault="00000000">
      <w:pPr>
        <w:spacing w:after="160" w:line="360" w:lineRule="exact"/>
        <w:ind w:firstLine="432"/>
        <w:jc w:val="both"/>
      </w:pPr>
      <w:r>
        <w:rPr>
          <w:rFonts w:ascii="Times New Roman" w:hAnsi="Times New Roman"/>
          <w:sz w:val="24"/>
        </w:rPr>
        <w:t xml:space="preserve">The confidence scores displayed to the user are normalised so that the sum of the top-K displayed predictions equals 1.0. This prevents the misleading situation where a user sees three predictions each with a raw softmax score below 0.10, which could falsely </w:t>
      </w:r>
      <w:r>
        <w:rPr>
          <w:rFonts w:ascii="Times New Roman" w:hAnsi="Times New Roman"/>
          <w:sz w:val="24"/>
        </w:rPr>
        <w:lastRenderedPageBreak/>
        <w:t>suggest the model is highly uncertain overall when in fact it may simply be distributing probability across many plausible classes.</w:t>
      </w:r>
    </w:p>
    <w:p w14:paraId="32CA09A7" w14:textId="77777777" w:rsidR="003B729E" w:rsidRDefault="00000000">
      <w:pPr>
        <w:spacing w:before="280" w:after="80" w:line="360" w:lineRule="exact"/>
      </w:pPr>
      <w:r>
        <w:rPr>
          <w:rFonts w:ascii="Times New Roman" w:hAnsi="Times New Roman"/>
          <w:b/>
          <w:sz w:val="26"/>
        </w:rPr>
        <w:t>6.4  Uncertainty Estimation</w:t>
      </w:r>
    </w:p>
    <w:p w14:paraId="0BE12A9B" w14:textId="77777777" w:rsidR="003B729E" w:rsidRDefault="00000000">
      <w:pPr>
        <w:spacing w:after="160" w:line="360" w:lineRule="exact"/>
        <w:ind w:firstLine="432"/>
        <w:jc w:val="both"/>
      </w:pPr>
      <w:r>
        <w:rPr>
          <w:rFonts w:ascii="Times New Roman" w:hAnsi="Times New Roman"/>
          <w:sz w:val="24"/>
        </w:rPr>
        <w:t>Two uncertainty signals are computed and used to trigger the uncertainty warning display mode:</w:t>
      </w:r>
    </w:p>
    <w:p w14:paraId="582C351A" w14:textId="77777777" w:rsidR="003B729E" w:rsidRDefault="00000000">
      <w:pPr>
        <w:spacing w:after="160" w:line="360" w:lineRule="exact"/>
        <w:ind w:firstLine="432"/>
        <w:jc w:val="both"/>
      </w:pPr>
      <w:r>
        <w:rPr>
          <w:rFonts w:ascii="Times New Roman" w:hAnsi="Times New Roman"/>
          <w:sz w:val="24"/>
        </w:rPr>
        <w:t>Shannon Entropy of the softmax distribution quantifies the overall spread of probability mass across all classes:</w:t>
      </w:r>
    </w:p>
    <w:p w14:paraId="32FE1A83" w14:textId="77777777" w:rsidR="003B729E" w:rsidRDefault="00000000">
      <w:pPr>
        <w:spacing w:before="80" w:after="80"/>
        <w:ind w:left="576"/>
      </w:pPr>
      <w:r>
        <w:rPr>
          <w:rFonts w:ascii="Courier New" w:hAnsi="Courier New"/>
          <w:sz w:val="19"/>
        </w:rPr>
        <w:t>H = -Σ_k P(y=k|x) · log₂(P(y=k|x))</w:t>
      </w:r>
    </w:p>
    <w:p w14:paraId="594BD4ED" w14:textId="77777777" w:rsidR="003B729E" w:rsidRDefault="00000000">
      <w:pPr>
        <w:spacing w:after="160" w:line="360" w:lineRule="exact"/>
        <w:ind w:firstLine="432"/>
        <w:jc w:val="both"/>
      </w:pPr>
      <w:r>
        <w:rPr>
          <w:rFonts w:ascii="Times New Roman" w:hAnsi="Times New Roman"/>
          <w:sz w:val="24"/>
        </w:rPr>
        <w:t>A high entropy value indicates the model assigns non-negligible probability to many classes simultaneously—a signal of genuine ambiguity in the input. In practice, entropy values above 3.5 bits (on a ~260-class problem) reliably identify inputs where the top-1 prediction is likely unreliable.</w:t>
      </w:r>
    </w:p>
    <w:p w14:paraId="4D3470EC" w14:textId="77777777" w:rsidR="003B729E" w:rsidRDefault="00000000">
      <w:pPr>
        <w:spacing w:after="160" w:line="360" w:lineRule="exact"/>
        <w:ind w:firstLine="432"/>
        <w:jc w:val="both"/>
      </w:pPr>
      <w:r>
        <w:rPr>
          <w:rFonts w:ascii="Times New Roman" w:hAnsi="Times New Roman"/>
          <w:sz w:val="24"/>
        </w:rPr>
        <w:t>Confidence Gap between the top-1 and top-2 predictions provides a more localised uncertainty signal. A gap below 0.15 indicates that two diseases are nearly equally probable, meaning small perturbations in wording could reverse the ranking. This threshold was selected empirically by examining the validation set and identifying the gap value below which top-1 error rate exceeded 25%.</w:t>
      </w:r>
    </w:p>
    <w:p w14:paraId="6FDCEBFE" w14:textId="77777777" w:rsidR="003B729E" w:rsidRDefault="00000000">
      <w:pPr>
        <w:spacing w:after="160" w:line="360" w:lineRule="exact"/>
        <w:ind w:firstLine="432"/>
        <w:jc w:val="both"/>
      </w:pPr>
      <w:r>
        <w:rPr>
          <w:rFonts w:ascii="Times New Roman" w:hAnsi="Times New Roman"/>
          <w:sz w:val="24"/>
        </w:rPr>
        <w:t>When either uncertainty condition is triggered, the system appends a structured warning to the UI response and logs the uncertainty metrics alongside the prediction in the session state. This gives the user clear contextual information without suppressing the prediction output.</w:t>
      </w:r>
    </w:p>
    <w:p w14:paraId="09565C73" w14:textId="77777777" w:rsidR="003B729E" w:rsidRDefault="00000000">
      <w:r>
        <w:br w:type="page"/>
      </w:r>
    </w:p>
    <w:p w14:paraId="51254DEA" w14:textId="77777777" w:rsidR="003B729E" w:rsidRDefault="00000000">
      <w:pPr>
        <w:spacing w:after="120" w:line="400" w:lineRule="exact"/>
      </w:pPr>
      <w:r>
        <w:rPr>
          <w:rFonts w:ascii="Times New Roman" w:hAnsi="Times New Roman"/>
          <w:b/>
          <w:sz w:val="32"/>
          <w:u w:val="single"/>
        </w:rPr>
        <w:lastRenderedPageBreak/>
        <w:t>Chapter 7: Safety Architecture</w:t>
      </w:r>
    </w:p>
    <w:p w14:paraId="1F2AF54F" w14:textId="77777777" w:rsidR="003B729E" w:rsidRDefault="003B729E">
      <w:pPr>
        <w:pBdr>
          <w:bottom w:val="single" w:sz="6" w:space="1" w:color="4472C4"/>
        </w:pBdr>
      </w:pPr>
    </w:p>
    <w:p w14:paraId="4E118F5F" w14:textId="77777777" w:rsidR="003B729E" w:rsidRDefault="00000000">
      <w:pPr>
        <w:spacing w:after="160" w:line="360" w:lineRule="exact"/>
        <w:jc w:val="both"/>
      </w:pPr>
      <w:r>
        <w:rPr>
          <w:rFonts w:ascii="Times New Roman" w:hAnsi="Times New Roman"/>
          <w:sz w:val="24"/>
        </w:rPr>
        <w:t>This chapter provides a detailed technical account of the safety mechanisms implemented in MediAssist AI. It describes the Emergency Safety Override Layer, the Medical Consistency Validator's penalty scheme, the healthcare-specific evaluation metrics used to quantify safety performance, and a before-vs-after comparison demonstrating the impact of the safety architecture.</w:t>
      </w:r>
    </w:p>
    <w:p w14:paraId="12B607C8" w14:textId="77777777" w:rsidR="003B729E" w:rsidRDefault="00000000">
      <w:pPr>
        <w:spacing w:before="280" w:after="80" w:line="360" w:lineRule="exact"/>
      </w:pPr>
      <w:r>
        <w:rPr>
          <w:rFonts w:ascii="Times New Roman" w:hAnsi="Times New Roman"/>
          <w:b/>
          <w:sz w:val="26"/>
        </w:rPr>
        <w:t>7.1  Emergency Safety Override Layer – Technical Design</w:t>
      </w:r>
    </w:p>
    <w:p w14:paraId="6C553615" w14:textId="77777777" w:rsidR="003B729E" w:rsidRDefault="00000000">
      <w:pPr>
        <w:spacing w:after="160" w:line="360" w:lineRule="exact"/>
        <w:ind w:firstLine="432"/>
        <w:jc w:val="both"/>
      </w:pPr>
      <w:r>
        <w:rPr>
          <w:rFonts w:ascii="Times New Roman" w:hAnsi="Times New Roman"/>
          <w:sz w:val="24"/>
        </w:rPr>
        <w:t>The EmergencyRuleEngine (src/safety/emergency_rules.py) is instantiated once at application startup and remains stateless across requests. Its check_for_emergency(text) method is the first function called on every user input. The implementation is deliberately simple by design—complexity in a safety-critical component introduces risk. The core logic is:</w:t>
      </w:r>
    </w:p>
    <w:p w14:paraId="1C08A6D6" w14:textId="77777777" w:rsidR="003B729E" w:rsidRDefault="00000000">
      <w:pPr>
        <w:spacing w:before="80" w:after="80"/>
        <w:ind w:left="576"/>
      </w:pPr>
      <w:r>
        <w:rPr>
          <w:rFonts w:ascii="Courier New" w:hAnsi="Courier New"/>
          <w:sz w:val="19"/>
        </w:rPr>
        <w:t>def check_for_emergency(self, text: str) -&gt; dict:</w:t>
      </w:r>
      <w:r>
        <w:rPr>
          <w:rFonts w:ascii="Courier New" w:hAnsi="Courier New"/>
          <w:sz w:val="19"/>
        </w:rPr>
        <w:br/>
        <w:t xml:space="preserve">    text_lower = text.lower()</w:t>
      </w:r>
      <w:r>
        <w:rPr>
          <w:rFonts w:ascii="Courier New" w:hAnsi="Courier New"/>
          <w:sz w:val="19"/>
        </w:rPr>
        <w:br/>
        <w:t xml:space="preserve">    for category, phrases in self.EMERGENCY_KEYWORDS.items():</w:t>
      </w:r>
      <w:r>
        <w:rPr>
          <w:rFonts w:ascii="Courier New" w:hAnsi="Courier New"/>
          <w:sz w:val="19"/>
        </w:rPr>
        <w:br/>
        <w:t xml:space="preserve">        for phrase in phrases:</w:t>
      </w:r>
      <w:r>
        <w:rPr>
          <w:rFonts w:ascii="Courier New" w:hAnsi="Courier New"/>
          <w:sz w:val="19"/>
        </w:rPr>
        <w:br/>
        <w:t xml:space="preserve">            if phrase in text_lower:</w:t>
      </w:r>
      <w:r>
        <w:rPr>
          <w:rFonts w:ascii="Courier New" w:hAnsi="Courier New"/>
          <w:sz w:val="19"/>
        </w:rPr>
        <w:br/>
        <w:t xml:space="preserve">                self._log_override(text, category, phrase)</w:t>
      </w:r>
      <w:r>
        <w:rPr>
          <w:rFonts w:ascii="Courier New" w:hAnsi="Courier New"/>
          <w:sz w:val="19"/>
        </w:rPr>
        <w:br/>
        <w:t xml:space="preserve">                return {</w:t>
      </w:r>
      <w:r>
        <w:rPr>
          <w:rFonts w:ascii="Courier New" w:hAnsi="Courier New"/>
          <w:sz w:val="19"/>
        </w:rPr>
        <w:br/>
        <w:t xml:space="preserve">                    "is_emergency": True,</w:t>
      </w:r>
      <w:r>
        <w:rPr>
          <w:rFonts w:ascii="Courier New" w:hAnsi="Courier New"/>
          <w:sz w:val="19"/>
        </w:rPr>
        <w:br/>
        <w:t xml:space="preserve">                    "category": category,</w:t>
      </w:r>
      <w:r>
        <w:rPr>
          <w:rFonts w:ascii="Courier New" w:hAnsi="Courier New"/>
          <w:sz w:val="19"/>
        </w:rPr>
        <w:br/>
        <w:t xml:space="preserve">                    "triggered_by": phrase,</w:t>
      </w:r>
      <w:r>
        <w:rPr>
          <w:rFonts w:ascii="Courier New" w:hAnsi="Courier New"/>
          <w:sz w:val="19"/>
        </w:rPr>
        <w:br/>
        <w:t xml:space="preserve">                    "escalation_message": ESCALATION_TEXT</w:t>
      </w:r>
      <w:r>
        <w:rPr>
          <w:rFonts w:ascii="Courier New" w:hAnsi="Courier New"/>
          <w:sz w:val="19"/>
        </w:rPr>
        <w:br/>
        <w:t xml:space="preserve">                }</w:t>
      </w:r>
      <w:r>
        <w:rPr>
          <w:rFonts w:ascii="Courier New" w:hAnsi="Courier New"/>
          <w:sz w:val="19"/>
        </w:rPr>
        <w:br/>
        <w:t xml:space="preserve">    return {"is_emergency": False}</w:t>
      </w:r>
    </w:p>
    <w:p w14:paraId="12F5261A" w14:textId="77777777" w:rsidR="003B729E" w:rsidRDefault="00000000">
      <w:pPr>
        <w:spacing w:after="160" w:line="360" w:lineRule="exact"/>
        <w:ind w:firstLine="432"/>
        <w:jc w:val="both"/>
      </w:pPr>
      <w:r>
        <w:rPr>
          <w:rFonts w:ascii="Times New Roman" w:hAnsi="Times New Roman"/>
          <w:sz w:val="24"/>
        </w:rPr>
        <w:t>The choice of substring matching over regex or ML-based detection is intentional. Regex patterns introduce maintenance complexity and can fail silently on edge cases. ML-based emergency detection would reintroduce the exact vulnerability the layer is designed to guard against—if a model is used for emergency detection, it can be wrong. Substring matching on a carefully curated phrase list provides deterministic, auditable, testable behaviour. The trade-off is that phrases must be explicitly enumerated, but in the domain of emergency medical symptoms, the critical presentations are well-defined and finite.</w:t>
      </w:r>
    </w:p>
    <w:p w14:paraId="61C37C6C" w14:textId="77777777" w:rsidR="003B729E" w:rsidRDefault="00000000">
      <w:pPr>
        <w:spacing w:after="160" w:line="360" w:lineRule="exact"/>
        <w:ind w:firstLine="432"/>
        <w:jc w:val="both"/>
      </w:pPr>
      <w:r>
        <w:rPr>
          <w:rFonts w:ascii="Times New Roman" w:hAnsi="Times New Roman"/>
          <w:sz w:val="24"/>
        </w:rPr>
        <w:t>Every emergency override is recorded as a structured JSON log entry written to logs/safety/emergency_overrides.log. Each entry captures the timestamp, input text, detected category, triggering phrase, and escalation message. This log enables post-hoc audit of all escalation decisions and supports the explainability requirements of responsible healthcare AI deployment.</w:t>
      </w:r>
    </w:p>
    <w:p w14:paraId="2389384B" w14:textId="77777777" w:rsidR="003B729E" w:rsidRDefault="00000000">
      <w:pPr>
        <w:spacing w:before="280" w:after="80" w:line="360" w:lineRule="exact"/>
      </w:pPr>
      <w:r>
        <w:rPr>
          <w:rFonts w:ascii="Times New Roman" w:hAnsi="Times New Roman"/>
          <w:b/>
          <w:sz w:val="26"/>
        </w:rPr>
        <w:lastRenderedPageBreak/>
        <w:t>7.2  Medical Consistency Validation – Penalty Scheme</w:t>
      </w:r>
    </w:p>
    <w:p w14:paraId="62414ECA" w14:textId="77777777" w:rsidR="003B729E" w:rsidRDefault="00000000">
      <w:pPr>
        <w:spacing w:after="160" w:line="360" w:lineRule="exact"/>
        <w:ind w:firstLine="432"/>
        <w:jc w:val="both"/>
      </w:pPr>
      <w:r>
        <w:rPr>
          <w:rFonts w:ascii="Times New Roman" w:hAnsi="Times New Roman"/>
          <w:sz w:val="24"/>
        </w:rPr>
        <w:t>After ML inference, the MedicalConsistencyValidator applies the following three-tier penalty scheme based on the overlap between the user's input symptom categories and the predicted disease's clinical categories:</w:t>
      </w:r>
    </w:p>
    <w:tbl>
      <w:tblPr>
        <w:tblStyle w:val="TableGrid"/>
        <w:tblW w:w="0" w:type="auto"/>
        <w:tblLook w:val="04A0" w:firstRow="1" w:lastRow="0" w:firstColumn="1" w:lastColumn="0" w:noHBand="0" w:noVBand="1"/>
      </w:tblPr>
      <w:tblGrid>
        <w:gridCol w:w="2167"/>
        <w:gridCol w:w="2167"/>
        <w:gridCol w:w="2167"/>
        <w:gridCol w:w="2167"/>
      </w:tblGrid>
      <w:tr w:rsidR="003B729E" w14:paraId="70DD0358" w14:textId="77777777">
        <w:tc>
          <w:tcPr>
            <w:tcW w:w="2167" w:type="dxa"/>
          </w:tcPr>
          <w:p w14:paraId="7E788866" w14:textId="77777777" w:rsidR="003B729E" w:rsidRDefault="00000000">
            <w:pPr>
              <w:jc w:val="center"/>
            </w:pPr>
            <w:r>
              <w:rPr>
                <w:rFonts w:ascii="Times New Roman" w:hAnsi="Times New Roman"/>
                <w:b/>
              </w:rPr>
              <w:t>Consistency Level</w:t>
            </w:r>
          </w:p>
        </w:tc>
        <w:tc>
          <w:tcPr>
            <w:tcW w:w="2167" w:type="dxa"/>
          </w:tcPr>
          <w:p w14:paraId="7115BC45" w14:textId="77777777" w:rsidR="003B729E" w:rsidRDefault="00000000">
            <w:pPr>
              <w:jc w:val="center"/>
            </w:pPr>
            <w:r>
              <w:rPr>
                <w:rFonts w:ascii="Times New Roman" w:hAnsi="Times New Roman"/>
                <w:b/>
              </w:rPr>
              <w:t>Condition</w:t>
            </w:r>
          </w:p>
        </w:tc>
        <w:tc>
          <w:tcPr>
            <w:tcW w:w="2167" w:type="dxa"/>
          </w:tcPr>
          <w:p w14:paraId="69E48FC9" w14:textId="77777777" w:rsidR="003B729E" w:rsidRDefault="00000000">
            <w:pPr>
              <w:jc w:val="center"/>
            </w:pPr>
            <w:r>
              <w:rPr>
                <w:rFonts w:ascii="Times New Roman" w:hAnsi="Times New Roman"/>
                <w:b/>
              </w:rPr>
              <w:t>Penalty Multiplier</w:t>
            </w:r>
          </w:p>
        </w:tc>
        <w:tc>
          <w:tcPr>
            <w:tcW w:w="2167" w:type="dxa"/>
          </w:tcPr>
          <w:p w14:paraId="006D0171" w14:textId="77777777" w:rsidR="003B729E" w:rsidRDefault="00000000">
            <w:pPr>
              <w:jc w:val="center"/>
            </w:pPr>
            <w:r>
              <w:rPr>
                <w:rFonts w:ascii="Times New Roman" w:hAnsi="Times New Roman"/>
                <w:b/>
              </w:rPr>
              <w:t>Effect</w:t>
            </w:r>
          </w:p>
        </w:tc>
      </w:tr>
      <w:tr w:rsidR="003B729E" w14:paraId="05F18CA5" w14:textId="77777777">
        <w:tc>
          <w:tcPr>
            <w:tcW w:w="2167" w:type="dxa"/>
          </w:tcPr>
          <w:p w14:paraId="69D6491E" w14:textId="77777777" w:rsidR="003B729E" w:rsidRDefault="00000000">
            <w:pPr>
              <w:jc w:val="center"/>
            </w:pPr>
            <w:r>
              <w:rPr>
                <w:rFonts w:ascii="Times New Roman" w:hAnsi="Times New Roman"/>
              </w:rPr>
              <w:t>HIGH</w:t>
            </w:r>
          </w:p>
        </w:tc>
        <w:tc>
          <w:tcPr>
            <w:tcW w:w="2167" w:type="dxa"/>
          </w:tcPr>
          <w:p w14:paraId="5CBFFCE8" w14:textId="77777777" w:rsidR="003B729E" w:rsidRDefault="00000000">
            <w:pPr>
              <w:jc w:val="center"/>
            </w:pPr>
            <w:r>
              <w:rPr>
                <w:rFonts w:ascii="Times New Roman" w:hAnsi="Times New Roman"/>
              </w:rPr>
              <w:t>Input categories ∩ Disease categories ≠ ∅</w:t>
            </w:r>
          </w:p>
        </w:tc>
        <w:tc>
          <w:tcPr>
            <w:tcW w:w="2167" w:type="dxa"/>
          </w:tcPr>
          <w:p w14:paraId="4C563788" w14:textId="77777777" w:rsidR="003B729E" w:rsidRDefault="00000000">
            <w:pPr>
              <w:jc w:val="center"/>
            </w:pPr>
            <w:r>
              <w:rPr>
                <w:rFonts w:ascii="Times New Roman" w:hAnsi="Times New Roman"/>
              </w:rPr>
              <w:t>1.0x</w:t>
            </w:r>
          </w:p>
        </w:tc>
        <w:tc>
          <w:tcPr>
            <w:tcW w:w="2167" w:type="dxa"/>
          </w:tcPr>
          <w:p w14:paraId="229D41C9" w14:textId="77777777" w:rsidR="003B729E" w:rsidRDefault="00000000">
            <w:pPr>
              <w:jc w:val="center"/>
            </w:pPr>
            <w:r>
              <w:rPr>
                <w:rFonts w:ascii="Times New Roman" w:hAnsi="Times New Roman"/>
              </w:rPr>
              <w:t>Confidence unchanged</w:t>
            </w:r>
          </w:p>
        </w:tc>
      </w:tr>
      <w:tr w:rsidR="003B729E" w14:paraId="3679FC21" w14:textId="77777777">
        <w:tc>
          <w:tcPr>
            <w:tcW w:w="2167" w:type="dxa"/>
          </w:tcPr>
          <w:p w14:paraId="1EAD5A81" w14:textId="77777777" w:rsidR="003B729E" w:rsidRDefault="00000000">
            <w:pPr>
              <w:jc w:val="center"/>
            </w:pPr>
            <w:r>
              <w:rPr>
                <w:rFonts w:ascii="Times New Roman" w:hAnsi="Times New Roman"/>
              </w:rPr>
              <w:t>LOW</w:t>
            </w:r>
          </w:p>
        </w:tc>
        <w:tc>
          <w:tcPr>
            <w:tcW w:w="2167" w:type="dxa"/>
          </w:tcPr>
          <w:p w14:paraId="7B75C20E" w14:textId="77777777" w:rsidR="003B729E" w:rsidRDefault="00000000">
            <w:pPr>
              <w:jc w:val="center"/>
            </w:pPr>
            <w:r>
              <w:rPr>
                <w:rFonts w:ascii="Times New Roman" w:hAnsi="Times New Roman"/>
              </w:rPr>
              <w:t>Input categories ∩ Disease categories = ∅</w:t>
            </w:r>
            <w:r>
              <w:rPr>
                <w:rFonts w:ascii="Times New Roman" w:hAnsi="Times New Roman"/>
              </w:rPr>
              <w:br/>
              <w:t>(disease has known categories)</w:t>
            </w:r>
          </w:p>
        </w:tc>
        <w:tc>
          <w:tcPr>
            <w:tcW w:w="2167" w:type="dxa"/>
          </w:tcPr>
          <w:p w14:paraId="6FA27FF4" w14:textId="77777777" w:rsidR="003B729E" w:rsidRDefault="00000000">
            <w:pPr>
              <w:jc w:val="center"/>
            </w:pPr>
            <w:r>
              <w:rPr>
                <w:rFonts w:ascii="Times New Roman" w:hAnsi="Times New Roman"/>
              </w:rPr>
              <w:t>0.1x</w:t>
            </w:r>
          </w:p>
        </w:tc>
        <w:tc>
          <w:tcPr>
            <w:tcW w:w="2167" w:type="dxa"/>
          </w:tcPr>
          <w:p w14:paraId="4813B0FF" w14:textId="77777777" w:rsidR="003B729E" w:rsidRDefault="00000000">
            <w:pPr>
              <w:jc w:val="center"/>
            </w:pPr>
            <w:r>
              <w:rPr>
                <w:rFonts w:ascii="Times New Roman" w:hAnsi="Times New Roman"/>
              </w:rPr>
              <w:t>Confidence reduced by 90%</w:t>
            </w:r>
          </w:p>
        </w:tc>
      </w:tr>
      <w:tr w:rsidR="003B729E" w14:paraId="4C238176" w14:textId="77777777">
        <w:tc>
          <w:tcPr>
            <w:tcW w:w="2167" w:type="dxa"/>
          </w:tcPr>
          <w:p w14:paraId="00CA617F" w14:textId="77777777" w:rsidR="003B729E" w:rsidRDefault="00000000">
            <w:pPr>
              <w:jc w:val="center"/>
            </w:pPr>
            <w:r>
              <w:rPr>
                <w:rFonts w:ascii="Times New Roman" w:hAnsi="Times New Roman"/>
              </w:rPr>
              <w:t>UNKNOWN</w:t>
            </w:r>
          </w:p>
        </w:tc>
        <w:tc>
          <w:tcPr>
            <w:tcW w:w="2167" w:type="dxa"/>
          </w:tcPr>
          <w:p w14:paraId="6F0B0100" w14:textId="77777777" w:rsidR="003B729E" w:rsidRDefault="00000000">
            <w:pPr>
              <w:jc w:val="center"/>
            </w:pPr>
            <w:r>
              <w:rPr>
                <w:rFonts w:ascii="Times New Roman" w:hAnsi="Times New Roman"/>
              </w:rPr>
              <w:t>Disease has no category mapping in knowledge base</w:t>
            </w:r>
          </w:p>
        </w:tc>
        <w:tc>
          <w:tcPr>
            <w:tcW w:w="2167" w:type="dxa"/>
          </w:tcPr>
          <w:p w14:paraId="1432623A" w14:textId="77777777" w:rsidR="003B729E" w:rsidRDefault="00000000">
            <w:pPr>
              <w:jc w:val="center"/>
            </w:pPr>
            <w:r>
              <w:rPr>
                <w:rFonts w:ascii="Times New Roman" w:hAnsi="Times New Roman"/>
              </w:rPr>
              <w:t>0.9x</w:t>
            </w:r>
          </w:p>
        </w:tc>
        <w:tc>
          <w:tcPr>
            <w:tcW w:w="2167" w:type="dxa"/>
          </w:tcPr>
          <w:p w14:paraId="6BEF086F" w14:textId="77777777" w:rsidR="003B729E" w:rsidRDefault="00000000">
            <w:pPr>
              <w:jc w:val="center"/>
            </w:pPr>
            <w:r>
              <w:rPr>
                <w:rFonts w:ascii="Times New Roman" w:hAnsi="Times New Roman"/>
              </w:rPr>
              <w:t>Mild confidence reduction</w:t>
            </w:r>
          </w:p>
        </w:tc>
      </w:tr>
    </w:tbl>
    <w:p w14:paraId="092A5E84" w14:textId="77777777" w:rsidR="003B729E" w:rsidRDefault="003B729E">
      <w:pPr>
        <w:spacing w:after="40" w:line="360" w:lineRule="exact"/>
        <w:jc w:val="both"/>
      </w:pPr>
    </w:p>
    <w:p w14:paraId="3978AED7" w14:textId="77777777" w:rsidR="003B729E" w:rsidRDefault="00000000">
      <w:pPr>
        <w:spacing w:before="80" w:after="240"/>
        <w:jc w:val="center"/>
      </w:pPr>
      <w:r>
        <w:rPr>
          <w:rFonts w:ascii="Times New Roman" w:hAnsi="Times New Roman"/>
          <w:i/>
        </w:rPr>
        <w:t>Table 7.1 – Medical Consistency Penalty Scheme</w:t>
      </w:r>
    </w:p>
    <w:p w14:paraId="65D8537B" w14:textId="77777777" w:rsidR="003B729E" w:rsidRDefault="00000000">
      <w:pPr>
        <w:spacing w:after="160" w:line="360" w:lineRule="exact"/>
        <w:ind w:firstLine="432"/>
        <w:jc w:val="both"/>
      </w:pPr>
      <w:r>
        <w:rPr>
          <w:rFonts w:ascii="Times New Roman" w:hAnsi="Times New Roman"/>
          <w:sz w:val="24"/>
        </w:rPr>
        <w:t>The 0.1x multiplier for LOW consistency predictions is deliberately aggressive. A prediction that has no category overlap with the user's symptoms—for example, predicting an eye condition when the user reports exclusively gastrointestinal symptoms—is almost certainly wrong, and displaying it at its raw ML confidence score would mislead the user. The 90% penalty effectively suppresses such predictions in the displayed Top-K results without completely removing them from the ranked list, preserving the possibility of an edge case where the model's cross-category prediction is actually correct.</w:t>
      </w:r>
    </w:p>
    <w:p w14:paraId="37078CAC" w14:textId="77777777" w:rsidR="003B729E" w:rsidRDefault="00000000">
      <w:pPr>
        <w:spacing w:after="160" w:line="360" w:lineRule="exact"/>
        <w:ind w:firstLine="432"/>
        <w:jc w:val="both"/>
      </w:pPr>
      <w:r>
        <w:rPr>
          <w:rFonts w:ascii="Times New Roman" w:hAnsi="Times New Roman"/>
          <w:sz w:val="24"/>
        </w:rPr>
        <w:t>After penalty application, predictions are re-sorted by adjusted confidence score. Re-ranking changes are logged to support transparency. In the 500-case validation suite, meaningful re-ranking occurred in approximately 18% of non-emergency cases, indicating that the validator is actively correcting the ML model's output in a significant proportion of interactions.</w:t>
      </w:r>
    </w:p>
    <w:p w14:paraId="37AC670B" w14:textId="77777777" w:rsidR="003B729E" w:rsidRDefault="00000000">
      <w:pPr>
        <w:spacing w:before="280" w:after="80" w:line="360" w:lineRule="exact"/>
      </w:pPr>
      <w:r>
        <w:rPr>
          <w:rFonts w:ascii="Times New Roman" w:hAnsi="Times New Roman"/>
          <w:b/>
          <w:sz w:val="26"/>
        </w:rPr>
        <w:t>7.3  Healthcare Safety Metrics</w:t>
      </w:r>
    </w:p>
    <w:p w14:paraId="6BF9F28D" w14:textId="77777777" w:rsidR="003B729E" w:rsidRDefault="00000000">
      <w:pPr>
        <w:spacing w:after="160" w:line="360" w:lineRule="exact"/>
        <w:ind w:firstLine="432"/>
        <w:jc w:val="both"/>
      </w:pPr>
      <w:r>
        <w:rPr>
          <w:rFonts w:ascii="Times New Roman" w:hAnsi="Times New Roman"/>
          <w:sz w:val="24"/>
        </w:rPr>
        <w:t>Standard machine learning evaluation metrics such as accuracy, precision, recall, and F1-score are insufficient for evaluating the safety of a healthcare triage system. A model that achieves 95% overall accuracy but fails on 5% of emergency cases has a clinically unacceptable safety profile. MediAssist AI therefore introduces three healthcare-specific metrics:</w:t>
      </w:r>
    </w:p>
    <w:tbl>
      <w:tblPr>
        <w:tblStyle w:val="TableGrid"/>
        <w:tblW w:w="0" w:type="auto"/>
        <w:tblLook w:val="04A0" w:firstRow="1" w:lastRow="0" w:firstColumn="1" w:lastColumn="0" w:noHBand="0" w:noVBand="1"/>
      </w:tblPr>
      <w:tblGrid>
        <w:gridCol w:w="2890"/>
        <w:gridCol w:w="2890"/>
        <w:gridCol w:w="2890"/>
      </w:tblGrid>
      <w:tr w:rsidR="003B729E" w14:paraId="4399122D" w14:textId="77777777">
        <w:tc>
          <w:tcPr>
            <w:tcW w:w="2890" w:type="dxa"/>
          </w:tcPr>
          <w:p w14:paraId="6EDAF817" w14:textId="77777777" w:rsidR="003B729E" w:rsidRDefault="00000000">
            <w:pPr>
              <w:jc w:val="center"/>
            </w:pPr>
            <w:r>
              <w:rPr>
                <w:rFonts w:ascii="Times New Roman" w:hAnsi="Times New Roman"/>
                <w:b/>
              </w:rPr>
              <w:t>Metric</w:t>
            </w:r>
          </w:p>
        </w:tc>
        <w:tc>
          <w:tcPr>
            <w:tcW w:w="2890" w:type="dxa"/>
          </w:tcPr>
          <w:p w14:paraId="616C87B5" w14:textId="77777777" w:rsidR="003B729E" w:rsidRDefault="00000000">
            <w:pPr>
              <w:jc w:val="center"/>
            </w:pPr>
            <w:r>
              <w:rPr>
                <w:rFonts w:ascii="Times New Roman" w:hAnsi="Times New Roman"/>
                <w:b/>
              </w:rPr>
              <w:t>Formula</w:t>
            </w:r>
          </w:p>
        </w:tc>
        <w:tc>
          <w:tcPr>
            <w:tcW w:w="2890" w:type="dxa"/>
          </w:tcPr>
          <w:p w14:paraId="1B9F269D" w14:textId="77777777" w:rsidR="003B729E" w:rsidRDefault="00000000">
            <w:pPr>
              <w:jc w:val="center"/>
            </w:pPr>
            <w:r>
              <w:rPr>
                <w:rFonts w:ascii="Times New Roman" w:hAnsi="Times New Roman"/>
                <w:b/>
              </w:rPr>
              <w:t>Target</w:t>
            </w:r>
          </w:p>
        </w:tc>
      </w:tr>
      <w:tr w:rsidR="003B729E" w14:paraId="539D7D3F" w14:textId="77777777">
        <w:tc>
          <w:tcPr>
            <w:tcW w:w="2890" w:type="dxa"/>
          </w:tcPr>
          <w:p w14:paraId="625B2A94" w14:textId="77777777" w:rsidR="003B729E" w:rsidRDefault="00000000">
            <w:pPr>
              <w:jc w:val="center"/>
            </w:pPr>
            <w:r>
              <w:rPr>
                <w:rFonts w:ascii="Times New Roman" w:hAnsi="Times New Roman"/>
              </w:rPr>
              <w:t>Emergency Escalation</w:t>
            </w:r>
            <w:r>
              <w:rPr>
                <w:rFonts w:ascii="Times New Roman" w:hAnsi="Times New Roman"/>
              </w:rPr>
              <w:br/>
            </w:r>
            <w:r>
              <w:rPr>
                <w:rFonts w:ascii="Times New Roman" w:hAnsi="Times New Roman"/>
              </w:rPr>
              <w:lastRenderedPageBreak/>
              <w:t>Accuracy (EEA)</w:t>
            </w:r>
          </w:p>
        </w:tc>
        <w:tc>
          <w:tcPr>
            <w:tcW w:w="2890" w:type="dxa"/>
          </w:tcPr>
          <w:p w14:paraId="5E7D4EA0" w14:textId="77777777" w:rsidR="003B729E" w:rsidRDefault="00000000">
            <w:pPr>
              <w:jc w:val="center"/>
            </w:pPr>
            <w:r>
              <w:rPr>
                <w:rFonts w:ascii="Times New Roman" w:hAnsi="Times New Roman"/>
              </w:rPr>
              <w:lastRenderedPageBreak/>
              <w:t xml:space="preserve">Correctly Escalated / Total </w:t>
            </w:r>
            <w:r>
              <w:rPr>
                <w:rFonts w:ascii="Times New Roman" w:hAnsi="Times New Roman"/>
              </w:rPr>
              <w:lastRenderedPageBreak/>
              <w:t>Emergencies × 100</w:t>
            </w:r>
          </w:p>
        </w:tc>
        <w:tc>
          <w:tcPr>
            <w:tcW w:w="2890" w:type="dxa"/>
          </w:tcPr>
          <w:p w14:paraId="083E2852" w14:textId="77777777" w:rsidR="003B729E" w:rsidRDefault="00000000">
            <w:pPr>
              <w:jc w:val="center"/>
            </w:pPr>
            <w:r>
              <w:rPr>
                <w:rFonts w:ascii="Times New Roman" w:hAnsi="Times New Roman"/>
              </w:rPr>
              <w:lastRenderedPageBreak/>
              <w:t>&gt; 95%</w:t>
            </w:r>
          </w:p>
        </w:tc>
      </w:tr>
      <w:tr w:rsidR="003B729E" w14:paraId="29D272CF" w14:textId="77777777">
        <w:tc>
          <w:tcPr>
            <w:tcW w:w="2890" w:type="dxa"/>
          </w:tcPr>
          <w:p w14:paraId="5BDAC136" w14:textId="77777777" w:rsidR="003B729E" w:rsidRDefault="00000000">
            <w:pPr>
              <w:jc w:val="center"/>
            </w:pPr>
            <w:r>
              <w:rPr>
                <w:rFonts w:ascii="Times New Roman" w:hAnsi="Times New Roman"/>
              </w:rPr>
              <w:t>Missed Emergency</w:t>
            </w:r>
            <w:r>
              <w:rPr>
                <w:rFonts w:ascii="Times New Roman" w:hAnsi="Times New Roman"/>
              </w:rPr>
              <w:br/>
              <w:t>Rate (MER)</w:t>
            </w:r>
          </w:p>
        </w:tc>
        <w:tc>
          <w:tcPr>
            <w:tcW w:w="2890" w:type="dxa"/>
          </w:tcPr>
          <w:p w14:paraId="723320F6" w14:textId="77777777" w:rsidR="003B729E" w:rsidRDefault="00000000">
            <w:pPr>
              <w:jc w:val="center"/>
            </w:pPr>
            <w:r>
              <w:rPr>
                <w:rFonts w:ascii="Times New Roman" w:hAnsi="Times New Roman"/>
              </w:rPr>
              <w:t>Missed Emergencies / Total Emergencies × 100</w:t>
            </w:r>
          </w:p>
        </w:tc>
        <w:tc>
          <w:tcPr>
            <w:tcW w:w="2890" w:type="dxa"/>
          </w:tcPr>
          <w:p w14:paraId="2E84703C" w14:textId="77777777" w:rsidR="003B729E" w:rsidRDefault="00000000">
            <w:pPr>
              <w:jc w:val="center"/>
            </w:pPr>
            <w:r>
              <w:rPr>
                <w:rFonts w:ascii="Times New Roman" w:hAnsi="Times New Roman"/>
              </w:rPr>
              <w:t>&lt; 5% (ideally 0%)</w:t>
            </w:r>
          </w:p>
        </w:tc>
      </w:tr>
      <w:tr w:rsidR="003B729E" w14:paraId="54FDBF31" w14:textId="77777777">
        <w:tc>
          <w:tcPr>
            <w:tcW w:w="2890" w:type="dxa"/>
          </w:tcPr>
          <w:p w14:paraId="098B2DD8" w14:textId="77777777" w:rsidR="003B729E" w:rsidRDefault="00000000">
            <w:pPr>
              <w:jc w:val="center"/>
            </w:pPr>
            <w:r>
              <w:rPr>
                <w:rFonts w:ascii="Times New Roman" w:hAnsi="Times New Roman"/>
              </w:rPr>
              <w:t>Unsafe Prediction</w:t>
            </w:r>
            <w:r>
              <w:rPr>
                <w:rFonts w:ascii="Times New Roman" w:hAnsi="Times New Roman"/>
              </w:rPr>
              <w:br/>
              <w:t>Rate (UPR)</w:t>
            </w:r>
          </w:p>
        </w:tc>
        <w:tc>
          <w:tcPr>
            <w:tcW w:w="2890" w:type="dxa"/>
          </w:tcPr>
          <w:p w14:paraId="3B6A6540" w14:textId="77777777" w:rsidR="003B729E" w:rsidRDefault="00000000">
            <w:pPr>
              <w:jc w:val="center"/>
            </w:pPr>
            <w:r>
              <w:rPr>
                <w:rFonts w:ascii="Times New Roman" w:hAnsi="Times New Roman"/>
              </w:rPr>
              <w:t>High-Conf. Wrong Predictions / Total Non-Emergency × 100</w:t>
            </w:r>
          </w:p>
        </w:tc>
        <w:tc>
          <w:tcPr>
            <w:tcW w:w="2890" w:type="dxa"/>
          </w:tcPr>
          <w:p w14:paraId="7BBB2169" w14:textId="77777777" w:rsidR="003B729E" w:rsidRDefault="00000000">
            <w:pPr>
              <w:jc w:val="center"/>
            </w:pPr>
            <w:r>
              <w:rPr>
                <w:rFonts w:ascii="Times New Roman" w:hAnsi="Times New Roman"/>
              </w:rPr>
              <w:t>&lt; 5% (ideally 0%)</w:t>
            </w:r>
          </w:p>
        </w:tc>
      </w:tr>
    </w:tbl>
    <w:p w14:paraId="259C92FE" w14:textId="77777777" w:rsidR="003B729E" w:rsidRDefault="003B729E">
      <w:pPr>
        <w:spacing w:after="40" w:line="360" w:lineRule="exact"/>
        <w:jc w:val="both"/>
      </w:pPr>
    </w:p>
    <w:p w14:paraId="02BFEC19" w14:textId="77777777" w:rsidR="003B729E" w:rsidRDefault="00000000">
      <w:pPr>
        <w:spacing w:before="80" w:after="240"/>
        <w:jc w:val="center"/>
      </w:pPr>
      <w:r>
        <w:rPr>
          <w:rFonts w:ascii="Times New Roman" w:hAnsi="Times New Roman"/>
          <w:i/>
        </w:rPr>
        <w:t>Table 7.2 – Healthcare-Specific Safety Metric Definitions</w:t>
      </w:r>
    </w:p>
    <w:p w14:paraId="17D13C0C" w14:textId="77777777" w:rsidR="003B729E" w:rsidRDefault="00000000">
      <w:pPr>
        <w:spacing w:after="160" w:line="360" w:lineRule="exact"/>
        <w:ind w:firstLine="432"/>
        <w:jc w:val="both"/>
      </w:pPr>
      <w:r>
        <w:rPr>
          <w:rFonts w:ascii="Times New Roman" w:hAnsi="Times New Roman"/>
          <w:sz w:val="24"/>
        </w:rPr>
        <w:t>These metrics are computed by the run_final_research_validation.py script, which runs the full pipeline—including emergency detection, ML inference, and consistency validation—on each of the 500 validation cases and records the outcome. The script produces a validation_trace.json log, a safety_metrics.csv summary, and the research figures used throughout this report.</w:t>
      </w:r>
    </w:p>
    <w:p w14:paraId="50F95E58" w14:textId="77777777" w:rsidR="003B729E" w:rsidRDefault="00000000">
      <w:pPr>
        <w:spacing w:before="280" w:after="80" w:line="360" w:lineRule="exact"/>
      </w:pPr>
      <w:r>
        <w:rPr>
          <w:rFonts w:ascii="Times New Roman" w:hAnsi="Times New Roman"/>
          <w:b/>
          <w:sz w:val="26"/>
        </w:rPr>
        <w:t>7.4  Validation Suite Design</w:t>
      </w:r>
    </w:p>
    <w:p w14:paraId="09A5397A" w14:textId="77777777" w:rsidR="003B729E" w:rsidRDefault="00000000">
      <w:pPr>
        <w:spacing w:after="160" w:line="360" w:lineRule="exact"/>
        <w:ind w:firstLine="432"/>
        <w:jc w:val="both"/>
      </w:pPr>
      <w:r>
        <w:rPr>
          <w:rFonts w:ascii="Times New Roman" w:hAnsi="Times New Roman"/>
          <w:sz w:val="24"/>
        </w:rPr>
        <w:t>The 500-case validation dataset was constructed to stress-test every failure mode identified in Chapter 3. It contains five case categories:</w:t>
      </w:r>
    </w:p>
    <w:p w14:paraId="229AB931" w14:textId="77777777" w:rsidR="003B729E" w:rsidRDefault="00000000">
      <w:pPr>
        <w:spacing w:before="160" w:after="60" w:line="360" w:lineRule="exact"/>
      </w:pPr>
      <w:r>
        <w:rPr>
          <w:rFonts w:ascii="Times New Roman" w:hAnsi="Times New Roman"/>
          <w:b/>
          <w:i/>
          <w:sz w:val="24"/>
        </w:rPr>
        <w:t>100 Emergency Cases</w:t>
      </w:r>
    </w:p>
    <w:p w14:paraId="24BF454C" w14:textId="77777777" w:rsidR="003B729E" w:rsidRDefault="00000000">
      <w:pPr>
        <w:spacing w:after="160" w:line="360" w:lineRule="exact"/>
        <w:ind w:firstLine="432"/>
        <w:jc w:val="both"/>
      </w:pPr>
      <w:r>
        <w:rPr>
          <w:rFonts w:ascii="Times New Roman" w:hAnsi="Times New Roman"/>
          <w:sz w:val="24"/>
        </w:rPr>
        <w:t>Five emergency symptom combinations (stroke, respiratory, infection, hemorrhagic, cardiac), each repeated 20 times with natural language variation. All 100 should trigger emergency escalation.</w:t>
      </w:r>
    </w:p>
    <w:p w14:paraId="58D24CCC" w14:textId="77777777" w:rsidR="003B729E" w:rsidRDefault="00000000">
      <w:pPr>
        <w:spacing w:before="160" w:after="60" w:line="360" w:lineRule="exact"/>
      </w:pPr>
      <w:r>
        <w:rPr>
          <w:rFonts w:ascii="Times New Roman" w:hAnsi="Times New Roman"/>
          <w:b/>
          <w:i/>
          <w:sz w:val="24"/>
        </w:rPr>
        <w:t>300 Common Cases</w:t>
      </w:r>
    </w:p>
    <w:p w14:paraId="16D9264C" w14:textId="77777777" w:rsidR="003B729E" w:rsidRDefault="00000000">
      <w:pPr>
        <w:spacing w:after="160" w:line="360" w:lineRule="exact"/>
        <w:ind w:firstLine="432"/>
        <w:jc w:val="both"/>
      </w:pPr>
      <w:r>
        <w:rPr>
          <w:rFonts w:ascii="Times New Roman" w:hAnsi="Times New Roman"/>
          <w:sz w:val="24"/>
        </w:rPr>
        <w:t>Five common non-emergency presentations (headache/cold, nausea, rash, eye symptoms, sneezing), each repeated 60 times. None should trigger emergency escalation.</w:t>
      </w:r>
    </w:p>
    <w:p w14:paraId="239EF293" w14:textId="77777777" w:rsidR="003B729E" w:rsidRDefault="00000000">
      <w:pPr>
        <w:spacing w:before="160" w:after="60" w:line="360" w:lineRule="exact"/>
      </w:pPr>
      <w:r>
        <w:rPr>
          <w:rFonts w:ascii="Times New Roman" w:hAnsi="Times New Roman"/>
          <w:b/>
          <w:i/>
          <w:sz w:val="24"/>
        </w:rPr>
        <w:t>~99 Implausible-Check Cases</w:t>
      </w:r>
    </w:p>
    <w:p w14:paraId="23CCB763" w14:textId="77777777" w:rsidR="003B729E" w:rsidRDefault="00000000">
      <w:pPr>
        <w:spacing w:after="160" w:line="360" w:lineRule="exact"/>
        <w:ind w:firstLine="432"/>
        <w:jc w:val="both"/>
      </w:pPr>
      <w:r>
        <w:rPr>
          <w:rFonts w:ascii="Times New Roman" w:hAnsi="Times New Roman"/>
          <w:sz w:val="24"/>
        </w:rPr>
        <w:t>Three symptom inputs designed to test the consistency validator: high fever with cough (should not predict eye infection), chest pain (should not predict skin rash), and frequent urination with thirst (should not predict ear infection).</w:t>
      </w:r>
    </w:p>
    <w:p w14:paraId="7FA41D77" w14:textId="77777777" w:rsidR="003B729E" w:rsidRDefault="00000000">
      <w:pPr>
        <w:spacing w:before="160" w:after="60" w:line="360" w:lineRule="exact"/>
      </w:pPr>
      <w:r>
        <w:rPr>
          <w:rFonts w:ascii="Times New Roman" w:hAnsi="Times New Roman"/>
          <w:b/>
          <w:i/>
          <w:sz w:val="24"/>
        </w:rPr>
        <w:t>1 Padding Case</w:t>
      </w:r>
    </w:p>
    <w:p w14:paraId="560B4987" w14:textId="77777777" w:rsidR="003B729E" w:rsidRDefault="00000000">
      <w:pPr>
        <w:spacing w:after="160" w:line="360" w:lineRule="exact"/>
        <w:ind w:firstLine="432"/>
        <w:jc w:val="both"/>
      </w:pPr>
      <w:r>
        <w:rPr>
          <w:rFonts w:ascii="Times New Roman" w:hAnsi="Times New Roman"/>
          <w:sz w:val="24"/>
        </w:rPr>
        <w:t>A mild cough input used to bring the dataset to exactly 500 cases.</w:t>
      </w:r>
    </w:p>
    <w:p w14:paraId="0A109E15" w14:textId="77777777" w:rsidR="003B729E" w:rsidRDefault="00000000">
      <w:pPr>
        <w:spacing w:before="280" w:after="80" w:line="360" w:lineRule="exact"/>
      </w:pPr>
      <w:r>
        <w:rPr>
          <w:rFonts w:ascii="Times New Roman" w:hAnsi="Times New Roman"/>
          <w:b/>
          <w:sz w:val="26"/>
        </w:rPr>
        <w:t>7.5  Before vs. After Safety Analysis</w:t>
      </w:r>
    </w:p>
    <w:p w14:paraId="3A8D3D88" w14:textId="77777777" w:rsidR="003B729E" w:rsidRDefault="00000000">
      <w:pPr>
        <w:spacing w:after="160" w:line="360" w:lineRule="exact"/>
        <w:ind w:firstLine="432"/>
        <w:jc w:val="both"/>
      </w:pPr>
      <w:r>
        <w:rPr>
          <w:rFonts w:ascii="Times New Roman" w:hAnsi="Times New Roman"/>
          <w:sz w:val="24"/>
        </w:rPr>
        <w:t>Figure 7.1 presents the core result of the safety validation: a direct comparison of three critical safety metrics before and after the hybrid safety architecture was implemented.</w:t>
      </w:r>
    </w:p>
    <w:p w14:paraId="577E6332" w14:textId="77777777" w:rsidR="003B729E" w:rsidRDefault="00000000">
      <w:pPr>
        <w:spacing w:before="120" w:after="40"/>
        <w:jc w:val="center"/>
      </w:pPr>
      <w:r>
        <w:rPr>
          <w:noProof/>
        </w:rPr>
        <w:lastRenderedPageBreak/>
        <w:drawing>
          <wp:inline distT="0" distB="0" distL="0" distR="0" wp14:anchorId="7E073D4C" wp14:editId="76C77EB9">
            <wp:extent cx="5029200" cy="301752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efore_after_safety.png"/>
                    <pic:cNvPicPr/>
                  </pic:nvPicPr>
                  <pic:blipFill>
                    <a:blip r:embed="rId7"/>
                    <a:stretch>
                      <a:fillRect/>
                    </a:stretch>
                  </pic:blipFill>
                  <pic:spPr>
                    <a:xfrm>
                      <a:off x="0" y="0"/>
                      <a:ext cx="5029200" cy="3017520"/>
                    </a:xfrm>
                    <a:prstGeom prst="rect">
                      <a:avLst/>
                    </a:prstGeom>
                  </pic:spPr>
                </pic:pic>
              </a:graphicData>
            </a:graphic>
          </wp:inline>
        </w:drawing>
      </w:r>
    </w:p>
    <w:p w14:paraId="26B0585F" w14:textId="77777777" w:rsidR="003B729E" w:rsidRDefault="00000000">
      <w:pPr>
        <w:spacing w:before="80" w:after="240"/>
        <w:jc w:val="center"/>
      </w:pPr>
      <w:r>
        <w:rPr>
          <w:rFonts w:ascii="Times New Roman" w:hAnsi="Times New Roman"/>
          <w:i/>
        </w:rPr>
        <w:t>Figure 7.1 – Safety Metrics Before vs. After Hybrid Architecture Implementation</w:t>
      </w:r>
    </w:p>
    <w:p w14:paraId="563AFADE" w14:textId="77777777" w:rsidR="003B729E" w:rsidRDefault="00000000">
      <w:pPr>
        <w:spacing w:after="160" w:line="360" w:lineRule="exact"/>
        <w:ind w:firstLine="432"/>
        <w:jc w:val="both"/>
      </w:pPr>
      <w:r>
        <w:rPr>
          <w:rFonts w:ascii="Times New Roman" w:hAnsi="Times New Roman"/>
          <w:sz w:val="24"/>
        </w:rPr>
        <w:t>The results are unambiguous. Before the safety architecture was added, the baseline ML system produced a Missed Emergency Rate of approximately 34.2%, meaning roughly one in three emergency inputs was not escalated. The Unsafe Prediction Rate was 12.5%, and approximately 28.4% of predictions were medically implausible. After implementing the Emergency Override Layer and Medical Consistency Validator:</w:t>
      </w:r>
    </w:p>
    <w:p w14:paraId="2FB705FE" w14:textId="77777777" w:rsidR="003B729E" w:rsidRDefault="00000000">
      <w:pPr>
        <w:pStyle w:val="ListBullet"/>
        <w:spacing w:before="40" w:after="40" w:line="320" w:lineRule="exact"/>
        <w:ind w:left="576"/>
      </w:pPr>
      <w:r>
        <w:rPr>
          <w:rFonts w:ascii="Times New Roman" w:hAnsi="Times New Roman"/>
          <w:sz w:val="24"/>
        </w:rPr>
        <w:t>MER reduced from 34.2% to 0.0% – all 100 emergency cases correctly escalated.</w:t>
      </w:r>
    </w:p>
    <w:p w14:paraId="1B6DB7F8" w14:textId="77777777" w:rsidR="003B729E" w:rsidRDefault="00000000">
      <w:pPr>
        <w:pStyle w:val="ListBullet"/>
        <w:spacing w:before="40" w:after="40" w:line="320" w:lineRule="exact"/>
        <w:ind w:left="576"/>
      </w:pPr>
      <w:r>
        <w:rPr>
          <w:rFonts w:ascii="Times New Roman" w:hAnsi="Times New Roman"/>
          <w:sz w:val="24"/>
        </w:rPr>
        <w:t>UPR reduced from 12.5% to 0.0% – no high-confidence incorrect outputs recorded.</w:t>
      </w:r>
    </w:p>
    <w:p w14:paraId="5B375EA3" w14:textId="77777777" w:rsidR="003B729E" w:rsidRDefault="00000000">
      <w:pPr>
        <w:pStyle w:val="ListBullet"/>
        <w:spacing w:before="40" w:after="40" w:line="320" w:lineRule="exact"/>
        <w:ind w:left="576"/>
      </w:pPr>
      <w:r>
        <w:rPr>
          <w:rFonts w:ascii="Times New Roman" w:hAnsi="Times New Roman"/>
          <w:sz w:val="24"/>
        </w:rPr>
        <w:t>Implausible Prediction Rate reduced from 28.4% to 0.0% – all implausible predictions suppressed by the consistency validator.</w:t>
      </w:r>
    </w:p>
    <w:p w14:paraId="7636803C" w14:textId="77777777" w:rsidR="003B729E" w:rsidRDefault="00000000">
      <w:pPr>
        <w:pStyle w:val="ListBullet"/>
        <w:spacing w:before="40" w:after="40" w:line="320" w:lineRule="exact"/>
        <w:ind w:left="576"/>
      </w:pPr>
      <w:r>
        <w:rPr>
          <w:rFonts w:ascii="Times New Roman" w:hAnsi="Times New Roman"/>
          <w:sz w:val="24"/>
        </w:rPr>
        <w:t>Emergency Escalation Accuracy (EEA) achieved 100.0% (target: &gt; 95%).</w:t>
      </w:r>
    </w:p>
    <w:p w14:paraId="23E262A7" w14:textId="77777777" w:rsidR="003B729E" w:rsidRDefault="00000000">
      <w:pPr>
        <w:spacing w:after="160" w:line="360" w:lineRule="exact"/>
        <w:ind w:firstLine="432"/>
        <w:jc w:val="both"/>
      </w:pPr>
      <w:r>
        <w:rPr>
          <w:rFonts w:ascii="Times New Roman" w:hAnsi="Times New Roman"/>
          <w:sz w:val="24"/>
        </w:rPr>
        <w:t>Figure 7.2 shows the confusion matrix for emergency detection across the 500-case validation suite.</w:t>
      </w:r>
    </w:p>
    <w:p w14:paraId="3EEF6707" w14:textId="77777777" w:rsidR="003B729E" w:rsidRDefault="00000000">
      <w:pPr>
        <w:spacing w:before="120" w:after="40"/>
        <w:jc w:val="center"/>
      </w:pPr>
      <w:r>
        <w:rPr>
          <w:noProof/>
        </w:rPr>
        <w:lastRenderedPageBreak/>
        <w:drawing>
          <wp:inline distT="0" distB="0" distL="0" distR="0" wp14:anchorId="5E55719F" wp14:editId="0EF4C8B1">
            <wp:extent cx="4114800" cy="308610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fusion_matrix.png"/>
                    <pic:cNvPicPr/>
                  </pic:nvPicPr>
                  <pic:blipFill>
                    <a:blip r:embed="rId15"/>
                    <a:stretch>
                      <a:fillRect/>
                    </a:stretch>
                  </pic:blipFill>
                  <pic:spPr>
                    <a:xfrm>
                      <a:off x="0" y="0"/>
                      <a:ext cx="4114800" cy="3086100"/>
                    </a:xfrm>
                    <a:prstGeom prst="rect">
                      <a:avLst/>
                    </a:prstGeom>
                  </pic:spPr>
                </pic:pic>
              </a:graphicData>
            </a:graphic>
          </wp:inline>
        </w:drawing>
      </w:r>
    </w:p>
    <w:p w14:paraId="01504087" w14:textId="77777777" w:rsidR="003B729E" w:rsidRDefault="00000000">
      <w:pPr>
        <w:spacing w:before="80" w:after="240"/>
        <w:jc w:val="center"/>
      </w:pPr>
      <w:r>
        <w:rPr>
          <w:rFonts w:ascii="Times New Roman" w:hAnsi="Times New Roman"/>
          <w:i/>
        </w:rPr>
        <w:t>Figure 7.2 – Emergency Detection Confusion Matrix (500-Case Validation Suite)</w:t>
      </w:r>
    </w:p>
    <w:p w14:paraId="7EC82B5E" w14:textId="77777777" w:rsidR="003B729E" w:rsidRDefault="00000000">
      <w:pPr>
        <w:spacing w:after="160" w:line="360" w:lineRule="exact"/>
        <w:ind w:firstLine="432"/>
        <w:jc w:val="both"/>
      </w:pPr>
      <w:r>
        <w:rPr>
          <w:rFonts w:ascii="Times New Roman" w:hAnsi="Times New Roman"/>
          <w:sz w:val="24"/>
        </w:rPr>
        <w:t>The confusion matrix confirms zero false negatives (missed emergencies) and zero false positives (non-emergency cases incorrectly escalated). This result is a direct consequence of the deterministic nature of the Emergency Override Layer: because the layer uses exact phrase matching rather than probabilistic scoring, it cannot be fooled by statistical feature overlap between emergency and non-emergency presentations.</w:t>
      </w:r>
    </w:p>
    <w:p w14:paraId="6034BB6B" w14:textId="77777777" w:rsidR="003B729E" w:rsidRDefault="00000000">
      <w:pPr>
        <w:spacing w:before="280" w:after="80" w:line="360" w:lineRule="exact"/>
      </w:pPr>
      <w:r>
        <w:rPr>
          <w:rFonts w:ascii="Times New Roman" w:hAnsi="Times New Roman"/>
          <w:b/>
          <w:sz w:val="26"/>
        </w:rPr>
        <w:t>7.6  Failure Case Analysis: Before the Safety Fix</w:t>
      </w:r>
    </w:p>
    <w:p w14:paraId="6206F06E" w14:textId="77777777" w:rsidR="003B729E" w:rsidRDefault="00000000">
      <w:pPr>
        <w:spacing w:after="160" w:line="360" w:lineRule="exact"/>
        <w:ind w:firstLine="432"/>
        <w:jc w:val="both"/>
      </w:pPr>
      <w:r>
        <w:rPr>
          <w:rFonts w:ascii="Times New Roman" w:hAnsi="Times New Roman"/>
          <w:sz w:val="24"/>
        </w:rPr>
        <w:t>To fully understand the significance of the safety architecture, it is useful to examine the specific failure cases that occurred in the baseline system before the Emergency Override Layer was implemented. These failures were documented in the reports/testing/final_validation_report.md generated during preliminary evaluation.</w:t>
      </w:r>
    </w:p>
    <w:p w14:paraId="3F428FC4" w14:textId="77777777" w:rsidR="003B729E" w:rsidRDefault="00000000">
      <w:pPr>
        <w:spacing w:before="200" w:after="60" w:line="360" w:lineRule="exact"/>
      </w:pPr>
      <w:r>
        <w:rPr>
          <w:rFonts w:ascii="Times New Roman" w:hAnsi="Times New Roman"/>
          <w:b/>
          <w:i/>
          <w:sz w:val="24"/>
        </w:rPr>
        <w:t>Stroke → Bell Palsy</w:t>
      </w:r>
    </w:p>
    <w:p w14:paraId="779229F1" w14:textId="77777777" w:rsidR="003B729E" w:rsidRDefault="00000000">
      <w:pPr>
        <w:spacing w:after="160" w:line="360" w:lineRule="exact"/>
        <w:ind w:firstLine="432"/>
        <w:jc w:val="both"/>
      </w:pPr>
      <w:r>
        <w:rPr>
          <w:rFonts w:ascii="Times New Roman" w:hAnsi="Times New Roman"/>
          <w:sz w:val="24"/>
        </w:rPr>
        <w:t>Input: 'sudden weakness on one side of face and slurred speech'. Baseline prediction: Bell Palsy (high confidence). This misclassification occurs because Bell Palsy presents with unilateral facial weakness and shares substantial vocabulary overlap with stroke descriptions in the training corpus. The TF-IDF model cannot distinguish the urgency difference between these two conditions from term frequencies alone.</w:t>
      </w:r>
    </w:p>
    <w:p w14:paraId="3D5FF74A" w14:textId="77777777" w:rsidR="003B729E" w:rsidRDefault="00000000">
      <w:pPr>
        <w:spacing w:before="200" w:after="60" w:line="360" w:lineRule="exact"/>
      </w:pPr>
      <w:r>
        <w:rPr>
          <w:rFonts w:ascii="Times New Roman" w:hAnsi="Times New Roman"/>
          <w:b/>
          <w:i/>
          <w:sz w:val="24"/>
        </w:rPr>
        <w:t>Hemoptysis → Asthma</w:t>
      </w:r>
    </w:p>
    <w:p w14:paraId="259EABB9" w14:textId="77777777" w:rsidR="003B729E" w:rsidRDefault="00000000">
      <w:pPr>
        <w:spacing w:after="160" w:line="360" w:lineRule="exact"/>
        <w:ind w:firstLine="432"/>
        <w:jc w:val="both"/>
      </w:pPr>
      <w:r>
        <w:rPr>
          <w:rFonts w:ascii="Times New Roman" w:hAnsi="Times New Roman"/>
          <w:sz w:val="24"/>
        </w:rPr>
        <w:t>Input: 'coughing up blood and difficulty breathing'. Baseline prediction: Asthma. Both conditions involve the respiratory system and 'difficulty breathing' is a common phrase in Asthma training examples. The term 'coughing up blood' does not appear frequently enough in the training data to override the strong Asthma prior.</w:t>
      </w:r>
    </w:p>
    <w:p w14:paraId="532EA9E1" w14:textId="77777777" w:rsidR="003B729E" w:rsidRDefault="00000000">
      <w:pPr>
        <w:spacing w:before="200" w:after="60" w:line="360" w:lineRule="exact"/>
      </w:pPr>
      <w:r>
        <w:rPr>
          <w:rFonts w:ascii="Times New Roman" w:hAnsi="Times New Roman"/>
          <w:b/>
          <w:i/>
          <w:sz w:val="24"/>
        </w:rPr>
        <w:lastRenderedPageBreak/>
        <w:t>Meningitis → Lymphadenitis</w:t>
      </w:r>
    </w:p>
    <w:p w14:paraId="4037F621" w14:textId="77777777" w:rsidR="003B729E" w:rsidRDefault="00000000">
      <w:pPr>
        <w:spacing w:after="160" w:line="360" w:lineRule="exact"/>
        <w:ind w:firstLine="432"/>
        <w:jc w:val="both"/>
      </w:pPr>
      <w:r>
        <w:rPr>
          <w:rFonts w:ascii="Times New Roman" w:hAnsi="Times New Roman"/>
          <w:sz w:val="24"/>
        </w:rPr>
        <w:t>Input: 'extreme confusion, stiff neck, and highest fever ever'. Baseline prediction: Lymphadenitis. Both conditions involve lymph node swelling and fever in their feature representations. The critical phrase 'stiff neck' in the context of 'extreme confusion and high fever'—a classic meningitis triad—was not sufficiently weighted by the statistical model.</w:t>
      </w:r>
    </w:p>
    <w:p w14:paraId="3DEA1E37" w14:textId="77777777" w:rsidR="003B729E" w:rsidRDefault="00000000">
      <w:pPr>
        <w:spacing w:after="160" w:line="360" w:lineRule="exact"/>
        <w:ind w:firstLine="432"/>
        <w:jc w:val="both"/>
      </w:pPr>
      <w:r>
        <w:rPr>
          <w:rFonts w:ascii="Times New Roman" w:hAnsi="Times New Roman"/>
          <w:sz w:val="24"/>
        </w:rPr>
        <w:t>All three of these failure cases are completely resolved by the Emergency Override Layer, which triggers on 'slurred speech', 'coughing up blood', and 'stiff neck' respectively, intercepting the input before any ML inference occurs. This confirms that the safety architecture correctly targets and eliminates the most dangerous class of prediction errors.</w:t>
      </w:r>
    </w:p>
    <w:p w14:paraId="5995EFBB" w14:textId="77777777" w:rsidR="003B729E" w:rsidRDefault="00000000">
      <w:pPr>
        <w:spacing w:after="120" w:line="400" w:lineRule="exact"/>
      </w:pPr>
      <w:r>
        <w:rPr>
          <w:rFonts w:ascii="Times New Roman" w:hAnsi="Times New Roman"/>
          <w:b/>
          <w:sz w:val="32"/>
          <w:u w:val="single"/>
        </w:rPr>
        <w:t>Chapter 8: Frontend and UX Design</w:t>
      </w:r>
    </w:p>
    <w:p w14:paraId="681ACB46" w14:textId="77777777" w:rsidR="003B729E" w:rsidRDefault="003B729E">
      <w:pPr>
        <w:pBdr>
          <w:bottom w:val="single" w:sz="6" w:space="1" w:color="4472C4"/>
        </w:pBdr>
      </w:pPr>
    </w:p>
    <w:p w14:paraId="66F51D4F" w14:textId="77777777" w:rsidR="003B729E" w:rsidRDefault="00000000">
      <w:pPr>
        <w:spacing w:after="160" w:line="360" w:lineRule="exact"/>
        <w:jc w:val="both"/>
      </w:pPr>
      <w:r>
        <w:rPr>
          <w:rFonts w:ascii="Times New Roman" w:hAnsi="Times New Roman"/>
          <w:sz w:val="24"/>
        </w:rPr>
        <w:t>The user interface of MediAssist AI was designed with two primary constraints: it must clearly communicate medical urgency at a glance, and it must never create a false sense of clinical certainty. This section describes the framework choice, visual design system, and the UX decisions made for each interaction state.</w:t>
      </w:r>
    </w:p>
    <w:p w14:paraId="64725A94" w14:textId="77777777" w:rsidR="003B729E" w:rsidRDefault="00000000">
      <w:pPr>
        <w:spacing w:before="280" w:after="80" w:line="360" w:lineRule="exact"/>
      </w:pPr>
      <w:r>
        <w:rPr>
          <w:rFonts w:ascii="Times New Roman" w:hAnsi="Times New Roman"/>
          <w:b/>
          <w:sz w:val="26"/>
        </w:rPr>
        <w:t>8.1  Framework Selection: Streamlit</w:t>
      </w:r>
    </w:p>
    <w:p w14:paraId="1209DBC6" w14:textId="77777777" w:rsidR="003B729E" w:rsidRDefault="00000000">
      <w:pPr>
        <w:spacing w:after="160" w:line="360" w:lineRule="exact"/>
        <w:ind w:firstLine="432"/>
        <w:jc w:val="both"/>
      </w:pPr>
      <w:r>
        <w:rPr>
          <w:rFonts w:ascii="Times New Roman" w:hAnsi="Times New Roman"/>
          <w:sz w:val="24"/>
        </w:rPr>
        <w:t>Streamlit was selected as the UI framework over Flask, FastAPI with Jinja2, or React-based frontends for three practical reasons. First, it requires no separate JavaScript bundle, meaning the entire application—backend logic and frontend presentation—resides in a single Python codebase. This significantly reduces deployment complexity. Second, Streamlit's session_state mechanism provides sufficient statefulness for a conversational chat interface without requiring WebSocket infrastructure. Third, it allows rapid iteration: a UI change can be tested by simply saving the file, without a build step.</w:t>
      </w:r>
    </w:p>
    <w:p w14:paraId="1F410603" w14:textId="77777777" w:rsidR="003B729E" w:rsidRDefault="00000000">
      <w:pPr>
        <w:spacing w:after="160" w:line="360" w:lineRule="exact"/>
        <w:ind w:firstLine="432"/>
        <w:jc w:val="both"/>
      </w:pPr>
      <w:r>
        <w:rPr>
          <w:rFonts w:ascii="Times New Roman" w:hAnsi="Times New Roman"/>
          <w:sz w:val="24"/>
        </w:rPr>
        <w:t>The primary limitation of Streamlit is that its default visual aesthetic is generic and unsuitable for a healthcare application where visual trust signals matter. This was addressed by injecting custom CSS through st.markdown() with unsafe_allow_html=True, which overrides Streamlit's default styles entirely.</w:t>
      </w:r>
    </w:p>
    <w:p w14:paraId="1C9054B8" w14:textId="77777777" w:rsidR="003B729E" w:rsidRDefault="00000000">
      <w:pPr>
        <w:spacing w:before="280" w:after="80" w:line="360" w:lineRule="exact"/>
      </w:pPr>
      <w:r>
        <w:rPr>
          <w:rFonts w:ascii="Times New Roman" w:hAnsi="Times New Roman"/>
          <w:b/>
          <w:sz w:val="26"/>
        </w:rPr>
        <w:t>8.2  Design Language: Glassmorphism with Safety-Aware Colour</w:t>
      </w:r>
    </w:p>
    <w:p w14:paraId="680ED016" w14:textId="77777777" w:rsidR="003B729E" w:rsidRDefault="00000000">
      <w:pPr>
        <w:spacing w:after="160" w:line="360" w:lineRule="exact"/>
        <w:ind w:firstLine="432"/>
        <w:jc w:val="both"/>
      </w:pPr>
      <w:r>
        <w:rPr>
          <w:rFonts w:ascii="Times New Roman" w:hAnsi="Times New Roman"/>
          <w:sz w:val="24"/>
        </w:rPr>
        <w:t xml:space="preserve">The visual design system uses a glassmorphism aesthetic—frosted-glass card components with backdrop blur, semi-transparent backgrounds, and soft border highlights—layered over a deep blue-grey gradient background. This aesthetic was chosen deliberately for a healthcare context: it conveys cleanliness, precision, and calm </w:t>
      </w:r>
      <w:r>
        <w:rPr>
          <w:rFonts w:ascii="Times New Roman" w:hAnsi="Times New Roman"/>
          <w:sz w:val="24"/>
        </w:rPr>
        <w:lastRenderedPageBreak/>
        <w:t>professionalism without the clinical coldness of pure white interfaces or the anxiety-inducing brightness of high-saturation colour schemes.</w:t>
      </w:r>
    </w:p>
    <w:p w14:paraId="1B51D381" w14:textId="77777777" w:rsidR="003B729E" w:rsidRDefault="00000000">
      <w:pPr>
        <w:spacing w:after="160" w:line="360" w:lineRule="exact"/>
        <w:ind w:firstLine="432"/>
        <w:jc w:val="both"/>
      </w:pPr>
      <w:r>
        <w:rPr>
          <w:rFonts w:ascii="Times New Roman" w:hAnsi="Times New Roman"/>
          <w:sz w:val="24"/>
        </w:rPr>
        <w:t>The colour system is severity-aware and uses three distinct palettes:</w:t>
      </w:r>
    </w:p>
    <w:tbl>
      <w:tblPr>
        <w:tblStyle w:val="TableGrid"/>
        <w:tblW w:w="0" w:type="auto"/>
        <w:tblLook w:val="04A0" w:firstRow="1" w:lastRow="0" w:firstColumn="1" w:lastColumn="0" w:noHBand="0" w:noVBand="1"/>
      </w:tblPr>
      <w:tblGrid>
        <w:gridCol w:w="2890"/>
        <w:gridCol w:w="2890"/>
        <w:gridCol w:w="2890"/>
      </w:tblGrid>
      <w:tr w:rsidR="003B729E" w14:paraId="2C1F9AB7" w14:textId="77777777">
        <w:tc>
          <w:tcPr>
            <w:tcW w:w="2890" w:type="dxa"/>
          </w:tcPr>
          <w:p w14:paraId="2D2BCAD7" w14:textId="77777777" w:rsidR="003B729E" w:rsidRDefault="00000000">
            <w:pPr>
              <w:jc w:val="center"/>
            </w:pPr>
            <w:r>
              <w:rPr>
                <w:rFonts w:ascii="Times New Roman" w:hAnsi="Times New Roman"/>
                <w:b/>
              </w:rPr>
              <w:t>State</w:t>
            </w:r>
          </w:p>
        </w:tc>
        <w:tc>
          <w:tcPr>
            <w:tcW w:w="2890" w:type="dxa"/>
          </w:tcPr>
          <w:p w14:paraId="04115ED2" w14:textId="77777777" w:rsidR="003B729E" w:rsidRDefault="00000000">
            <w:pPr>
              <w:jc w:val="center"/>
            </w:pPr>
            <w:r>
              <w:rPr>
                <w:rFonts w:ascii="Times New Roman" w:hAnsi="Times New Roman"/>
                <w:b/>
              </w:rPr>
              <w:t>Colour</w:t>
            </w:r>
          </w:p>
        </w:tc>
        <w:tc>
          <w:tcPr>
            <w:tcW w:w="2890" w:type="dxa"/>
          </w:tcPr>
          <w:p w14:paraId="296F410F" w14:textId="77777777" w:rsidR="003B729E" w:rsidRDefault="00000000">
            <w:pPr>
              <w:jc w:val="center"/>
            </w:pPr>
            <w:r>
              <w:rPr>
                <w:rFonts w:ascii="Times New Roman" w:hAnsi="Times New Roman"/>
                <w:b/>
              </w:rPr>
              <w:t>UX Rationale</w:t>
            </w:r>
          </w:p>
        </w:tc>
      </w:tr>
      <w:tr w:rsidR="003B729E" w14:paraId="3F9A4F52" w14:textId="77777777">
        <w:tc>
          <w:tcPr>
            <w:tcW w:w="2890" w:type="dxa"/>
          </w:tcPr>
          <w:p w14:paraId="537F3625" w14:textId="77777777" w:rsidR="003B729E" w:rsidRDefault="00000000">
            <w:pPr>
              <w:jc w:val="center"/>
            </w:pPr>
            <w:r>
              <w:rPr>
                <w:rFonts w:ascii="Times New Roman" w:hAnsi="Times New Roman"/>
              </w:rPr>
              <w:t>High Confidence (&gt; 70%)</w:t>
            </w:r>
          </w:p>
        </w:tc>
        <w:tc>
          <w:tcPr>
            <w:tcW w:w="2890" w:type="dxa"/>
          </w:tcPr>
          <w:p w14:paraId="524D1736" w14:textId="77777777" w:rsidR="003B729E" w:rsidRDefault="00000000">
            <w:pPr>
              <w:jc w:val="center"/>
            </w:pPr>
            <w:r>
              <w:rPr>
                <w:rFonts w:ascii="Times New Roman" w:hAnsi="Times New Roman"/>
              </w:rPr>
              <w:t>HSL(142, 76%, 36%)</w:t>
            </w:r>
          </w:p>
        </w:tc>
        <w:tc>
          <w:tcPr>
            <w:tcW w:w="2890" w:type="dxa"/>
          </w:tcPr>
          <w:p w14:paraId="7280506D" w14:textId="77777777" w:rsidR="003B729E" w:rsidRDefault="00000000">
            <w:pPr>
              <w:jc w:val="center"/>
            </w:pPr>
            <w:r>
              <w:rPr>
                <w:rFonts w:ascii="Times New Roman" w:hAnsi="Times New Roman"/>
              </w:rPr>
              <w:t>Muted green – positive signal</w:t>
            </w:r>
          </w:p>
        </w:tc>
      </w:tr>
      <w:tr w:rsidR="003B729E" w14:paraId="4346D3A4" w14:textId="77777777">
        <w:tc>
          <w:tcPr>
            <w:tcW w:w="2890" w:type="dxa"/>
          </w:tcPr>
          <w:p w14:paraId="1DE1E205" w14:textId="77777777" w:rsidR="003B729E" w:rsidRDefault="00000000">
            <w:pPr>
              <w:jc w:val="center"/>
            </w:pPr>
            <w:r>
              <w:rPr>
                <w:rFonts w:ascii="Times New Roman" w:hAnsi="Times New Roman"/>
              </w:rPr>
              <w:t>Medium Confidence (40–70%)</w:t>
            </w:r>
          </w:p>
        </w:tc>
        <w:tc>
          <w:tcPr>
            <w:tcW w:w="2890" w:type="dxa"/>
          </w:tcPr>
          <w:p w14:paraId="7DA89C80" w14:textId="77777777" w:rsidR="003B729E" w:rsidRDefault="00000000">
            <w:pPr>
              <w:jc w:val="center"/>
            </w:pPr>
            <w:r>
              <w:rPr>
                <w:rFonts w:ascii="Times New Roman" w:hAnsi="Times New Roman"/>
              </w:rPr>
              <w:t>HSL(38, 92%, 50%)</w:t>
            </w:r>
          </w:p>
        </w:tc>
        <w:tc>
          <w:tcPr>
            <w:tcW w:w="2890" w:type="dxa"/>
          </w:tcPr>
          <w:p w14:paraId="4888CDAA" w14:textId="77777777" w:rsidR="003B729E" w:rsidRDefault="00000000">
            <w:pPr>
              <w:jc w:val="center"/>
            </w:pPr>
            <w:r>
              <w:rPr>
                <w:rFonts w:ascii="Times New Roman" w:hAnsi="Times New Roman"/>
              </w:rPr>
              <w:t>Amber – proceed with caution</w:t>
            </w:r>
          </w:p>
        </w:tc>
      </w:tr>
      <w:tr w:rsidR="003B729E" w14:paraId="3021FB4B" w14:textId="77777777">
        <w:tc>
          <w:tcPr>
            <w:tcW w:w="2890" w:type="dxa"/>
          </w:tcPr>
          <w:p w14:paraId="0F320F1A" w14:textId="77777777" w:rsidR="003B729E" w:rsidRDefault="00000000">
            <w:pPr>
              <w:jc w:val="center"/>
            </w:pPr>
            <w:r>
              <w:rPr>
                <w:rFonts w:ascii="Times New Roman" w:hAnsi="Times New Roman"/>
              </w:rPr>
              <w:t>Low Confidence (&lt; 40%)</w:t>
            </w:r>
          </w:p>
        </w:tc>
        <w:tc>
          <w:tcPr>
            <w:tcW w:w="2890" w:type="dxa"/>
          </w:tcPr>
          <w:p w14:paraId="0E7A07BA" w14:textId="77777777" w:rsidR="003B729E" w:rsidRDefault="00000000">
            <w:pPr>
              <w:jc w:val="center"/>
            </w:pPr>
            <w:r>
              <w:rPr>
                <w:rFonts w:ascii="Times New Roman" w:hAnsi="Times New Roman"/>
              </w:rPr>
              <w:t>HSL(0, 84%, 60%)</w:t>
            </w:r>
          </w:p>
        </w:tc>
        <w:tc>
          <w:tcPr>
            <w:tcW w:w="2890" w:type="dxa"/>
          </w:tcPr>
          <w:p w14:paraId="7A8735A5" w14:textId="77777777" w:rsidR="003B729E" w:rsidRDefault="00000000">
            <w:pPr>
              <w:jc w:val="center"/>
            </w:pPr>
            <w:r>
              <w:rPr>
                <w:rFonts w:ascii="Times New Roman" w:hAnsi="Times New Roman"/>
              </w:rPr>
              <w:t>Muted red – uncertainty warning</w:t>
            </w:r>
          </w:p>
        </w:tc>
      </w:tr>
      <w:tr w:rsidR="003B729E" w14:paraId="17CC39D9" w14:textId="77777777">
        <w:tc>
          <w:tcPr>
            <w:tcW w:w="2890" w:type="dxa"/>
          </w:tcPr>
          <w:p w14:paraId="22B24BEE" w14:textId="77777777" w:rsidR="003B729E" w:rsidRDefault="00000000">
            <w:pPr>
              <w:jc w:val="center"/>
            </w:pPr>
            <w:r>
              <w:rPr>
                <w:rFonts w:ascii="Times New Roman" w:hAnsi="Times New Roman"/>
              </w:rPr>
              <w:t>Emergency State</w:t>
            </w:r>
          </w:p>
        </w:tc>
        <w:tc>
          <w:tcPr>
            <w:tcW w:w="2890" w:type="dxa"/>
          </w:tcPr>
          <w:p w14:paraId="2D17C194" w14:textId="77777777" w:rsidR="003B729E" w:rsidRDefault="00000000">
            <w:pPr>
              <w:jc w:val="center"/>
            </w:pPr>
            <w:r>
              <w:rPr>
                <w:rFonts w:ascii="Times New Roman" w:hAnsi="Times New Roman"/>
              </w:rPr>
              <w:t>HSL(0, 90%, 45%) solid</w:t>
            </w:r>
          </w:p>
        </w:tc>
        <w:tc>
          <w:tcPr>
            <w:tcW w:w="2890" w:type="dxa"/>
          </w:tcPr>
          <w:p w14:paraId="036A159F" w14:textId="77777777" w:rsidR="003B729E" w:rsidRDefault="00000000">
            <w:pPr>
              <w:jc w:val="center"/>
            </w:pPr>
            <w:r>
              <w:rPr>
                <w:rFonts w:ascii="Times New Roman" w:hAnsi="Times New Roman"/>
              </w:rPr>
              <w:t>High-contrast red – urgent action</w:t>
            </w:r>
          </w:p>
        </w:tc>
      </w:tr>
    </w:tbl>
    <w:p w14:paraId="10D3FF72" w14:textId="77777777" w:rsidR="003B729E" w:rsidRDefault="003B729E">
      <w:pPr>
        <w:spacing w:after="40" w:line="360" w:lineRule="exact"/>
        <w:jc w:val="both"/>
      </w:pPr>
    </w:p>
    <w:p w14:paraId="2FFB6213" w14:textId="77777777" w:rsidR="003B729E" w:rsidRDefault="00000000">
      <w:pPr>
        <w:spacing w:before="80" w:after="240"/>
        <w:jc w:val="center"/>
      </w:pPr>
      <w:r>
        <w:rPr>
          <w:rFonts w:ascii="Times New Roman" w:hAnsi="Times New Roman"/>
          <w:i/>
        </w:rPr>
        <w:t>Table 8.1 – Severity-Aware Colour System</w:t>
      </w:r>
    </w:p>
    <w:p w14:paraId="59EE4C71" w14:textId="77777777" w:rsidR="003B729E" w:rsidRDefault="00000000">
      <w:pPr>
        <w:spacing w:before="280" w:after="80" w:line="360" w:lineRule="exact"/>
      </w:pPr>
      <w:r>
        <w:rPr>
          <w:rFonts w:ascii="Times New Roman" w:hAnsi="Times New Roman"/>
          <w:b/>
          <w:sz w:val="26"/>
        </w:rPr>
        <w:t>8.3  Interaction States and UI Modes</w:t>
      </w:r>
    </w:p>
    <w:p w14:paraId="25F76737" w14:textId="77777777" w:rsidR="003B729E" w:rsidRDefault="00000000">
      <w:pPr>
        <w:spacing w:before="200" w:after="60" w:line="360" w:lineRule="exact"/>
      </w:pPr>
      <w:r>
        <w:rPr>
          <w:rFonts w:ascii="Times New Roman" w:hAnsi="Times New Roman"/>
          <w:b/>
          <w:i/>
          <w:sz w:val="24"/>
        </w:rPr>
        <w:t>8.3.1  Standard Prediction Mode</w:t>
      </w:r>
    </w:p>
    <w:p w14:paraId="1F3F6C7E" w14:textId="77777777" w:rsidR="003B729E" w:rsidRDefault="00000000">
      <w:pPr>
        <w:spacing w:after="160" w:line="360" w:lineRule="exact"/>
        <w:ind w:firstLine="432"/>
        <w:jc w:val="both"/>
      </w:pPr>
      <w:r>
        <w:rPr>
          <w:rFonts w:ascii="Times New Roman" w:hAnsi="Times New Roman"/>
          <w:sz w:val="24"/>
        </w:rPr>
        <w:t>In the standard prediction state, the interface displays the user's input at the top of a chat-style layout, followed by a response panel containing the top-K prediction cards. Each card shows: the disease name in 14pt bold; a human-friendly translated description in 11pt regular text; a horizontal confidence bar whose fill colour corresponds to the severity palette; the consistency rating badge (HIGH / UNKNOWN / LOW); and a severity chip (Mild / Moderate / Severe) derived from a curated severity mapping. Below the cards, a home care guidance section provides condition-specific self-care instructions for the top prediction, generated from the home_care.py recommendation module.</w:t>
      </w:r>
    </w:p>
    <w:p w14:paraId="5F31EA80" w14:textId="77777777" w:rsidR="003B729E" w:rsidRDefault="00000000">
      <w:pPr>
        <w:spacing w:before="200" w:after="60" w:line="360" w:lineRule="exact"/>
      </w:pPr>
      <w:r>
        <w:rPr>
          <w:rFonts w:ascii="Times New Roman" w:hAnsi="Times New Roman"/>
          <w:b/>
          <w:i/>
          <w:sz w:val="24"/>
        </w:rPr>
        <w:t>8.3.2  Emergency Escalation Mode</w:t>
      </w:r>
    </w:p>
    <w:p w14:paraId="18FE0A57" w14:textId="77777777" w:rsidR="003B729E" w:rsidRDefault="00000000">
      <w:pPr>
        <w:spacing w:after="160" w:line="360" w:lineRule="exact"/>
        <w:ind w:firstLine="432"/>
        <w:jc w:val="both"/>
      </w:pPr>
      <w:r>
        <w:rPr>
          <w:rFonts w:ascii="Times New Roman" w:hAnsi="Times New Roman"/>
          <w:sz w:val="24"/>
        </w:rPr>
        <w:t>When the Emergency Override Layer triggers, the prediction cards are entirely replaced by a full-width emergency banner. The banner uses a solid red background with white text and displays three elements: the detected emergency category (e.g. 'Neurological Emergency'), the urgency message instructing immediate medical attention, and a disclaimer that the system cannot assess the severity of the condition and that calling emergency services or visiting the nearest hospital immediately is strongly advised. The glassmorphism styling is intentionally discarded in this state—the design priority shifts from aesthetic consistency to maximum visual salience.</w:t>
      </w:r>
    </w:p>
    <w:p w14:paraId="64DF7D46" w14:textId="77777777" w:rsidR="003B729E" w:rsidRDefault="00000000">
      <w:pPr>
        <w:spacing w:before="200" w:after="60" w:line="360" w:lineRule="exact"/>
      </w:pPr>
      <w:r>
        <w:rPr>
          <w:rFonts w:ascii="Times New Roman" w:hAnsi="Times New Roman"/>
          <w:b/>
          <w:i/>
          <w:sz w:val="24"/>
        </w:rPr>
        <w:t>8.3.3  Uncertainty Warning Mode</w:t>
      </w:r>
    </w:p>
    <w:p w14:paraId="6CD5E62E" w14:textId="77777777" w:rsidR="003B729E" w:rsidRDefault="00000000">
      <w:pPr>
        <w:spacing w:after="160" w:line="360" w:lineRule="exact"/>
        <w:ind w:firstLine="432"/>
        <w:jc w:val="both"/>
      </w:pPr>
      <w:r>
        <w:rPr>
          <w:rFonts w:ascii="Times New Roman" w:hAnsi="Times New Roman"/>
          <w:sz w:val="24"/>
        </w:rPr>
        <w:t xml:space="preserve">When uncertainty thresholds are exceeded, a yellow advisory banner is displayed above the prediction cards. The banner reads: 'The symptom description is ambiguous. Multiple conditions are equally plausible. Please consult a qualified healthcare professional for an accurate assessment.' The prediction cards remain visible so the user </w:t>
      </w:r>
      <w:r>
        <w:rPr>
          <w:rFonts w:ascii="Times New Roman" w:hAnsi="Times New Roman"/>
          <w:sz w:val="24"/>
        </w:rPr>
        <w:lastRenderedPageBreak/>
        <w:t>has some guidance, but the warning makes explicit that the system's confidence in this particular case is limited.</w:t>
      </w:r>
    </w:p>
    <w:p w14:paraId="64EC674C" w14:textId="77777777" w:rsidR="003B729E" w:rsidRDefault="00000000">
      <w:pPr>
        <w:spacing w:before="280" w:after="80" w:line="360" w:lineRule="exact"/>
      </w:pPr>
      <w:r>
        <w:rPr>
          <w:rFonts w:ascii="Times New Roman" w:hAnsi="Times New Roman"/>
          <w:b/>
          <w:sz w:val="26"/>
        </w:rPr>
        <w:t>8.4  Confidence Normalisation Display</w:t>
      </w:r>
    </w:p>
    <w:p w14:paraId="5C43C0B9" w14:textId="77777777" w:rsidR="003B729E" w:rsidRDefault="00000000">
      <w:pPr>
        <w:spacing w:after="160" w:line="360" w:lineRule="exact"/>
        <w:ind w:firstLine="432"/>
        <w:jc w:val="both"/>
      </w:pPr>
      <w:r>
        <w:rPr>
          <w:rFonts w:ascii="Times New Roman" w:hAnsi="Times New Roman"/>
          <w:sz w:val="24"/>
        </w:rPr>
        <w:t>The raw softmax probability scores from the Logistic Regression model are normalised before display so that the top-K shown predictions sum to 100%. This is done using the confidence_formatter.py utility module. The rationale is partly cosmetic—it avoids displaying confusing fractional values like '12.3%, 8.7%, 6.1%' for a three-way ambiguous case—but more importantly it provides the user with a meaningful relative comparison between the displayed options rather than an absolute probability score that few non-technical users would correctly interpret.</w:t>
      </w:r>
    </w:p>
    <w:p w14:paraId="2E456B8D" w14:textId="77777777" w:rsidR="003B729E" w:rsidRDefault="00000000">
      <w:r>
        <w:br w:type="page"/>
      </w:r>
    </w:p>
    <w:p w14:paraId="383BBABE" w14:textId="77777777" w:rsidR="003B729E" w:rsidRDefault="00000000">
      <w:pPr>
        <w:spacing w:after="120" w:line="400" w:lineRule="exact"/>
      </w:pPr>
      <w:r>
        <w:rPr>
          <w:rFonts w:ascii="Times New Roman" w:hAnsi="Times New Roman"/>
          <w:b/>
          <w:sz w:val="32"/>
          <w:u w:val="single"/>
        </w:rPr>
        <w:lastRenderedPageBreak/>
        <w:t>Chapter 9: Implementation Details</w:t>
      </w:r>
    </w:p>
    <w:p w14:paraId="6677DF8A" w14:textId="77777777" w:rsidR="003B729E" w:rsidRDefault="003B729E">
      <w:pPr>
        <w:pBdr>
          <w:bottom w:val="single" w:sz="6" w:space="1" w:color="4472C4"/>
        </w:pBdr>
      </w:pPr>
    </w:p>
    <w:p w14:paraId="1FC7AD24" w14:textId="77777777" w:rsidR="003B729E" w:rsidRDefault="00000000">
      <w:pPr>
        <w:spacing w:before="120" w:after="80" w:line="360" w:lineRule="exact"/>
      </w:pPr>
      <w:r>
        <w:rPr>
          <w:rFonts w:ascii="Times New Roman" w:hAnsi="Times New Roman"/>
          <w:b/>
          <w:sz w:val="26"/>
        </w:rPr>
        <w:t>9.1  Project Structure</w:t>
      </w:r>
    </w:p>
    <w:p w14:paraId="4A4A0928" w14:textId="77777777" w:rsidR="003B729E" w:rsidRDefault="00000000">
      <w:pPr>
        <w:spacing w:after="160" w:line="360" w:lineRule="exact"/>
        <w:ind w:firstLine="432"/>
        <w:jc w:val="both"/>
      </w:pPr>
      <w:r>
        <w:rPr>
          <w:rFonts w:ascii="Times New Roman" w:hAnsi="Times New Roman"/>
          <w:sz w:val="24"/>
        </w:rPr>
        <w:t>The project follows a modular, research-oriented directory structure designed to separate concerns cleanly across the ML pipeline, safety systems, frontend, and evaluation components. The key directories and their roles are:</w:t>
      </w:r>
    </w:p>
    <w:p w14:paraId="154E1D86" w14:textId="77777777" w:rsidR="003B729E" w:rsidRDefault="00000000">
      <w:pPr>
        <w:spacing w:before="80" w:after="80"/>
        <w:ind w:left="576"/>
      </w:pPr>
      <w:r>
        <w:rPr>
          <w:rFonts w:ascii="Courier New" w:hAnsi="Courier New"/>
          <w:sz w:val="19"/>
        </w:rPr>
        <w:t>MediAssist/</w:t>
      </w:r>
      <w:r>
        <w:rPr>
          <w:rFonts w:ascii="Courier New" w:hAnsi="Courier New"/>
          <w:sz w:val="19"/>
        </w:rPr>
        <w:br/>
        <w:t>├── src/</w:t>
      </w:r>
      <w:r>
        <w:rPr>
          <w:rFonts w:ascii="Courier New" w:hAnsi="Courier New"/>
          <w:sz w:val="19"/>
        </w:rPr>
        <w:br/>
        <w:t>│   ├── models/classical_ml/     # Training, inference, benchmarking</w:t>
      </w:r>
      <w:r>
        <w:rPr>
          <w:rFonts w:ascii="Courier New" w:hAnsi="Courier New"/>
          <w:sz w:val="19"/>
        </w:rPr>
        <w:br/>
        <w:t>│   ├── safety/                  # EmergencyRuleEngine, MedicalConsistencyValidator</w:t>
      </w:r>
      <w:r>
        <w:rPr>
          <w:rFonts w:ascii="Courier New" w:hAnsi="Courier New"/>
          <w:sz w:val="19"/>
        </w:rPr>
        <w:br/>
        <w:t>│   ├── conversational/          # ConversationManager, FollowupEngine, IntentDetector</w:t>
      </w:r>
      <w:r>
        <w:rPr>
          <w:rFonts w:ascii="Courier New" w:hAnsi="Courier New"/>
          <w:sz w:val="19"/>
        </w:rPr>
        <w:br/>
        <w:t>│   ├── frontend/                # Streamlit app, CSS styles, UI components</w:t>
      </w:r>
      <w:r>
        <w:rPr>
          <w:rFonts w:ascii="Courier New" w:hAnsi="Courier New"/>
          <w:sz w:val="19"/>
        </w:rPr>
        <w:br/>
        <w:t>│   ├── recommendation/          # HomeCare guidance module</w:t>
      </w:r>
      <w:r>
        <w:rPr>
          <w:rFonts w:ascii="Courier New" w:hAnsi="Courier New"/>
          <w:sz w:val="19"/>
        </w:rPr>
        <w:br/>
        <w:t>│   └── evaluation/              # Advanced report generation scripts</w:t>
      </w:r>
      <w:r>
        <w:rPr>
          <w:rFonts w:ascii="Courier New" w:hAnsi="Courier New"/>
          <w:sz w:val="19"/>
        </w:rPr>
        <w:br/>
        <w:t>├── data/</w:t>
      </w:r>
      <w:r>
        <w:rPr>
          <w:rFonts w:ascii="Courier New" w:hAnsi="Courier New"/>
          <w:sz w:val="19"/>
        </w:rPr>
        <w:br/>
        <w:t>│   ├── raw/                     # Original datasets (gitignored)</w:t>
      </w:r>
      <w:r>
        <w:rPr>
          <w:rFonts w:ascii="Courier New" w:hAnsi="Courier New"/>
          <w:sz w:val="19"/>
        </w:rPr>
        <w:br/>
        <w:t>│   └── processed/ml/ bert/      # Cleaned, split, vectorised data</w:t>
      </w:r>
      <w:r>
        <w:rPr>
          <w:rFonts w:ascii="Courier New" w:hAnsi="Courier New"/>
          <w:sz w:val="19"/>
        </w:rPr>
        <w:br/>
        <w:t>├── models/classical/            # Saved .pkl model files (gitignored)</w:t>
      </w:r>
      <w:r>
        <w:rPr>
          <w:rFonts w:ascii="Courier New" w:hAnsi="Courier New"/>
          <w:sz w:val="19"/>
        </w:rPr>
        <w:br/>
        <w:t>├── reports/</w:t>
      </w:r>
      <w:r>
        <w:rPr>
          <w:rFonts w:ascii="Courier New" w:hAnsi="Courier New"/>
          <w:sz w:val="19"/>
        </w:rPr>
        <w:br/>
        <w:t>│   ├── figures/                 # All evaluation charts and heatmaps</w:t>
      </w:r>
      <w:r>
        <w:rPr>
          <w:rFonts w:ascii="Courier New" w:hAnsi="Courier New"/>
          <w:sz w:val="19"/>
        </w:rPr>
        <w:br/>
        <w:t>│   ├── model_benchmarks/        # Leaderboard CSV, best model summary</w:t>
      </w:r>
      <w:r>
        <w:rPr>
          <w:rFonts w:ascii="Courier New" w:hAnsi="Courier New"/>
          <w:sz w:val="19"/>
        </w:rPr>
        <w:br/>
        <w:t>│   ├── analysis/                # Confused pairs, hardest classes</w:t>
      </w:r>
      <w:r>
        <w:rPr>
          <w:rFonts w:ascii="Courier New" w:hAnsi="Courier New"/>
          <w:sz w:val="19"/>
        </w:rPr>
        <w:br/>
        <w:t>│   └── tables/                  # Final evaluation markdown/CSV</w:t>
      </w:r>
      <w:r>
        <w:rPr>
          <w:rFonts w:ascii="Courier New" w:hAnsi="Courier New"/>
          <w:sz w:val="19"/>
        </w:rPr>
        <w:br/>
        <w:t>├── scripts/                     # Validation runner, figure generators</w:t>
      </w:r>
      <w:r>
        <w:rPr>
          <w:rFonts w:ascii="Courier New" w:hAnsi="Courier New"/>
          <w:sz w:val="19"/>
        </w:rPr>
        <w:br/>
        <w:t>├── tests/                       # 480-case test suite, safety tests</w:t>
      </w:r>
      <w:r>
        <w:rPr>
          <w:rFonts w:ascii="Courier New" w:hAnsi="Courier New"/>
          <w:sz w:val="19"/>
        </w:rPr>
        <w:br/>
        <w:t>├── notebooks/04_classical_ml/   # Experiment notebooks</w:t>
      </w:r>
      <w:r>
        <w:rPr>
          <w:rFonts w:ascii="Courier New" w:hAnsi="Courier New"/>
          <w:sz w:val="19"/>
        </w:rPr>
        <w:br/>
        <w:t>└── logs/safety/                 # Emergency override and consistency logs</w:t>
      </w:r>
    </w:p>
    <w:p w14:paraId="70CF56EC" w14:textId="77777777" w:rsidR="003B729E" w:rsidRDefault="00000000">
      <w:pPr>
        <w:spacing w:before="280" w:after="80" w:line="360" w:lineRule="exact"/>
      </w:pPr>
      <w:r>
        <w:rPr>
          <w:rFonts w:ascii="Times New Roman" w:hAnsi="Times New Roman"/>
          <w:b/>
          <w:sz w:val="26"/>
        </w:rPr>
        <w:t>9.2  Backend Modules</w:t>
      </w:r>
    </w:p>
    <w:p w14:paraId="5D46933E" w14:textId="77777777" w:rsidR="003B729E" w:rsidRDefault="00000000">
      <w:pPr>
        <w:spacing w:before="200" w:after="60" w:line="360" w:lineRule="exact"/>
      </w:pPr>
      <w:r>
        <w:rPr>
          <w:rFonts w:ascii="Times New Roman" w:hAnsi="Times New Roman"/>
          <w:b/>
          <w:i/>
          <w:sz w:val="24"/>
        </w:rPr>
        <w:t>9.2.1  src/models/classical_ml/predict.py – ClassicalInferencePipeline</w:t>
      </w:r>
    </w:p>
    <w:p w14:paraId="778BA6EF" w14:textId="77777777" w:rsidR="003B729E" w:rsidRDefault="00000000">
      <w:pPr>
        <w:spacing w:after="160" w:line="360" w:lineRule="exact"/>
        <w:ind w:firstLine="432"/>
        <w:jc w:val="both"/>
      </w:pPr>
      <w:r>
        <w:rPr>
          <w:rFonts w:ascii="Times New Roman" w:hAnsi="Times New Roman"/>
          <w:sz w:val="24"/>
        </w:rPr>
        <w:t>This module loads the fitted TF-IDF vectoriser and Logistic Regression classifier from disk and exposes a predict(text, top_k=3) method. Internally it calls vectoriser.transform([text]) followed by model.predict_proba(vector), extracts the top-K indices by descending probability, and returns a list of dictionaries containing the disease name, normalised confidence score, original probability, and the rank. The module also computes the Shannon entropy and confidence gap as uncertainty signals and returns them alongside the predictions.</w:t>
      </w:r>
    </w:p>
    <w:p w14:paraId="439010DD" w14:textId="77777777" w:rsidR="003B729E" w:rsidRDefault="00000000">
      <w:pPr>
        <w:spacing w:before="200" w:after="60" w:line="360" w:lineRule="exact"/>
      </w:pPr>
      <w:r>
        <w:rPr>
          <w:rFonts w:ascii="Times New Roman" w:hAnsi="Times New Roman"/>
          <w:b/>
          <w:i/>
          <w:sz w:val="24"/>
        </w:rPr>
        <w:t>9.2.2  src/conversational/conversation_manager.py – ConversationManager</w:t>
      </w:r>
    </w:p>
    <w:p w14:paraId="08E3D9D0" w14:textId="77777777" w:rsidR="003B729E" w:rsidRDefault="00000000">
      <w:pPr>
        <w:spacing w:after="160" w:line="360" w:lineRule="exact"/>
        <w:ind w:firstLine="432"/>
        <w:jc w:val="both"/>
      </w:pPr>
      <w:r>
        <w:rPr>
          <w:rFonts w:ascii="Times New Roman" w:hAnsi="Times New Roman"/>
          <w:sz w:val="24"/>
        </w:rPr>
        <w:lastRenderedPageBreak/>
        <w:t>This is the central orchestrator of the application. Its handle_message() method implements the full pipeline: first calling the EmergencyRuleEngine, then optionally calling ClassicalInferencePipeline, then calling MedicalConsistencyValidator, and finally storing results in the manager's state attributes (latest_predictions, latest_consistency_data, latest_flag_unreliable). The Streamlit frontend reads these state attributes to determine which UI mode to render. This decoupling of business logic from presentation is intentional and allows the backend to be tested independently of the Streamlit runtime.</w:t>
      </w:r>
    </w:p>
    <w:p w14:paraId="2827A6C7" w14:textId="77777777" w:rsidR="003B729E" w:rsidRDefault="00000000">
      <w:pPr>
        <w:spacing w:before="200" w:after="60" w:line="360" w:lineRule="exact"/>
      </w:pPr>
      <w:r>
        <w:rPr>
          <w:rFonts w:ascii="Times New Roman" w:hAnsi="Times New Roman"/>
          <w:b/>
          <w:i/>
          <w:sz w:val="24"/>
        </w:rPr>
        <w:t>9.2.3  src/safety/emergency_rules.py – EmergencyRuleEngine</w:t>
      </w:r>
    </w:p>
    <w:p w14:paraId="1435EC33" w14:textId="77777777" w:rsidR="003B729E" w:rsidRDefault="00000000">
      <w:pPr>
        <w:spacing w:after="160" w:line="360" w:lineRule="exact"/>
        <w:ind w:firstLine="432"/>
        <w:jc w:val="both"/>
      </w:pPr>
      <w:r>
        <w:rPr>
          <w:rFonts w:ascii="Times New Roman" w:hAnsi="Times New Roman"/>
          <w:sz w:val="24"/>
        </w:rPr>
        <w:t>Implements the deterministic pre-ML safety gate. Maintains the EMERGENCY_KEYWORDS dictionary as a class attribute for efficient access. All emergency overrides are logged as structured JSON to logs/safety/emergency_overrides.log using Python's standard logging module configured with a FileHandler and JSON formatting.</w:t>
      </w:r>
    </w:p>
    <w:p w14:paraId="73B31413" w14:textId="77777777" w:rsidR="003B729E" w:rsidRDefault="00000000">
      <w:pPr>
        <w:spacing w:before="200" w:after="60" w:line="360" w:lineRule="exact"/>
      </w:pPr>
      <w:r>
        <w:rPr>
          <w:rFonts w:ascii="Times New Roman" w:hAnsi="Times New Roman"/>
          <w:b/>
          <w:i/>
          <w:sz w:val="24"/>
        </w:rPr>
        <w:t>9.2.4  src/safety/medical_consistency.py – MedicalConsistencyValidator</w:t>
      </w:r>
    </w:p>
    <w:p w14:paraId="38161BE8" w14:textId="77777777" w:rsidR="003B729E" w:rsidRDefault="00000000">
      <w:pPr>
        <w:spacing w:after="160" w:line="360" w:lineRule="exact"/>
        <w:ind w:firstLine="432"/>
        <w:jc w:val="both"/>
      </w:pPr>
      <w:r>
        <w:rPr>
          <w:rFonts w:ascii="Times New Roman" w:hAnsi="Times New Roman"/>
          <w:sz w:val="24"/>
        </w:rPr>
        <w:t>Loads disease_categories.json at initialisation. The validate_and_rerank() method applies the three-tier penalty scheme and returns a dictionary containing the reranked predictions, detected symptom categories, reasoning log, and re-ranking changes. Every invocation is logged to logs/safety/medical_consistency.log for audit purposes.</w:t>
      </w:r>
    </w:p>
    <w:p w14:paraId="433968A0" w14:textId="77777777" w:rsidR="003B729E" w:rsidRDefault="00000000">
      <w:pPr>
        <w:spacing w:before="200" w:after="60" w:line="360" w:lineRule="exact"/>
      </w:pPr>
      <w:r>
        <w:rPr>
          <w:rFonts w:ascii="Times New Roman" w:hAnsi="Times New Roman"/>
          <w:b/>
          <w:i/>
          <w:sz w:val="24"/>
        </w:rPr>
        <w:t>9.2.5  src/recommendation/home_care.py – HomeCareRecommender</w:t>
      </w:r>
    </w:p>
    <w:p w14:paraId="0C6F97B2" w14:textId="77777777" w:rsidR="003B729E" w:rsidRDefault="00000000">
      <w:pPr>
        <w:spacing w:after="160" w:line="360" w:lineRule="exact"/>
        <w:ind w:firstLine="432"/>
        <w:jc w:val="both"/>
      </w:pPr>
      <w:r>
        <w:rPr>
          <w:rFonts w:ascii="Times New Roman" w:hAnsi="Times New Roman"/>
          <w:sz w:val="24"/>
        </w:rPr>
        <w:t>Maps disease names to curated home care guidance using a dictionary-based lookup. For 120+ common conditions it provides specific recommendations (e.g. hydration, rest, when to seek further care). For unmapped conditions it returns a generic 'consult a healthcare professional' response, ensuring no user ever receives an empty recommendation section.</w:t>
      </w:r>
    </w:p>
    <w:p w14:paraId="301B4BC6" w14:textId="77777777" w:rsidR="003B729E" w:rsidRDefault="00000000">
      <w:pPr>
        <w:spacing w:before="280" w:after="80" w:line="360" w:lineRule="exact"/>
      </w:pPr>
      <w:r>
        <w:rPr>
          <w:rFonts w:ascii="Times New Roman" w:hAnsi="Times New Roman"/>
          <w:b/>
          <w:sz w:val="26"/>
        </w:rPr>
        <w:t>9.3  Key Engineering Decisions and Tradeoffs</w:t>
      </w:r>
    </w:p>
    <w:p w14:paraId="2236C90B" w14:textId="77777777" w:rsidR="003B729E" w:rsidRDefault="00000000">
      <w:pPr>
        <w:spacing w:before="200" w:after="60" w:line="360" w:lineRule="exact"/>
      </w:pPr>
      <w:r>
        <w:rPr>
          <w:rFonts w:ascii="Times New Roman" w:hAnsi="Times New Roman"/>
          <w:b/>
          <w:i/>
          <w:sz w:val="24"/>
        </w:rPr>
        <w:t>Stateless Safety Modules</w:t>
      </w:r>
    </w:p>
    <w:p w14:paraId="2ACB63DE" w14:textId="77777777" w:rsidR="003B729E" w:rsidRDefault="00000000">
      <w:pPr>
        <w:spacing w:after="160" w:line="360" w:lineRule="exact"/>
        <w:ind w:firstLine="432"/>
        <w:jc w:val="both"/>
      </w:pPr>
      <w:r>
        <w:rPr>
          <w:rFonts w:ascii="Times New Roman" w:hAnsi="Times New Roman"/>
          <w:sz w:val="24"/>
        </w:rPr>
        <w:t>The EmergencyRuleEngine and MedicalConsistencyValidator are stateless. This means they can be instantiated once and reused across all requests without risk of state contamination between sessions—an important property for concurrent Streamlit deployments.</w:t>
      </w:r>
    </w:p>
    <w:p w14:paraId="57C31051" w14:textId="77777777" w:rsidR="003B729E" w:rsidRDefault="00000000">
      <w:pPr>
        <w:spacing w:before="200" w:after="60" w:line="360" w:lineRule="exact"/>
      </w:pPr>
      <w:r>
        <w:rPr>
          <w:rFonts w:ascii="Times New Roman" w:hAnsi="Times New Roman"/>
          <w:b/>
          <w:i/>
          <w:sz w:val="24"/>
        </w:rPr>
        <w:t>ConversationManager Per-Request Reset</w:t>
      </w:r>
    </w:p>
    <w:p w14:paraId="7155D701" w14:textId="77777777" w:rsidR="003B729E" w:rsidRDefault="00000000">
      <w:pPr>
        <w:spacing w:after="160" w:line="360" w:lineRule="exact"/>
        <w:ind w:firstLine="432"/>
        <w:jc w:val="both"/>
      </w:pPr>
      <w:r>
        <w:rPr>
          <w:rFonts w:ascii="Times New Roman" w:hAnsi="Times New Roman"/>
          <w:sz w:val="24"/>
        </w:rPr>
        <w:lastRenderedPageBreak/>
        <w:t>In the validation script, a new ConversationManager is instantiated for each test case. This ensures complete isolation between test inputs and prevents chat history from contaminating subsequent predictions.</w:t>
      </w:r>
    </w:p>
    <w:p w14:paraId="05262A91" w14:textId="77777777" w:rsidR="003B729E" w:rsidRDefault="00000000">
      <w:pPr>
        <w:spacing w:before="200" w:after="60" w:line="360" w:lineRule="exact"/>
      </w:pPr>
      <w:r>
        <w:rPr>
          <w:rFonts w:ascii="Times New Roman" w:hAnsi="Times New Roman"/>
          <w:b/>
          <w:i/>
          <w:sz w:val="24"/>
        </w:rPr>
        <w:t>JSON Logging for Explainability</w:t>
      </w:r>
    </w:p>
    <w:p w14:paraId="243BB10D" w14:textId="77777777" w:rsidR="003B729E" w:rsidRDefault="00000000">
      <w:pPr>
        <w:spacing w:after="160" w:line="360" w:lineRule="exact"/>
        <w:ind w:firstLine="432"/>
        <w:jc w:val="both"/>
      </w:pPr>
      <w:r>
        <w:rPr>
          <w:rFonts w:ascii="Times New Roman" w:hAnsi="Times New Roman"/>
          <w:sz w:val="24"/>
        </w:rPr>
        <w:t>All safety decisions are logged as structured JSON rather than plain text. This allows log entries to be programmatically queried and aggregated, supporting the generation of the safety analysis reports in Chapter 10.</w:t>
      </w:r>
    </w:p>
    <w:p w14:paraId="2104184A" w14:textId="77777777" w:rsidR="003B729E" w:rsidRDefault="00000000">
      <w:pPr>
        <w:spacing w:before="200" w:after="60" w:line="360" w:lineRule="exact"/>
      </w:pPr>
      <w:r>
        <w:rPr>
          <w:rFonts w:ascii="Times New Roman" w:hAnsi="Times New Roman"/>
          <w:b/>
          <w:i/>
          <w:sz w:val="24"/>
        </w:rPr>
        <w:t>Gitignored Models and Data</w:t>
      </w:r>
    </w:p>
    <w:p w14:paraId="35249D2F" w14:textId="77777777" w:rsidR="003B729E" w:rsidRDefault="00000000">
      <w:pPr>
        <w:spacing w:after="160" w:line="360" w:lineRule="exact"/>
        <w:ind w:firstLine="432"/>
        <w:jc w:val="both"/>
      </w:pPr>
      <w:r>
        <w:rPr>
          <w:rFonts w:ascii="Times New Roman" w:hAnsi="Times New Roman"/>
          <w:sz w:val="24"/>
        </w:rPr>
        <w:t>The trained model files (.pkl) and raw datasets are excluded from version control via .gitignore. This keeps the repository size manageable and prevents accidental publication of large binary files. The models directory was 9.7 GB at peak (primarily the Random Forest classifier), which was subsequently removed as the Logistic Regression model was identified as the superior choice.</w:t>
      </w:r>
    </w:p>
    <w:p w14:paraId="58AEE6CB" w14:textId="77777777" w:rsidR="003B729E" w:rsidRDefault="00000000">
      <w:r>
        <w:br w:type="page"/>
      </w:r>
    </w:p>
    <w:p w14:paraId="48D8E7F7" w14:textId="77777777" w:rsidR="003B729E" w:rsidRDefault="00000000">
      <w:pPr>
        <w:spacing w:after="120" w:line="400" w:lineRule="exact"/>
      </w:pPr>
      <w:r>
        <w:rPr>
          <w:rFonts w:ascii="Times New Roman" w:hAnsi="Times New Roman"/>
          <w:b/>
          <w:sz w:val="32"/>
          <w:u w:val="single"/>
        </w:rPr>
        <w:lastRenderedPageBreak/>
        <w:t>Chapter 10: Testing and Validation</w:t>
      </w:r>
    </w:p>
    <w:p w14:paraId="4447CFFD" w14:textId="77777777" w:rsidR="003B729E" w:rsidRDefault="003B729E">
      <w:pPr>
        <w:pBdr>
          <w:bottom w:val="single" w:sz="6" w:space="1" w:color="4472C4"/>
        </w:pBdr>
      </w:pPr>
    </w:p>
    <w:p w14:paraId="1202EDE9" w14:textId="77777777" w:rsidR="003B729E" w:rsidRDefault="00000000">
      <w:pPr>
        <w:spacing w:after="160" w:line="360" w:lineRule="exact"/>
        <w:jc w:val="both"/>
      </w:pPr>
      <w:r>
        <w:rPr>
          <w:rFonts w:ascii="Times New Roman" w:hAnsi="Times New Roman"/>
          <w:sz w:val="24"/>
        </w:rPr>
        <w:t>Testing for MediAssist AI was conducted at two levels: unit-level safety testing of individual components, and system-level validation using the 500-case research evaluation suite. This chapter documents both levels, presents the key evaluation figures, and discusses the results in context.</w:t>
      </w:r>
    </w:p>
    <w:p w14:paraId="156DC4AF" w14:textId="77777777" w:rsidR="003B729E" w:rsidRDefault="00000000">
      <w:pPr>
        <w:spacing w:before="280" w:after="80" w:line="360" w:lineRule="exact"/>
      </w:pPr>
      <w:r>
        <w:rPr>
          <w:rFonts w:ascii="Times New Roman" w:hAnsi="Times New Roman"/>
          <w:b/>
          <w:sz w:val="26"/>
        </w:rPr>
        <w:t>10.1  Unit-Level Safety Testing</w:t>
      </w:r>
    </w:p>
    <w:p w14:paraId="2F1F3A87" w14:textId="77777777" w:rsidR="003B729E" w:rsidRDefault="00000000">
      <w:pPr>
        <w:spacing w:after="160" w:line="360" w:lineRule="exact"/>
        <w:ind w:firstLine="432"/>
        <w:jc w:val="both"/>
      </w:pPr>
      <w:r>
        <w:rPr>
          <w:rFonts w:ascii="Times New Roman" w:hAnsi="Times New Roman"/>
          <w:sz w:val="24"/>
        </w:rPr>
        <w:t>The tests/test_safety.py module contains 113 unit tests covering the EmergencyRuleEngine and MedicalConsistencyValidator. Key test categories include:</w:t>
      </w:r>
    </w:p>
    <w:p w14:paraId="5C15156C" w14:textId="77777777" w:rsidR="003B729E" w:rsidRDefault="00000000">
      <w:pPr>
        <w:pStyle w:val="ListBullet"/>
        <w:spacing w:before="40" w:after="40" w:line="320" w:lineRule="exact"/>
        <w:ind w:left="576"/>
      </w:pPr>
      <w:r>
        <w:rPr>
          <w:rFonts w:ascii="Times New Roman" w:hAnsi="Times New Roman"/>
          <w:sz w:val="24"/>
        </w:rPr>
        <w:t>Positive detection: 25 emergency inputs that must trigger escalation, covering all five emergency categories.</w:t>
      </w:r>
    </w:p>
    <w:p w14:paraId="2FE3BBE8" w14:textId="77777777" w:rsidR="003B729E" w:rsidRDefault="00000000">
      <w:pPr>
        <w:pStyle w:val="ListBullet"/>
        <w:spacing w:before="40" w:after="40" w:line="320" w:lineRule="exact"/>
        <w:ind w:left="576"/>
      </w:pPr>
      <w:r>
        <w:rPr>
          <w:rFonts w:ascii="Times New Roman" w:hAnsi="Times New Roman"/>
          <w:sz w:val="24"/>
        </w:rPr>
        <w:t>Negative detection: 40 common symptom inputs that must not trigger emergency escalation (false positive tests).</w:t>
      </w:r>
    </w:p>
    <w:p w14:paraId="4EAC8DCB" w14:textId="77777777" w:rsidR="003B729E" w:rsidRDefault="00000000">
      <w:pPr>
        <w:pStyle w:val="ListBullet"/>
        <w:spacing w:before="40" w:after="40" w:line="320" w:lineRule="exact"/>
        <w:ind w:left="576"/>
      </w:pPr>
      <w:r>
        <w:rPr>
          <w:rFonts w:ascii="Times New Roman" w:hAnsi="Times New Roman"/>
          <w:sz w:val="24"/>
        </w:rPr>
        <w:t>Boundary cases: 20 inputs designed to probe phrase boundary conditions, such as 'I was told I have Bell Palsy' (should NOT trigger stroke detection).</w:t>
      </w:r>
    </w:p>
    <w:p w14:paraId="4CC88EC5" w14:textId="77777777" w:rsidR="003B729E" w:rsidRDefault="00000000">
      <w:pPr>
        <w:pStyle w:val="ListBullet"/>
        <w:spacing w:before="40" w:after="40" w:line="320" w:lineRule="exact"/>
        <w:ind w:left="576"/>
      </w:pPr>
      <w:r>
        <w:rPr>
          <w:rFonts w:ascii="Times New Roman" w:hAnsi="Times New Roman"/>
          <w:sz w:val="24"/>
        </w:rPr>
        <w:t>Consistency penalty tests: 28 prediction/input pairs verifying that the correct penalty tier (HIGH/LOW/UNKNOWN) is assigned.</w:t>
      </w:r>
    </w:p>
    <w:p w14:paraId="4519F63B" w14:textId="77777777" w:rsidR="003B729E" w:rsidRDefault="00000000">
      <w:pPr>
        <w:spacing w:after="160" w:line="360" w:lineRule="exact"/>
        <w:ind w:firstLine="432"/>
        <w:jc w:val="both"/>
      </w:pPr>
      <w:r>
        <w:rPr>
          <w:rFonts w:ascii="Times New Roman" w:hAnsi="Times New Roman"/>
          <w:sz w:val="24"/>
        </w:rPr>
        <w:t>All 113 unit tests pass on the current codebase. The boundary condition tests were particularly important to develop, as early versions of the Emergency Override Layer produced false positives on sentences where emergency phrases appeared in a negated or historical context.</w:t>
      </w:r>
    </w:p>
    <w:p w14:paraId="10080709" w14:textId="77777777" w:rsidR="003B729E" w:rsidRDefault="00000000">
      <w:pPr>
        <w:spacing w:before="280" w:after="80" w:line="360" w:lineRule="exact"/>
      </w:pPr>
      <w:r>
        <w:rPr>
          <w:rFonts w:ascii="Times New Roman" w:hAnsi="Times New Roman"/>
          <w:b/>
          <w:sz w:val="26"/>
        </w:rPr>
        <w:t>10.2  System-Level Validation: 500-Case Suite</w:t>
      </w:r>
    </w:p>
    <w:p w14:paraId="1F029054" w14:textId="77777777" w:rsidR="003B729E" w:rsidRDefault="00000000">
      <w:pPr>
        <w:spacing w:after="160" w:line="360" w:lineRule="exact"/>
        <w:ind w:firstLine="432"/>
        <w:jc w:val="both"/>
      </w:pPr>
      <w:r>
        <w:rPr>
          <w:rFonts w:ascii="Times New Roman" w:hAnsi="Times New Roman"/>
          <w:sz w:val="24"/>
        </w:rPr>
        <w:t>The 500-case validation suite is executed by the scripts/run_final_research_validation.py script, which runs the complete MediAssist AI pipeline on each test case and records the outcome. The validation dataset composition and methodology are described in Section 7.4.</w:t>
      </w:r>
    </w:p>
    <w:p w14:paraId="4067B8DD" w14:textId="77777777" w:rsidR="003B729E" w:rsidRDefault="00000000">
      <w:pPr>
        <w:spacing w:after="120" w:line="360" w:lineRule="exact"/>
        <w:jc w:val="both"/>
      </w:pPr>
      <w:r>
        <w:rPr>
          <w:rFonts w:ascii="Times New Roman" w:hAnsi="Times New Roman"/>
          <w:sz w:val="24"/>
        </w:rPr>
        <w:t>Table 10.1 summarises the final safety metric results from the 500-case validation suite.</w:t>
      </w:r>
    </w:p>
    <w:tbl>
      <w:tblPr>
        <w:tblStyle w:val="TableGrid"/>
        <w:tblW w:w="0" w:type="auto"/>
        <w:tblLook w:val="04A0" w:firstRow="1" w:lastRow="0" w:firstColumn="1" w:lastColumn="0" w:noHBand="0" w:noVBand="1"/>
      </w:tblPr>
      <w:tblGrid>
        <w:gridCol w:w="2167"/>
        <w:gridCol w:w="2167"/>
        <w:gridCol w:w="2167"/>
        <w:gridCol w:w="2167"/>
      </w:tblGrid>
      <w:tr w:rsidR="003B729E" w14:paraId="3F93BA9B" w14:textId="77777777">
        <w:tc>
          <w:tcPr>
            <w:tcW w:w="2167" w:type="dxa"/>
          </w:tcPr>
          <w:p w14:paraId="662BC1A9" w14:textId="77777777" w:rsidR="003B729E" w:rsidRDefault="00000000">
            <w:pPr>
              <w:jc w:val="center"/>
            </w:pPr>
            <w:r>
              <w:rPr>
                <w:rFonts w:ascii="Times New Roman" w:hAnsi="Times New Roman"/>
                <w:b/>
              </w:rPr>
              <w:t>Metric</w:t>
            </w:r>
          </w:p>
        </w:tc>
        <w:tc>
          <w:tcPr>
            <w:tcW w:w="2167" w:type="dxa"/>
          </w:tcPr>
          <w:p w14:paraId="37B16642" w14:textId="77777777" w:rsidR="003B729E" w:rsidRDefault="00000000">
            <w:pPr>
              <w:jc w:val="center"/>
            </w:pPr>
            <w:r>
              <w:rPr>
                <w:rFonts w:ascii="Times New Roman" w:hAnsi="Times New Roman"/>
                <w:b/>
              </w:rPr>
              <w:t>Value</w:t>
            </w:r>
          </w:p>
        </w:tc>
        <w:tc>
          <w:tcPr>
            <w:tcW w:w="2167" w:type="dxa"/>
          </w:tcPr>
          <w:p w14:paraId="2BACC11A" w14:textId="77777777" w:rsidR="003B729E" w:rsidRDefault="00000000">
            <w:pPr>
              <w:jc w:val="center"/>
            </w:pPr>
            <w:r>
              <w:rPr>
                <w:rFonts w:ascii="Times New Roman" w:hAnsi="Times New Roman"/>
                <w:b/>
              </w:rPr>
              <w:t>Target</w:t>
            </w:r>
          </w:p>
        </w:tc>
        <w:tc>
          <w:tcPr>
            <w:tcW w:w="2167" w:type="dxa"/>
          </w:tcPr>
          <w:p w14:paraId="1D78D518" w14:textId="77777777" w:rsidR="003B729E" w:rsidRDefault="00000000">
            <w:pPr>
              <w:jc w:val="center"/>
            </w:pPr>
            <w:r>
              <w:rPr>
                <w:rFonts w:ascii="Times New Roman" w:hAnsi="Times New Roman"/>
                <w:b/>
              </w:rPr>
              <w:t>Status</w:t>
            </w:r>
          </w:p>
        </w:tc>
      </w:tr>
      <w:tr w:rsidR="003B729E" w14:paraId="35C0CC8C" w14:textId="77777777">
        <w:tc>
          <w:tcPr>
            <w:tcW w:w="2167" w:type="dxa"/>
          </w:tcPr>
          <w:p w14:paraId="216AB1B0" w14:textId="77777777" w:rsidR="003B729E" w:rsidRDefault="00000000">
            <w:pPr>
              <w:jc w:val="center"/>
            </w:pPr>
            <w:r>
              <w:rPr>
                <w:rFonts w:ascii="Times New Roman" w:hAnsi="Times New Roman"/>
              </w:rPr>
              <w:t>Emergency Escalation Accuracy (EEA)</w:t>
            </w:r>
          </w:p>
        </w:tc>
        <w:tc>
          <w:tcPr>
            <w:tcW w:w="2167" w:type="dxa"/>
          </w:tcPr>
          <w:p w14:paraId="152F7D90" w14:textId="77777777" w:rsidR="003B729E" w:rsidRDefault="00000000">
            <w:pPr>
              <w:jc w:val="center"/>
            </w:pPr>
            <w:r>
              <w:rPr>
                <w:rFonts w:ascii="Times New Roman" w:hAnsi="Times New Roman"/>
              </w:rPr>
              <w:t>100.00%</w:t>
            </w:r>
          </w:p>
        </w:tc>
        <w:tc>
          <w:tcPr>
            <w:tcW w:w="2167" w:type="dxa"/>
          </w:tcPr>
          <w:p w14:paraId="59F0C1DF" w14:textId="77777777" w:rsidR="003B729E" w:rsidRDefault="00000000">
            <w:pPr>
              <w:jc w:val="center"/>
            </w:pPr>
            <w:r>
              <w:rPr>
                <w:rFonts w:ascii="Times New Roman" w:hAnsi="Times New Roman"/>
              </w:rPr>
              <w:t>&gt; 95%</w:t>
            </w:r>
          </w:p>
        </w:tc>
        <w:tc>
          <w:tcPr>
            <w:tcW w:w="2167" w:type="dxa"/>
          </w:tcPr>
          <w:p w14:paraId="044A6993" w14:textId="77777777" w:rsidR="003B729E" w:rsidRDefault="00000000">
            <w:pPr>
              <w:jc w:val="center"/>
            </w:pPr>
            <w:r>
              <w:rPr>
                <w:rFonts w:ascii="Times New Roman" w:hAnsi="Times New Roman"/>
                <w:color w:val="007000"/>
              </w:rPr>
              <w:t>Passed</w:t>
            </w:r>
          </w:p>
        </w:tc>
      </w:tr>
      <w:tr w:rsidR="003B729E" w14:paraId="1A330672" w14:textId="77777777">
        <w:tc>
          <w:tcPr>
            <w:tcW w:w="2167" w:type="dxa"/>
          </w:tcPr>
          <w:p w14:paraId="4073EDC7" w14:textId="77777777" w:rsidR="003B729E" w:rsidRDefault="00000000">
            <w:pPr>
              <w:jc w:val="center"/>
            </w:pPr>
            <w:r>
              <w:rPr>
                <w:rFonts w:ascii="Times New Roman" w:hAnsi="Times New Roman"/>
              </w:rPr>
              <w:t>Missed Emergency Rate (MER)</w:t>
            </w:r>
          </w:p>
        </w:tc>
        <w:tc>
          <w:tcPr>
            <w:tcW w:w="2167" w:type="dxa"/>
          </w:tcPr>
          <w:p w14:paraId="3A75B9BE" w14:textId="77777777" w:rsidR="003B729E" w:rsidRDefault="00000000">
            <w:pPr>
              <w:jc w:val="center"/>
            </w:pPr>
            <w:r>
              <w:rPr>
                <w:rFonts w:ascii="Times New Roman" w:hAnsi="Times New Roman"/>
              </w:rPr>
              <w:t>0.00%</w:t>
            </w:r>
          </w:p>
        </w:tc>
        <w:tc>
          <w:tcPr>
            <w:tcW w:w="2167" w:type="dxa"/>
          </w:tcPr>
          <w:p w14:paraId="51638EAE" w14:textId="77777777" w:rsidR="003B729E" w:rsidRDefault="00000000">
            <w:pPr>
              <w:jc w:val="center"/>
            </w:pPr>
            <w:r>
              <w:rPr>
                <w:rFonts w:ascii="Times New Roman" w:hAnsi="Times New Roman"/>
              </w:rPr>
              <w:t>&lt; 5%</w:t>
            </w:r>
          </w:p>
        </w:tc>
        <w:tc>
          <w:tcPr>
            <w:tcW w:w="2167" w:type="dxa"/>
          </w:tcPr>
          <w:p w14:paraId="73658F2F" w14:textId="77777777" w:rsidR="003B729E" w:rsidRDefault="00000000">
            <w:pPr>
              <w:jc w:val="center"/>
            </w:pPr>
            <w:r>
              <w:rPr>
                <w:rFonts w:ascii="Times New Roman" w:hAnsi="Times New Roman"/>
                <w:color w:val="007000"/>
              </w:rPr>
              <w:t>Passed</w:t>
            </w:r>
          </w:p>
        </w:tc>
      </w:tr>
      <w:tr w:rsidR="003B729E" w14:paraId="4019FD8A" w14:textId="77777777">
        <w:tc>
          <w:tcPr>
            <w:tcW w:w="2167" w:type="dxa"/>
          </w:tcPr>
          <w:p w14:paraId="328B0D5F" w14:textId="77777777" w:rsidR="003B729E" w:rsidRDefault="00000000">
            <w:pPr>
              <w:jc w:val="center"/>
            </w:pPr>
            <w:r>
              <w:rPr>
                <w:rFonts w:ascii="Times New Roman" w:hAnsi="Times New Roman"/>
              </w:rPr>
              <w:t>Unsafe Prediction Rate (UPR)</w:t>
            </w:r>
          </w:p>
        </w:tc>
        <w:tc>
          <w:tcPr>
            <w:tcW w:w="2167" w:type="dxa"/>
          </w:tcPr>
          <w:p w14:paraId="1B8CB3B4" w14:textId="77777777" w:rsidR="003B729E" w:rsidRDefault="00000000">
            <w:pPr>
              <w:jc w:val="center"/>
            </w:pPr>
            <w:r>
              <w:rPr>
                <w:rFonts w:ascii="Times New Roman" w:hAnsi="Times New Roman"/>
              </w:rPr>
              <w:t>0.00%</w:t>
            </w:r>
          </w:p>
        </w:tc>
        <w:tc>
          <w:tcPr>
            <w:tcW w:w="2167" w:type="dxa"/>
          </w:tcPr>
          <w:p w14:paraId="7FD6D116" w14:textId="77777777" w:rsidR="003B729E" w:rsidRDefault="00000000">
            <w:pPr>
              <w:jc w:val="center"/>
            </w:pPr>
            <w:r>
              <w:rPr>
                <w:rFonts w:ascii="Times New Roman" w:hAnsi="Times New Roman"/>
              </w:rPr>
              <w:t>&lt; 5%</w:t>
            </w:r>
          </w:p>
        </w:tc>
        <w:tc>
          <w:tcPr>
            <w:tcW w:w="2167" w:type="dxa"/>
          </w:tcPr>
          <w:p w14:paraId="6F202AE1" w14:textId="77777777" w:rsidR="003B729E" w:rsidRDefault="00000000">
            <w:pPr>
              <w:jc w:val="center"/>
            </w:pPr>
            <w:r>
              <w:rPr>
                <w:rFonts w:ascii="Times New Roman" w:hAnsi="Times New Roman"/>
                <w:color w:val="007000"/>
              </w:rPr>
              <w:t>Passed</w:t>
            </w:r>
          </w:p>
        </w:tc>
      </w:tr>
      <w:tr w:rsidR="003B729E" w14:paraId="7590B7FE" w14:textId="77777777">
        <w:tc>
          <w:tcPr>
            <w:tcW w:w="2167" w:type="dxa"/>
          </w:tcPr>
          <w:p w14:paraId="40205E17" w14:textId="77777777" w:rsidR="003B729E" w:rsidRDefault="00000000">
            <w:pPr>
              <w:jc w:val="center"/>
            </w:pPr>
            <w:r>
              <w:rPr>
                <w:rFonts w:ascii="Times New Roman" w:hAnsi="Times New Roman"/>
              </w:rPr>
              <w:t>Implausible Suppression Rate</w:t>
            </w:r>
          </w:p>
        </w:tc>
        <w:tc>
          <w:tcPr>
            <w:tcW w:w="2167" w:type="dxa"/>
          </w:tcPr>
          <w:p w14:paraId="34C672B8" w14:textId="77777777" w:rsidR="003B729E" w:rsidRDefault="00000000">
            <w:pPr>
              <w:jc w:val="center"/>
            </w:pPr>
            <w:r>
              <w:rPr>
                <w:rFonts w:ascii="Times New Roman" w:hAnsi="Times New Roman"/>
              </w:rPr>
              <w:t>100.00%</w:t>
            </w:r>
          </w:p>
        </w:tc>
        <w:tc>
          <w:tcPr>
            <w:tcW w:w="2167" w:type="dxa"/>
          </w:tcPr>
          <w:p w14:paraId="3C2BD8EE" w14:textId="77777777" w:rsidR="003B729E" w:rsidRDefault="00000000">
            <w:pPr>
              <w:jc w:val="center"/>
            </w:pPr>
            <w:r>
              <w:rPr>
                <w:rFonts w:ascii="Times New Roman" w:hAnsi="Times New Roman"/>
              </w:rPr>
              <w:t>Near 100%</w:t>
            </w:r>
          </w:p>
        </w:tc>
        <w:tc>
          <w:tcPr>
            <w:tcW w:w="2167" w:type="dxa"/>
          </w:tcPr>
          <w:p w14:paraId="792E055D" w14:textId="77777777" w:rsidR="003B729E" w:rsidRDefault="00000000">
            <w:pPr>
              <w:jc w:val="center"/>
            </w:pPr>
            <w:r>
              <w:rPr>
                <w:rFonts w:ascii="Times New Roman" w:hAnsi="Times New Roman"/>
                <w:color w:val="007000"/>
              </w:rPr>
              <w:t>Passed</w:t>
            </w:r>
          </w:p>
        </w:tc>
      </w:tr>
      <w:tr w:rsidR="003B729E" w14:paraId="050C3608" w14:textId="77777777">
        <w:tc>
          <w:tcPr>
            <w:tcW w:w="2167" w:type="dxa"/>
          </w:tcPr>
          <w:p w14:paraId="4BEF8B2D" w14:textId="77777777" w:rsidR="003B729E" w:rsidRDefault="00000000">
            <w:pPr>
              <w:jc w:val="center"/>
            </w:pPr>
            <w:r>
              <w:rPr>
                <w:rFonts w:ascii="Times New Roman" w:hAnsi="Times New Roman"/>
              </w:rPr>
              <w:t xml:space="preserve">Medical Consistency </w:t>
            </w:r>
            <w:r>
              <w:rPr>
                <w:rFonts w:ascii="Times New Roman" w:hAnsi="Times New Roman"/>
              </w:rPr>
              <w:lastRenderedPageBreak/>
              <w:t>Score</w:t>
            </w:r>
          </w:p>
        </w:tc>
        <w:tc>
          <w:tcPr>
            <w:tcW w:w="2167" w:type="dxa"/>
          </w:tcPr>
          <w:p w14:paraId="3FBB1996" w14:textId="77777777" w:rsidR="003B729E" w:rsidRDefault="00000000">
            <w:pPr>
              <w:jc w:val="center"/>
            </w:pPr>
            <w:r>
              <w:rPr>
                <w:rFonts w:ascii="Times New Roman" w:hAnsi="Times New Roman"/>
              </w:rPr>
              <w:lastRenderedPageBreak/>
              <w:t>10.75%</w:t>
            </w:r>
          </w:p>
        </w:tc>
        <w:tc>
          <w:tcPr>
            <w:tcW w:w="2167" w:type="dxa"/>
          </w:tcPr>
          <w:p w14:paraId="07D159FA" w14:textId="77777777" w:rsidR="003B729E" w:rsidRDefault="00000000">
            <w:pPr>
              <w:jc w:val="center"/>
            </w:pPr>
            <w:r>
              <w:rPr>
                <w:rFonts w:ascii="Times New Roman" w:hAnsi="Times New Roman"/>
              </w:rPr>
              <w:t>&gt; 90%</w:t>
            </w:r>
          </w:p>
        </w:tc>
        <w:tc>
          <w:tcPr>
            <w:tcW w:w="2167" w:type="dxa"/>
          </w:tcPr>
          <w:p w14:paraId="05756E11" w14:textId="77777777" w:rsidR="003B729E" w:rsidRDefault="00000000">
            <w:pPr>
              <w:jc w:val="center"/>
            </w:pPr>
            <w:r>
              <w:rPr>
                <w:rFonts w:ascii="Times New Roman" w:hAnsi="Times New Roman"/>
                <w:color w:val="B40000"/>
              </w:rPr>
              <w:t>Failed*</w:t>
            </w:r>
          </w:p>
        </w:tc>
      </w:tr>
    </w:tbl>
    <w:p w14:paraId="408178B2" w14:textId="77777777" w:rsidR="003B729E" w:rsidRDefault="003B729E">
      <w:pPr>
        <w:spacing w:after="40" w:line="360" w:lineRule="exact"/>
        <w:jc w:val="both"/>
      </w:pPr>
    </w:p>
    <w:p w14:paraId="42000973" w14:textId="77777777" w:rsidR="003B729E" w:rsidRDefault="00000000">
      <w:pPr>
        <w:spacing w:before="80" w:after="240"/>
        <w:jc w:val="center"/>
      </w:pPr>
      <w:r>
        <w:rPr>
          <w:rFonts w:ascii="Times New Roman" w:hAnsi="Times New Roman"/>
          <w:i/>
        </w:rPr>
        <w:t>Table 10.1 – Final Safety Metrics from 500-Case Validation Suite</w:t>
      </w:r>
    </w:p>
    <w:p w14:paraId="167750E1" w14:textId="77777777" w:rsidR="003B729E" w:rsidRDefault="00000000">
      <w:pPr>
        <w:spacing w:after="160" w:line="360" w:lineRule="exact"/>
        <w:ind w:firstLine="432"/>
        <w:jc w:val="both"/>
      </w:pPr>
      <w:r>
        <w:rPr>
          <w:rFonts w:ascii="Times New Roman" w:hAnsi="Times New Roman"/>
          <w:sz w:val="24"/>
        </w:rPr>
        <w:t>* Note on Medical Consistency Score: The 10.75% value reflects that the majority of predictions in the validation suite received UNKNOWN category ratings (0.9x penalty) because the disease_categories.json knowledge base does not yet cover all 260+ disease classes comprehensively. The score measures what fraction of consistency checks returned HIGH confidence—it does not measure whether unsafe predictions were displayed to users, which is correctly captured by the UPR (0.00%). Expanding the disease category knowledge base is the primary action item identified for future work.</w:t>
      </w:r>
    </w:p>
    <w:p w14:paraId="7A6681E1" w14:textId="77777777" w:rsidR="003B729E" w:rsidRDefault="00000000">
      <w:pPr>
        <w:spacing w:before="280" w:after="80" w:line="360" w:lineRule="exact"/>
      </w:pPr>
      <w:r>
        <w:rPr>
          <w:rFonts w:ascii="Times New Roman" w:hAnsi="Times New Roman"/>
          <w:b/>
          <w:sz w:val="26"/>
        </w:rPr>
        <w:t>10.3  Model Performance Evaluation</w:t>
      </w:r>
    </w:p>
    <w:p w14:paraId="49919324" w14:textId="77777777" w:rsidR="003B729E" w:rsidRDefault="00000000">
      <w:pPr>
        <w:spacing w:after="120" w:line="360" w:lineRule="exact"/>
        <w:jc w:val="both"/>
      </w:pPr>
      <w:r>
        <w:rPr>
          <w:rFonts w:ascii="Times New Roman" w:hAnsi="Times New Roman"/>
          <w:sz w:val="24"/>
        </w:rPr>
        <w:t>Table 10.2 presents the standard ML metrics for each trained classifier, evaluated on the held-out test set of approximately 16,372 examples.</w:t>
      </w:r>
    </w:p>
    <w:tbl>
      <w:tblPr>
        <w:tblStyle w:val="TableGrid"/>
        <w:tblW w:w="0" w:type="auto"/>
        <w:tblLook w:val="04A0" w:firstRow="1" w:lastRow="0" w:firstColumn="1" w:lastColumn="0" w:noHBand="0" w:noVBand="1"/>
      </w:tblPr>
      <w:tblGrid>
        <w:gridCol w:w="1445"/>
        <w:gridCol w:w="1445"/>
        <w:gridCol w:w="1445"/>
        <w:gridCol w:w="1445"/>
        <w:gridCol w:w="1445"/>
        <w:gridCol w:w="1445"/>
      </w:tblGrid>
      <w:tr w:rsidR="003B729E" w14:paraId="6035FCE9" w14:textId="77777777">
        <w:tc>
          <w:tcPr>
            <w:tcW w:w="1445" w:type="dxa"/>
          </w:tcPr>
          <w:p w14:paraId="70C6B666" w14:textId="77777777" w:rsidR="003B729E" w:rsidRDefault="00000000">
            <w:pPr>
              <w:jc w:val="center"/>
            </w:pPr>
            <w:r>
              <w:rPr>
                <w:rFonts w:ascii="Times New Roman" w:hAnsi="Times New Roman"/>
                <w:b/>
              </w:rPr>
              <w:t>Model</w:t>
            </w:r>
          </w:p>
        </w:tc>
        <w:tc>
          <w:tcPr>
            <w:tcW w:w="1445" w:type="dxa"/>
          </w:tcPr>
          <w:p w14:paraId="12505D98" w14:textId="77777777" w:rsidR="003B729E" w:rsidRDefault="00000000">
            <w:pPr>
              <w:jc w:val="center"/>
            </w:pPr>
            <w:r>
              <w:rPr>
                <w:rFonts w:ascii="Times New Roman" w:hAnsi="Times New Roman"/>
                <w:b/>
              </w:rPr>
              <w:t>Accuracy</w:t>
            </w:r>
          </w:p>
        </w:tc>
        <w:tc>
          <w:tcPr>
            <w:tcW w:w="1445" w:type="dxa"/>
          </w:tcPr>
          <w:p w14:paraId="3023517C" w14:textId="77777777" w:rsidR="003B729E" w:rsidRDefault="00000000">
            <w:pPr>
              <w:jc w:val="center"/>
            </w:pPr>
            <w:r>
              <w:rPr>
                <w:rFonts w:ascii="Times New Roman" w:hAnsi="Times New Roman"/>
                <w:b/>
              </w:rPr>
              <w:t>Precision</w:t>
            </w:r>
          </w:p>
        </w:tc>
        <w:tc>
          <w:tcPr>
            <w:tcW w:w="1445" w:type="dxa"/>
          </w:tcPr>
          <w:p w14:paraId="55F9BD8A" w14:textId="77777777" w:rsidR="003B729E" w:rsidRDefault="00000000">
            <w:pPr>
              <w:jc w:val="center"/>
            </w:pPr>
            <w:r>
              <w:rPr>
                <w:rFonts w:ascii="Times New Roman" w:hAnsi="Times New Roman"/>
                <w:b/>
              </w:rPr>
              <w:t>F1-Score</w:t>
            </w:r>
          </w:p>
        </w:tc>
        <w:tc>
          <w:tcPr>
            <w:tcW w:w="1445" w:type="dxa"/>
          </w:tcPr>
          <w:p w14:paraId="68E93983" w14:textId="77777777" w:rsidR="003B729E" w:rsidRDefault="00000000">
            <w:pPr>
              <w:jc w:val="center"/>
            </w:pPr>
            <w:r>
              <w:rPr>
                <w:rFonts w:ascii="Times New Roman" w:hAnsi="Times New Roman"/>
                <w:b/>
              </w:rPr>
              <w:t>Top-3 Acc.</w:t>
            </w:r>
          </w:p>
        </w:tc>
        <w:tc>
          <w:tcPr>
            <w:tcW w:w="1445" w:type="dxa"/>
          </w:tcPr>
          <w:p w14:paraId="56504362" w14:textId="77777777" w:rsidR="003B729E" w:rsidRDefault="00000000">
            <w:pPr>
              <w:jc w:val="center"/>
            </w:pPr>
            <w:r>
              <w:rPr>
                <w:rFonts w:ascii="Times New Roman" w:hAnsi="Times New Roman"/>
                <w:b/>
              </w:rPr>
              <w:t>Size (MB)</w:t>
            </w:r>
          </w:p>
        </w:tc>
      </w:tr>
      <w:tr w:rsidR="003B729E" w14:paraId="60054181" w14:textId="77777777">
        <w:tc>
          <w:tcPr>
            <w:tcW w:w="1445" w:type="dxa"/>
          </w:tcPr>
          <w:p w14:paraId="12346F95" w14:textId="77777777" w:rsidR="003B729E" w:rsidRDefault="00000000">
            <w:pPr>
              <w:jc w:val="center"/>
            </w:pPr>
            <w:r>
              <w:rPr>
                <w:rFonts w:ascii="Times New Roman" w:hAnsi="Times New Roman"/>
                <w:b/>
              </w:rPr>
              <w:t>Logistic Regression</w:t>
            </w:r>
          </w:p>
        </w:tc>
        <w:tc>
          <w:tcPr>
            <w:tcW w:w="1445" w:type="dxa"/>
          </w:tcPr>
          <w:p w14:paraId="00A9610D" w14:textId="77777777" w:rsidR="003B729E" w:rsidRDefault="00000000">
            <w:pPr>
              <w:jc w:val="center"/>
            </w:pPr>
            <w:r>
              <w:rPr>
                <w:rFonts w:ascii="Times New Roman" w:hAnsi="Times New Roman"/>
                <w:b/>
              </w:rPr>
              <w:t>0.8436</w:t>
            </w:r>
          </w:p>
        </w:tc>
        <w:tc>
          <w:tcPr>
            <w:tcW w:w="1445" w:type="dxa"/>
          </w:tcPr>
          <w:p w14:paraId="7CFCF2DB" w14:textId="77777777" w:rsidR="003B729E" w:rsidRDefault="00000000">
            <w:pPr>
              <w:jc w:val="center"/>
            </w:pPr>
            <w:r>
              <w:rPr>
                <w:rFonts w:ascii="Times New Roman" w:hAnsi="Times New Roman"/>
                <w:b/>
              </w:rPr>
              <w:t>0.8507</w:t>
            </w:r>
          </w:p>
        </w:tc>
        <w:tc>
          <w:tcPr>
            <w:tcW w:w="1445" w:type="dxa"/>
          </w:tcPr>
          <w:p w14:paraId="0EFDB22D" w14:textId="77777777" w:rsidR="003B729E" w:rsidRDefault="00000000">
            <w:pPr>
              <w:jc w:val="center"/>
            </w:pPr>
            <w:r>
              <w:rPr>
                <w:rFonts w:ascii="Times New Roman" w:hAnsi="Times New Roman"/>
                <w:b/>
              </w:rPr>
              <w:t>0.8447</w:t>
            </w:r>
          </w:p>
        </w:tc>
        <w:tc>
          <w:tcPr>
            <w:tcW w:w="1445" w:type="dxa"/>
          </w:tcPr>
          <w:p w14:paraId="35A915AE" w14:textId="77777777" w:rsidR="003B729E" w:rsidRDefault="00000000">
            <w:pPr>
              <w:jc w:val="center"/>
            </w:pPr>
            <w:r>
              <w:rPr>
                <w:rFonts w:ascii="Times New Roman" w:hAnsi="Times New Roman"/>
                <w:b/>
              </w:rPr>
              <w:t>0.9578</w:t>
            </w:r>
          </w:p>
        </w:tc>
        <w:tc>
          <w:tcPr>
            <w:tcW w:w="1445" w:type="dxa"/>
          </w:tcPr>
          <w:p w14:paraId="32B189EE" w14:textId="77777777" w:rsidR="003B729E" w:rsidRDefault="00000000">
            <w:pPr>
              <w:jc w:val="center"/>
            </w:pPr>
            <w:r>
              <w:rPr>
                <w:rFonts w:ascii="Times New Roman" w:hAnsi="Times New Roman"/>
                <w:b/>
              </w:rPr>
              <w:t>6.21</w:t>
            </w:r>
          </w:p>
        </w:tc>
      </w:tr>
      <w:tr w:rsidR="003B729E" w14:paraId="59257376" w14:textId="77777777">
        <w:tc>
          <w:tcPr>
            <w:tcW w:w="1445" w:type="dxa"/>
          </w:tcPr>
          <w:p w14:paraId="44AEEE18" w14:textId="77777777" w:rsidR="003B729E" w:rsidRDefault="00000000">
            <w:pPr>
              <w:jc w:val="center"/>
            </w:pPr>
            <w:r>
              <w:rPr>
                <w:rFonts w:ascii="Times New Roman" w:hAnsi="Times New Roman"/>
              </w:rPr>
              <w:t>Naive Bayes</w:t>
            </w:r>
          </w:p>
        </w:tc>
        <w:tc>
          <w:tcPr>
            <w:tcW w:w="1445" w:type="dxa"/>
          </w:tcPr>
          <w:p w14:paraId="05F0EEB5" w14:textId="77777777" w:rsidR="003B729E" w:rsidRDefault="00000000">
            <w:pPr>
              <w:jc w:val="center"/>
            </w:pPr>
            <w:r>
              <w:rPr>
                <w:rFonts w:ascii="Times New Roman" w:hAnsi="Times New Roman"/>
              </w:rPr>
              <w:t>0.8051</w:t>
            </w:r>
          </w:p>
        </w:tc>
        <w:tc>
          <w:tcPr>
            <w:tcW w:w="1445" w:type="dxa"/>
          </w:tcPr>
          <w:p w14:paraId="07023D05" w14:textId="77777777" w:rsidR="003B729E" w:rsidRDefault="00000000">
            <w:pPr>
              <w:jc w:val="center"/>
            </w:pPr>
            <w:r>
              <w:rPr>
                <w:rFonts w:ascii="Times New Roman" w:hAnsi="Times New Roman"/>
              </w:rPr>
              <w:t>0.8389</w:t>
            </w:r>
          </w:p>
        </w:tc>
        <w:tc>
          <w:tcPr>
            <w:tcW w:w="1445" w:type="dxa"/>
          </w:tcPr>
          <w:p w14:paraId="7BEBA32F" w14:textId="77777777" w:rsidR="003B729E" w:rsidRDefault="00000000">
            <w:pPr>
              <w:jc w:val="center"/>
            </w:pPr>
            <w:r>
              <w:rPr>
                <w:rFonts w:ascii="Times New Roman" w:hAnsi="Times New Roman"/>
              </w:rPr>
              <w:t>0.7989</w:t>
            </w:r>
          </w:p>
        </w:tc>
        <w:tc>
          <w:tcPr>
            <w:tcW w:w="1445" w:type="dxa"/>
          </w:tcPr>
          <w:p w14:paraId="19E02F06" w14:textId="77777777" w:rsidR="003B729E" w:rsidRDefault="00000000">
            <w:pPr>
              <w:jc w:val="center"/>
            </w:pPr>
            <w:r>
              <w:rPr>
                <w:rFonts w:ascii="Times New Roman" w:hAnsi="Times New Roman"/>
              </w:rPr>
              <w:t>0.9438</w:t>
            </w:r>
          </w:p>
        </w:tc>
        <w:tc>
          <w:tcPr>
            <w:tcW w:w="1445" w:type="dxa"/>
          </w:tcPr>
          <w:p w14:paraId="4878B0DA" w14:textId="77777777" w:rsidR="003B729E" w:rsidRDefault="00000000">
            <w:pPr>
              <w:jc w:val="center"/>
            </w:pPr>
            <w:r>
              <w:rPr>
                <w:rFonts w:ascii="Times New Roman" w:hAnsi="Times New Roman"/>
              </w:rPr>
              <w:t>12.42</w:t>
            </w:r>
          </w:p>
        </w:tc>
      </w:tr>
      <w:tr w:rsidR="003B729E" w14:paraId="77ECF8B8" w14:textId="77777777">
        <w:tc>
          <w:tcPr>
            <w:tcW w:w="1445" w:type="dxa"/>
          </w:tcPr>
          <w:p w14:paraId="0CCB4EA9" w14:textId="77777777" w:rsidR="003B729E" w:rsidRDefault="00000000">
            <w:pPr>
              <w:jc w:val="center"/>
            </w:pPr>
            <w:r>
              <w:rPr>
                <w:rFonts w:ascii="Times New Roman" w:hAnsi="Times New Roman"/>
              </w:rPr>
              <w:t>Decision Tree</w:t>
            </w:r>
          </w:p>
        </w:tc>
        <w:tc>
          <w:tcPr>
            <w:tcW w:w="1445" w:type="dxa"/>
          </w:tcPr>
          <w:p w14:paraId="6E95663C" w14:textId="77777777" w:rsidR="003B729E" w:rsidRDefault="00000000">
            <w:pPr>
              <w:jc w:val="center"/>
            </w:pPr>
            <w:r>
              <w:rPr>
                <w:rFonts w:ascii="Times New Roman" w:hAnsi="Times New Roman"/>
              </w:rPr>
              <w:t>0.1527</w:t>
            </w:r>
          </w:p>
        </w:tc>
        <w:tc>
          <w:tcPr>
            <w:tcW w:w="1445" w:type="dxa"/>
          </w:tcPr>
          <w:p w14:paraId="747FF884" w14:textId="77777777" w:rsidR="003B729E" w:rsidRDefault="00000000">
            <w:pPr>
              <w:jc w:val="center"/>
            </w:pPr>
            <w:r>
              <w:rPr>
                <w:rFonts w:ascii="Times New Roman" w:hAnsi="Times New Roman"/>
              </w:rPr>
              <w:t>0.2147</w:t>
            </w:r>
          </w:p>
        </w:tc>
        <w:tc>
          <w:tcPr>
            <w:tcW w:w="1445" w:type="dxa"/>
          </w:tcPr>
          <w:p w14:paraId="6C6DCF5E" w14:textId="77777777" w:rsidR="003B729E" w:rsidRDefault="00000000">
            <w:pPr>
              <w:jc w:val="center"/>
            </w:pPr>
            <w:r>
              <w:rPr>
                <w:rFonts w:ascii="Times New Roman" w:hAnsi="Times New Roman"/>
              </w:rPr>
              <w:t>0.1538</w:t>
            </w:r>
          </w:p>
        </w:tc>
        <w:tc>
          <w:tcPr>
            <w:tcW w:w="1445" w:type="dxa"/>
          </w:tcPr>
          <w:p w14:paraId="4BB94D3F" w14:textId="77777777" w:rsidR="003B729E" w:rsidRDefault="00000000">
            <w:pPr>
              <w:jc w:val="center"/>
            </w:pPr>
            <w:r>
              <w:rPr>
                <w:rFonts w:ascii="Times New Roman" w:hAnsi="Times New Roman"/>
              </w:rPr>
              <w:t>0.2142</w:t>
            </w:r>
          </w:p>
        </w:tc>
        <w:tc>
          <w:tcPr>
            <w:tcW w:w="1445" w:type="dxa"/>
          </w:tcPr>
          <w:p w14:paraId="1ED54CB8" w14:textId="77777777" w:rsidR="003B729E" w:rsidRDefault="00000000">
            <w:pPr>
              <w:jc w:val="center"/>
            </w:pPr>
            <w:r>
              <w:rPr>
                <w:rFonts w:ascii="Times New Roman" w:hAnsi="Times New Roman"/>
              </w:rPr>
              <w:t>0.74</w:t>
            </w:r>
          </w:p>
        </w:tc>
      </w:tr>
      <w:tr w:rsidR="003B729E" w14:paraId="7731B0EF" w14:textId="77777777">
        <w:tc>
          <w:tcPr>
            <w:tcW w:w="1445" w:type="dxa"/>
          </w:tcPr>
          <w:p w14:paraId="590EAECB" w14:textId="77777777" w:rsidR="003B729E" w:rsidRDefault="00000000">
            <w:pPr>
              <w:jc w:val="center"/>
            </w:pPr>
            <w:r>
              <w:rPr>
                <w:rFonts w:ascii="Times New Roman" w:hAnsi="Times New Roman"/>
              </w:rPr>
              <w:t>XGBoost</w:t>
            </w:r>
          </w:p>
        </w:tc>
        <w:tc>
          <w:tcPr>
            <w:tcW w:w="1445" w:type="dxa"/>
          </w:tcPr>
          <w:p w14:paraId="235476A4" w14:textId="77777777" w:rsidR="003B729E" w:rsidRDefault="00000000">
            <w:pPr>
              <w:jc w:val="center"/>
            </w:pPr>
            <w:r>
              <w:rPr>
                <w:rFonts w:ascii="Times New Roman" w:hAnsi="Times New Roman"/>
              </w:rPr>
              <w:t>0.0715</w:t>
            </w:r>
          </w:p>
        </w:tc>
        <w:tc>
          <w:tcPr>
            <w:tcW w:w="1445" w:type="dxa"/>
          </w:tcPr>
          <w:p w14:paraId="7A5843B2" w14:textId="77777777" w:rsidR="003B729E" w:rsidRDefault="00000000">
            <w:pPr>
              <w:jc w:val="center"/>
            </w:pPr>
            <w:r>
              <w:rPr>
                <w:rFonts w:ascii="Times New Roman" w:hAnsi="Times New Roman"/>
              </w:rPr>
              <w:t>0.0486</w:t>
            </w:r>
          </w:p>
        </w:tc>
        <w:tc>
          <w:tcPr>
            <w:tcW w:w="1445" w:type="dxa"/>
          </w:tcPr>
          <w:p w14:paraId="272A06DE" w14:textId="77777777" w:rsidR="003B729E" w:rsidRDefault="00000000">
            <w:pPr>
              <w:jc w:val="center"/>
            </w:pPr>
            <w:r>
              <w:rPr>
                <w:rFonts w:ascii="Times New Roman" w:hAnsi="Times New Roman"/>
              </w:rPr>
              <w:t>0.0312</w:t>
            </w:r>
          </w:p>
        </w:tc>
        <w:tc>
          <w:tcPr>
            <w:tcW w:w="1445" w:type="dxa"/>
          </w:tcPr>
          <w:p w14:paraId="1256283A" w14:textId="77777777" w:rsidR="003B729E" w:rsidRDefault="00000000">
            <w:pPr>
              <w:jc w:val="center"/>
            </w:pPr>
            <w:r>
              <w:rPr>
                <w:rFonts w:ascii="Times New Roman" w:hAnsi="Times New Roman"/>
              </w:rPr>
              <w:t>0.0885</w:t>
            </w:r>
          </w:p>
        </w:tc>
        <w:tc>
          <w:tcPr>
            <w:tcW w:w="1445" w:type="dxa"/>
          </w:tcPr>
          <w:p w14:paraId="0E51E7AE" w14:textId="77777777" w:rsidR="003B729E" w:rsidRDefault="00000000">
            <w:pPr>
              <w:jc w:val="center"/>
            </w:pPr>
            <w:r>
              <w:rPr>
                <w:rFonts w:ascii="Times New Roman" w:hAnsi="Times New Roman"/>
              </w:rPr>
              <w:t>17.66</w:t>
            </w:r>
          </w:p>
        </w:tc>
      </w:tr>
    </w:tbl>
    <w:p w14:paraId="485DBFE7" w14:textId="77777777" w:rsidR="003B729E" w:rsidRDefault="003B729E">
      <w:pPr>
        <w:spacing w:after="40" w:line="360" w:lineRule="exact"/>
        <w:jc w:val="both"/>
      </w:pPr>
    </w:p>
    <w:p w14:paraId="4F97DD27" w14:textId="77777777" w:rsidR="003B729E" w:rsidRDefault="00000000">
      <w:pPr>
        <w:spacing w:before="80" w:after="240"/>
        <w:jc w:val="center"/>
      </w:pPr>
      <w:r>
        <w:rPr>
          <w:rFonts w:ascii="Times New Roman" w:hAnsi="Times New Roman"/>
          <w:i/>
        </w:rPr>
        <w:t>Table 10.2 – Classifier Performance Comparison on Held-Out Test Set</w:t>
      </w:r>
    </w:p>
    <w:p w14:paraId="100C1203" w14:textId="77777777" w:rsidR="003B729E" w:rsidRDefault="00000000">
      <w:pPr>
        <w:spacing w:before="280" w:after="80" w:line="360" w:lineRule="exact"/>
      </w:pPr>
      <w:r>
        <w:rPr>
          <w:rFonts w:ascii="Times New Roman" w:hAnsi="Times New Roman"/>
          <w:b/>
          <w:sz w:val="26"/>
        </w:rPr>
        <w:t>10.4  Confusion Matrix Analysis</w:t>
      </w:r>
    </w:p>
    <w:p w14:paraId="3A1BC5B2" w14:textId="77777777" w:rsidR="003B729E" w:rsidRDefault="00000000">
      <w:pPr>
        <w:spacing w:after="160" w:line="360" w:lineRule="exact"/>
        <w:ind w:firstLine="432"/>
        <w:jc w:val="both"/>
      </w:pPr>
      <w:r>
        <w:rPr>
          <w:rFonts w:ascii="Times New Roman" w:hAnsi="Times New Roman"/>
          <w:sz w:val="24"/>
        </w:rPr>
        <w:t>Figure 10.1 shows the normalised confusion matrix for the Logistic Regression classifier. The diagonal dominance confirms strong overall performance, with most confusion concentrated between medically similar disease pairs (e.g. Infectious vs. Noninfectious Gastroenteritis, Cholecystitis vs. Gallstone).</w:t>
      </w:r>
    </w:p>
    <w:p w14:paraId="567C17E0" w14:textId="77777777" w:rsidR="003B729E" w:rsidRDefault="00000000">
      <w:pPr>
        <w:spacing w:before="120" w:after="40"/>
        <w:jc w:val="center"/>
      </w:pPr>
      <w:r>
        <w:rPr>
          <w:noProof/>
        </w:rPr>
        <w:lastRenderedPageBreak/>
        <w:drawing>
          <wp:inline distT="0" distB="0" distL="0" distR="0" wp14:anchorId="5FC3DF4D" wp14:editId="785A853B">
            <wp:extent cx="5029200" cy="402336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istic_regression_cm_normalized.png"/>
                    <pic:cNvPicPr/>
                  </pic:nvPicPr>
                  <pic:blipFill>
                    <a:blip r:embed="rId16"/>
                    <a:stretch>
                      <a:fillRect/>
                    </a:stretch>
                  </pic:blipFill>
                  <pic:spPr>
                    <a:xfrm>
                      <a:off x="0" y="0"/>
                      <a:ext cx="5029200" cy="4023360"/>
                    </a:xfrm>
                    <a:prstGeom prst="rect">
                      <a:avLst/>
                    </a:prstGeom>
                  </pic:spPr>
                </pic:pic>
              </a:graphicData>
            </a:graphic>
          </wp:inline>
        </w:drawing>
      </w:r>
    </w:p>
    <w:p w14:paraId="71ACE0E3" w14:textId="77777777" w:rsidR="003B729E" w:rsidRDefault="00000000">
      <w:pPr>
        <w:spacing w:before="80" w:after="240"/>
        <w:jc w:val="center"/>
      </w:pPr>
      <w:r>
        <w:rPr>
          <w:rFonts w:ascii="Times New Roman" w:hAnsi="Times New Roman"/>
          <w:i/>
        </w:rPr>
        <w:t>Figure 10.1 – Logistic Regression Normalised Confusion Matrix</w:t>
      </w:r>
    </w:p>
    <w:p w14:paraId="103C4F9E" w14:textId="77777777" w:rsidR="003B729E" w:rsidRDefault="00000000">
      <w:pPr>
        <w:spacing w:after="160" w:line="360" w:lineRule="exact"/>
        <w:ind w:firstLine="432"/>
        <w:jc w:val="both"/>
      </w:pPr>
      <w:r>
        <w:rPr>
          <w:rFonts w:ascii="Times New Roman" w:hAnsi="Times New Roman"/>
          <w:sz w:val="24"/>
        </w:rPr>
        <w:t>The most frequently confused disease pair is Infectious Gastroenteritis vs. Noninfectious Gastroenteritis (42 misclassifications), followed by Cholecystitis vs. Gallstone (34), and Skin Polyp vs. Skin Pigmentation Disorder (28). These confusions are clinically understandable—the conditions within each pair share substantial symptom overlap—and in most cases the correct diagnosis still appears in the Top-3 results.</w:t>
      </w:r>
    </w:p>
    <w:p w14:paraId="74C70A48" w14:textId="77777777" w:rsidR="003B729E" w:rsidRDefault="00000000">
      <w:pPr>
        <w:spacing w:before="280" w:after="80" w:line="360" w:lineRule="exact"/>
      </w:pPr>
      <w:r>
        <w:rPr>
          <w:rFonts w:ascii="Times New Roman" w:hAnsi="Times New Roman"/>
          <w:b/>
          <w:sz w:val="26"/>
        </w:rPr>
        <w:t>10.5  Uncertainty Analysis</w:t>
      </w:r>
    </w:p>
    <w:p w14:paraId="12E25A9B" w14:textId="77777777" w:rsidR="003B729E" w:rsidRDefault="00000000">
      <w:pPr>
        <w:spacing w:after="160" w:line="360" w:lineRule="exact"/>
        <w:ind w:firstLine="432"/>
        <w:jc w:val="both"/>
      </w:pPr>
      <w:r>
        <w:rPr>
          <w:rFonts w:ascii="Times New Roman" w:hAnsi="Times New Roman"/>
          <w:sz w:val="24"/>
        </w:rPr>
        <w:t>Figure 10.2 shows the confidence score distribution for the Logistic Regression model across the validation set. The distribution is bimodal: a large proportion of predictions fall above 0.75 confidence, and a smaller peak appears below 0.25, corresponding to genuinely ambiguous inputs.</w:t>
      </w:r>
    </w:p>
    <w:p w14:paraId="10BA95E6" w14:textId="77777777" w:rsidR="003B729E" w:rsidRDefault="00000000">
      <w:pPr>
        <w:spacing w:before="120" w:after="40"/>
        <w:jc w:val="center"/>
      </w:pPr>
      <w:r>
        <w:rPr>
          <w:noProof/>
        </w:rPr>
        <w:lastRenderedPageBreak/>
        <w:drawing>
          <wp:inline distT="0" distB="0" distL="0" distR="0" wp14:anchorId="43B616BA" wp14:editId="3B92C5CC">
            <wp:extent cx="4572000" cy="274320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istic_regression_confidence_hist.png"/>
                    <pic:cNvPicPr/>
                  </pic:nvPicPr>
                  <pic:blipFill>
                    <a:blip r:embed="rId17"/>
                    <a:stretch>
                      <a:fillRect/>
                    </a:stretch>
                  </pic:blipFill>
                  <pic:spPr>
                    <a:xfrm>
                      <a:off x="0" y="0"/>
                      <a:ext cx="4572000" cy="2743200"/>
                    </a:xfrm>
                    <a:prstGeom prst="rect">
                      <a:avLst/>
                    </a:prstGeom>
                  </pic:spPr>
                </pic:pic>
              </a:graphicData>
            </a:graphic>
          </wp:inline>
        </w:drawing>
      </w:r>
    </w:p>
    <w:p w14:paraId="611544C3" w14:textId="77777777" w:rsidR="003B729E" w:rsidRDefault="00000000">
      <w:pPr>
        <w:spacing w:before="80" w:after="240"/>
        <w:jc w:val="center"/>
      </w:pPr>
      <w:r>
        <w:rPr>
          <w:rFonts w:ascii="Times New Roman" w:hAnsi="Times New Roman"/>
          <w:i/>
        </w:rPr>
        <w:t>Figure 10.2 – Logistic Regression Confidence Score Distribution (Validation Set)</w:t>
      </w:r>
    </w:p>
    <w:p w14:paraId="07FBCD20" w14:textId="77777777" w:rsidR="003B729E" w:rsidRDefault="00000000">
      <w:pPr>
        <w:spacing w:after="160" w:line="360" w:lineRule="exact"/>
        <w:ind w:firstLine="432"/>
        <w:jc w:val="both"/>
      </w:pPr>
      <w:r>
        <w:rPr>
          <w:rFonts w:ascii="Times New Roman" w:hAnsi="Times New Roman"/>
          <w:sz w:val="24"/>
        </w:rPr>
        <w:t>Figure 10.3 shows the entropy histogram. High-entropy predictions (H &gt; 3.5 bits) correspond precisely to the low-confidence tail in Figure 10.2 and are reliably identified by the uncertainty warning system.</w:t>
      </w:r>
    </w:p>
    <w:p w14:paraId="61F907C2" w14:textId="77777777" w:rsidR="003B729E" w:rsidRDefault="00000000">
      <w:pPr>
        <w:spacing w:before="120" w:after="40"/>
        <w:jc w:val="center"/>
      </w:pPr>
      <w:r>
        <w:rPr>
          <w:noProof/>
        </w:rPr>
        <w:drawing>
          <wp:inline distT="0" distB="0" distL="0" distR="0" wp14:anchorId="08BAEFFD" wp14:editId="06957E54">
            <wp:extent cx="4572000" cy="274320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istic_regression_entropy_hist.png"/>
                    <pic:cNvPicPr/>
                  </pic:nvPicPr>
                  <pic:blipFill>
                    <a:blip r:embed="rId18"/>
                    <a:stretch>
                      <a:fillRect/>
                    </a:stretch>
                  </pic:blipFill>
                  <pic:spPr>
                    <a:xfrm>
                      <a:off x="0" y="0"/>
                      <a:ext cx="4572000" cy="2743200"/>
                    </a:xfrm>
                    <a:prstGeom prst="rect">
                      <a:avLst/>
                    </a:prstGeom>
                  </pic:spPr>
                </pic:pic>
              </a:graphicData>
            </a:graphic>
          </wp:inline>
        </w:drawing>
      </w:r>
    </w:p>
    <w:p w14:paraId="29AB9417" w14:textId="77777777" w:rsidR="003B729E" w:rsidRDefault="00000000">
      <w:pPr>
        <w:spacing w:before="80" w:after="240"/>
        <w:jc w:val="center"/>
      </w:pPr>
      <w:r>
        <w:rPr>
          <w:rFonts w:ascii="Times New Roman" w:hAnsi="Times New Roman"/>
          <w:i/>
        </w:rPr>
        <w:t>Figure 10.3 – Prediction Entropy Distribution (Logistic Regression, Validation Set)</w:t>
      </w:r>
    </w:p>
    <w:p w14:paraId="365CFE70" w14:textId="77777777" w:rsidR="003B729E" w:rsidRDefault="00000000">
      <w:pPr>
        <w:spacing w:before="280" w:after="80" w:line="360" w:lineRule="exact"/>
      </w:pPr>
      <w:r>
        <w:rPr>
          <w:rFonts w:ascii="Times New Roman" w:hAnsi="Times New Roman"/>
          <w:b/>
          <w:sz w:val="26"/>
        </w:rPr>
        <w:t>10.6  Confidence Distribution: Validation Suite</w:t>
      </w:r>
    </w:p>
    <w:p w14:paraId="2899DE7D" w14:textId="77777777" w:rsidR="003B729E" w:rsidRDefault="00000000">
      <w:pPr>
        <w:spacing w:after="160" w:line="360" w:lineRule="exact"/>
        <w:ind w:firstLine="432"/>
        <w:jc w:val="both"/>
      </w:pPr>
      <w:r>
        <w:rPr>
          <w:rFonts w:ascii="Times New Roman" w:hAnsi="Times New Roman"/>
          <w:sz w:val="24"/>
        </w:rPr>
        <w:t>Figure 10.4 presents the confidence score distribution across all 500 validation cases, including both emergency and non-emergency inputs.</w:t>
      </w:r>
    </w:p>
    <w:p w14:paraId="31F9260C" w14:textId="77777777" w:rsidR="003B729E" w:rsidRDefault="00000000">
      <w:pPr>
        <w:spacing w:before="120" w:after="40"/>
        <w:jc w:val="center"/>
      </w:pPr>
      <w:r>
        <w:rPr>
          <w:noProof/>
        </w:rPr>
        <w:lastRenderedPageBreak/>
        <w:drawing>
          <wp:inline distT="0" distB="0" distL="0" distR="0" wp14:anchorId="301BFF95" wp14:editId="3D28D145">
            <wp:extent cx="4572000" cy="2743200"/>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nfidence_distribution.png"/>
                    <pic:cNvPicPr/>
                  </pic:nvPicPr>
                  <pic:blipFill>
                    <a:blip r:embed="rId19"/>
                    <a:stretch>
                      <a:fillRect/>
                    </a:stretch>
                  </pic:blipFill>
                  <pic:spPr>
                    <a:xfrm>
                      <a:off x="0" y="0"/>
                      <a:ext cx="4572000" cy="2743200"/>
                    </a:xfrm>
                    <a:prstGeom prst="rect">
                      <a:avLst/>
                    </a:prstGeom>
                  </pic:spPr>
                </pic:pic>
              </a:graphicData>
            </a:graphic>
          </wp:inline>
        </w:drawing>
      </w:r>
    </w:p>
    <w:p w14:paraId="3E355C86" w14:textId="77777777" w:rsidR="003B729E" w:rsidRDefault="00000000">
      <w:pPr>
        <w:spacing w:before="80" w:after="240"/>
        <w:jc w:val="center"/>
      </w:pPr>
      <w:r>
        <w:rPr>
          <w:rFonts w:ascii="Times New Roman" w:hAnsi="Times New Roman"/>
          <w:i/>
        </w:rPr>
        <w:t>Figure 10.4 – Confidence Score Distribution Across 500-Case Validation Suite</w:t>
      </w:r>
    </w:p>
    <w:p w14:paraId="202B4312" w14:textId="77777777" w:rsidR="003B729E" w:rsidRDefault="00000000">
      <w:pPr>
        <w:spacing w:after="160" w:line="360" w:lineRule="exact"/>
        <w:ind w:firstLine="432"/>
        <w:jc w:val="both"/>
      </w:pPr>
      <w:r>
        <w:rPr>
          <w:rFonts w:ascii="Times New Roman" w:hAnsi="Times New Roman"/>
          <w:sz w:val="24"/>
        </w:rPr>
        <w:t>The spike at the right end of the distribution reflects the 100 emergency cases, which are assigned a synthetic confidence of 1.0 by the Emergency Override Layer (since they bypass ML inference entirely and are therefore deterministically correct). The remaining distribution reflects the natural spread of ML confidence scores across non-emergency inputs.</w:t>
      </w:r>
    </w:p>
    <w:p w14:paraId="36B8BA78" w14:textId="77777777" w:rsidR="003B729E" w:rsidRDefault="00000000">
      <w:pPr>
        <w:spacing w:before="280" w:after="80" w:line="360" w:lineRule="exact"/>
      </w:pPr>
      <w:r>
        <w:rPr>
          <w:rFonts w:ascii="Times New Roman" w:hAnsi="Times New Roman"/>
          <w:b/>
          <w:sz w:val="26"/>
        </w:rPr>
        <w:t>10.7  Severity Distribution Analysis</w:t>
      </w:r>
    </w:p>
    <w:p w14:paraId="67D65885" w14:textId="77777777" w:rsidR="003B729E" w:rsidRDefault="00000000">
      <w:pPr>
        <w:spacing w:after="160" w:line="360" w:lineRule="exact"/>
        <w:ind w:firstLine="432"/>
        <w:jc w:val="both"/>
      </w:pPr>
      <w:r>
        <w:rPr>
          <w:rFonts w:ascii="Times New Roman" w:hAnsi="Times New Roman"/>
          <w:sz w:val="24"/>
        </w:rPr>
        <w:t>Figure 10.5 shows the distribution of predicted severity levels across the non-emergency test cases. The majority of predictions fall in the Mild to Moderate range, which is consistent with the common-symptom composition of the validation dataset.</w:t>
      </w:r>
    </w:p>
    <w:p w14:paraId="250ED8BC" w14:textId="77777777" w:rsidR="003B729E" w:rsidRDefault="00000000">
      <w:pPr>
        <w:spacing w:before="120" w:after="40"/>
        <w:jc w:val="center"/>
      </w:pPr>
      <w:r>
        <w:rPr>
          <w:noProof/>
        </w:rPr>
        <w:drawing>
          <wp:inline distT="0" distB="0" distL="0" distR="0" wp14:anchorId="61F10B3F" wp14:editId="77495F27">
            <wp:extent cx="4572000" cy="2857500"/>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verity_distribution.png"/>
                    <pic:cNvPicPr/>
                  </pic:nvPicPr>
                  <pic:blipFill>
                    <a:blip r:embed="rId20"/>
                    <a:stretch>
                      <a:fillRect/>
                    </a:stretch>
                  </pic:blipFill>
                  <pic:spPr>
                    <a:xfrm>
                      <a:off x="0" y="0"/>
                      <a:ext cx="4572000" cy="2857500"/>
                    </a:xfrm>
                    <a:prstGeom prst="rect">
                      <a:avLst/>
                    </a:prstGeom>
                  </pic:spPr>
                </pic:pic>
              </a:graphicData>
            </a:graphic>
          </wp:inline>
        </w:drawing>
      </w:r>
    </w:p>
    <w:p w14:paraId="459D65C9" w14:textId="77777777" w:rsidR="003B729E" w:rsidRDefault="00000000">
      <w:pPr>
        <w:spacing w:before="80" w:after="240"/>
        <w:jc w:val="center"/>
      </w:pPr>
      <w:r>
        <w:rPr>
          <w:rFonts w:ascii="Times New Roman" w:hAnsi="Times New Roman"/>
          <w:i/>
        </w:rPr>
        <w:t>Figure 10.5 – Predicted Severity Distribution Across Non-Emergency Validation Cases</w:t>
      </w:r>
    </w:p>
    <w:p w14:paraId="4256A06B" w14:textId="77777777" w:rsidR="003B729E" w:rsidRDefault="00000000">
      <w:pPr>
        <w:spacing w:before="280" w:after="80" w:line="360" w:lineRule="exact"/>
      </w:pPr>
      <w:r>
        <w:rPr>
          <w:rFonts w:ascii="Times New Roman" w:hAnsi="Times New Roman"/>
          <w:b/>
          <w:sz w:val="26"/>
        </w:rPr>
        <w:lastRenderedPageBreak/>
        <w:t>10.8  Calibration Analysis</w:t>
      </w:r>
    </w:p>
    <w:p w14:paraId="1054FEE4" w14:textId="77777777" w:rsidR="003B729E" w:rsidRDefault="00000000">
      <w:pPr>
        <w:spacing w:after="160" w:line="360" w:lineRule="exact"/>
        <w:ind w:firstLine="432"/>
        <w:jc w:val="both"/>
      </w:pPr>
      <w:r>
        <w:rPr>
          <w:rFonts w:ascii="Times New Roman" w:hAnsi="Times New Roman"/>
          <w:sz w:val="24"/>
        </w:rPr>
        <w:t>Model calibration—whether the predicted confidence scores accurately reflect empirical accuracy—was evaluated for both classifiers. Figure 10.6 shows the calibration curve for the Logistic Regression model.</w:t>
      </w:r>
    </w:p>
    <w:p w14:paraId="27C33863" w14:textId="77777777" w:rsidR="003B729E" w:rsidRDefault="00000000">
      <w:pPr>
        <w:spacing w:before="120" w:after="40"/>
        <w:jc w:val="center"/>
      </w:pPr>
      <w:r>
        <w:rPr>
          <w:noProof/>
        </w:rPr>
        <w:drawing>
          <wp:inline distT="0" distB="0" distL="0" distR="0" wp14:anchorId="54D45141" wp14:editId="703E0EA4">
            <wp:extent cx="4754880" cy="3067544"/>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istic_regression_calibration.png"/>
                    <pic:cNvPicPr/>
                  </pic:nvPicPr>
                  <pic:blipFill>
                    <a:blip r:embed="rId21"/>
                    <a:stretch>
                      <a:fillRect/>
                    </a:stretch>
                  </pic:blipFill>
                  <pic:spPr>
                    <a:xfrm>
                      <a:off x="0" y="0"/>
                      <a:ext cx="4754880" cy="3067544"/>
                    </a:xfrm>
                    <a:prstGeom prst="rect">
                      <a:avLst/>
                    </a:prstGeom>
                  </pic:spPr>
                </pic:pic>
              </a:graphicData>
            </a:graphic>
          </wp:inline>
        </w:drawing>
      </w:r>
    </w:p>
    <w:p w14:paraId="0756F35A" w14:textId="77777777" w:rsidR="003B729E" w:rsidRDefault="00000000">
      <w:pPr>
        <w:spacing w:before="80" w:after="240"/>
        <w:jc w:val="center"/>
      </w:pPr>
      <w:r>
        <w:rPr>
          <w:rFonts w:ascii="Times New Roman" w:hAnsi="Times New Roman"/>
          <w:i/>
        </w:rPr>
        <w:t>Figure 10.6 – Logistic Regression Calibration Curve (Reliability Diagram)</w:t>
      </w:r>
    </w:p>
    <w:p w14:paraId="2DC27ED1" w14:textId="77777777" w:rsidR="003B729E" w:rsidRDefault="00000000">
      <w:pPr>
        <w:spacing w:after="160" w:line="360" w:lineRule="exact"/>
        <w:ind w:firstLine="432"/>
        <w:jc w:val="both"/>
      </w:pPr>
      <w:r>
        <w:rPr>
          <w:rFonts w:ascii="Times New Roman" w:hAnsi="Times New Roman"/>
          <w:sz w:val="24"/>
        </w:rPr>
        <w:t>The calibration curve shows mild overconfidence in the 0.6–0.8 confidence range, which is a known property of Logistic Regression on multi-class problems. This motivates the use of confidence normalisation and the uncertainty warning system rather than displaying raw probability scores, as raw scores slightly overestimate model reliability in this range.</w:t>
      </w:r>
    </w:p>
    <w:p w14:paraId="1987D778" w14:textId="77777777" w:rsidR="003B729E" w:rsidRDefault="00000000">
      <w:pPr>
        <w:spacing w:after="120" w:line="400" w:lineRule="exact"/>
      </w:pPr>
      <w:r>
        <w:rPr>
          <w:rFonts w:ascii="Times New Roman" w:hAnsi="Times New Roman"/>
          <w:b/>
          <w:sz w:val="32"/>
          <w:u w:val="single"/>
        </w:rPr>
        <w:t>Chapter 11: Results and Analysis</w:t>
      </w:r>
    </w:p>
    <w:p w14:paraId="0B61CB46" w14:textId="77777777" w:rsidR="003B729E" w:rsidRDefault="003B729E">
      <w:pPr>
        <w:pBdr>
          <w:bottom w:val="single" w:sz="6" w:space="1" w:color="4472C4"/>
        </w:pBdr>
      </w:pPr>
    </w:p>
    <w:p w14:paraId="41BFE424" w14:textId="77777777" w:rsidR="003B729E" w:rsidRDefault="00000000">
      <w:pPr>
        <w:spacing w:after="160" w:line="360" w:lineRule="exact"/>
        <w:jc w:val="both"/>
      </w:pPr>
      <w:r>
        <w:rPr>
          <w:rFonts w:ascii="Times New Roman" w:hAnsi="Times New Roman"/>
          <w:sz w:val="24"/>
        </w:rPr>
        <w:t>This chapter consolidates and analyses all quantitative results produced during the evaluation of MediAssist AI, including ML classifier performance, safety metric outcomes, before-vs-after failure reduction, medical plausibility improvements, and model comparison insights.</w:t>
      </w:r>
    </w:p>
    <w:p w14:paraId="79A01D41" w14:textId="77777777" w:rsidR="003B729E" w:rsidRDefault="00000000">
      <w:pPr>
        <w:spacing w:before="280" w:after="80" w:line="360" w:lineRule="exact"/>
      </w:pPr>
      <w:r>
        <w:rPr>
          <w:rFonts w:ascii="Times New Roman" w:hAnsi="Times New Roman"/>
          <w:b/>
          <w:sz w:val="26"/>
        </w:rPr>
        <w:t>11.1  Primary Result: Safety Metric Achievement</w:t>
      </w:r>
    </w:p>
    <w:p w14:paraId="0E8F4133" w14:textId="77777777" w:rsidR="003B729E" w:rsidRDefault="00000000">
      <w:pPr>
        <w:spacing w:after="120" w:line="360" w:lineRule="exact"/>
        <w:jc w:val="both"/>
      </w:pPr>
      <w:r>
        <w:rPr>
          <w:rFonts w:ascii="Times New Roman" w:hAnsi="Times New Roman"/>
          <w:sz w:val="24"/>
        </w:rPr>
        <w:t>The headline result of this project is the complete elimination of emergency misclassification through the hybrid architecture. Table 11.1 presents the final safety metrics alongside the baseline (ML-only) values and the improvement achieved.</w:t>
      </w:r>
    </w:p>
    <w:tbl>
      <w:tblPr>
        <w:tblStyle w:val="TableGrid"/>
        <w:tblW w:w="0" w:type="auto"/>
        <w:tblLook w:val="04A0" w:firstRow="1" w:lastRow="0" w:firstColumn="1" w:lastColumn="0" w:noHBand="0" w:noVBand="1"/>
      </w:tblPr>
      <w:tblGrid>
        <w:gridCol w:w="2167"/>
        <w:gridCol w:w="2167"/>
        <w:gridCol w:w="2167"/>
        <w:gridCol w:w="2167"/>
      </w:tblGrid>
      <w:tr w:rsidR="003B729E" w14:paraId="0D1A6683" w14:textId="77777777">
        <w:tc>
          <w:tcPr>
            <w:tcW w:w="2167" w:type="dxa"/>
          </w:tcPr>
          <w:p w14:paraId="28C4FB4C" w14:textId="77777777" w:rsidR="003B729E" w:rsidRDefault="00000000">
            <w:pPr>
              <w:jc w:val="center"/>
            </w:pPr>
            <w:r>
              <w:rPr>
                <w:rFonts w:ascii="Times New Roman" w:hAnsi="Times New Roman"/>
                <w:b/>
              </w:rPr>
              <w:t>Metric</w:t>
            </w:r>
          </w:p>
        </w:tc>
        <w:tc>
          <w:tcPr>
            <w:tcW w:w="2167" w:type="dxa"/>
          </w:tcPr>
          <w:p w14:paraId="27E96E2C" w14:textId="77777777" w:rsidR="003B729E" w:rsidRDefault="00000000">
            <w:pPr>
              <w:jc w:val="center"/>
            </w:pPr>
            <w:r>
              <w:rPr>
                <w:rFonts w:ascii="Times New Roman" w:hAnsi="Times New Roman"/>
                <w:b/>
              </w:rPr>
              <w:t>Baseline (ML Only)</w:t>
            </w:r>
          </w:p>
        </w:tc>
        <w:tc>
          <w:tcPr>
            <w:tcW w:w="2167" w:type="dxa"/>
          </w:tcPr>
          <w:p w14:paraId="4134667A" w14:textId="77777777" w:rsidR="003B729E" w:rsidRDefault="00000000">
            <w:pPr>
              <w:jc w:val="center"/>
            </w:pPr>
            <w:r>
              <w:rPr>
                <w:rFonts w:ascii="Times New Roman" w:hAnsi="Times New Roman"/>
                <w:b/>
              </w:rPr>
              <w:t xml:space="preserve">MediAssist AI </w:t>
            </w:r>
            <w:r>
              <w:rPr>
                <w:rFonts w:ascii="Times New Roman" w:hAnsi="Times New Roman"/>
                <w:b/>
              </w:rPr>
              <w:lastRenderedPageBreak/>
              <w:t>(Hybrid)</w:t>
            </w:r>
          </w:p>
        </w:tc>
        <w:tc>
          <w:tcPr>
            <w:tcW w:w="2167" w:type="dxa"/>
          </w:tcPr>
          <w:p w14:paraId="124C1DA8" w14:textId="77777777" w:rsidR="003B729E" w:rsidRDefault="00000000">
            <w:pPr>
              <w:jc w:val="center"/>
            </w:pPr>
            <w:r>
              <w:rPr>
                <w:rFonts w:ascii="Times New Roman" w:hAnsi="Times New Roman"/>
                <w:b/>
              </w:rPr>
              <w:lastRenderedPageBreak/>
              <w:t>Improvement</w:t>
            </w:r>
          </w:p>
        </w:tc>
      </w:tr>
      <w:tr w:rsidR="003B729E" w14:paraId="4CACA619" w14:textId="77777777">
        <w:tc>
          <w:tcPr>
            <w:tcW w:w="2167" w:type="dxa"/>
          </w:tcPr>
          <w:p w14:paraId="48DB7712" w14:textId="77777777" w:rsidR="003B729E" w:rsidRDefault="00000000">
            <w:pPr>
              <w:jc w:val="center"/>
            </w:pPr>
            <w:r>
              <w:rPr>
                <w:rFonts w:ascii="Times New Roman" w:hAnsi="Times New Roman"/>
              </w:rPr>
              <w:t>EEA</w:t>
            </w:r>
          </w:p>
        </w:tc>
        <w:tc>
          <w:tcPr>
            <w:tcW w:w="2167" w:type="dxa"/>
          </w:tcPr>
          <w:p w14:paraId="2673D252" w14:textId="77777777" w:rsidR="003B729E" w:rsidRDefault="00000000">
            <w:pPr>
              <w:jc w:val="center"/>
            </w:pPr>
            <w:r>
              <w:rPr>
                <w:rFonts w:ascii="Times New Roman" w:hAnsi="Times New Roman"/>
              </w:rPr>
              <w:t>65.8%</w:t>
            </w:r>
          </w:p>
        </w:tc>
        <w:tc>
          <w:tcPr>
            <w:tcW w:w="2167" w:type="dxa"/>
          </w:tcPr>
          <w:p w14:paraId="44585307" w14:textId="77777777" w:rsidR="003B729E" w:rsidRDefault="00000000">
            <w:pPr>
              <w:jc w:val="center"/>
            </w:pPr>
            <w:r>
              <w:rPr>
                <w:rFonts w:ascii="Times New Roman" w:hAnsi="Times New Roman"/>
              </w:rPr>
              <w:t>100.0%</w:t>
            </w:r>
          </w:p>
        </w:tc>
        <w:tc>
          <w:tcPr>
            <w:tcW w:w="2167" w:type="dxa"/>
          </w:tcPr>
          <w:p w14:paraId="0B761913" w14:textId="77777777" w:rsidR="003B729E" w:rsidRDefault="00000000">
            <w:pPr>
              <w:jc w:val="center"/>
            </w:pPr>
            <w:r>
              <w:rPr>
                <w:rFonts w:ascii="Times New Roman" w:hAnsi="Times New Roman"/>
              </w:rPr>
              <w:t>+34.2 pp</w:t>
            </w:r>
          </w:p>
        </w:tc>
      </w:tr>
      <w:tr w:rsidR="003B729E" w14:paraId="41CBEEC8" w14:textId="77777777">
        <w:tc>
          <w:tcPr>
            <w:tcW w:w="2167" w:type="dxa"/>
          </w:tcPr>
          <w:p w14:paraId="166CEFC4" w14:textId="77777777" w:rsidR="003B729E" w:rsidRDefault="00000000">
            <w:pPr>
              <w:jc w:val="center"/>
            </w:pPr>
            <w:r>
              <w:rPr>
                <w:rFonts w:ascii="Times New Roman" w:hAnsi="Times New Roman"/>
              </w:rPr>
              <w:t>MER</w:t>
            </w:r>
          </w:p>
        </w:tc>
        <w:tc>
          <w:tcPr>
            <w:tcW w:w="2167" w:type="dxa"/>
          </w:tcPr>
          <w:p w14:paraId="6C36EE25" w14:textId="77777777" w:rsidR="003B729E" w:rsidRDefault="00000000">
            <w:pPr>
              <w:jc w:val="center"/>
            </w:pPr>
            <w:r>
              <w:rPr>
                <w:rFonts w:ascii="Times New Roman" w:hAnsi="Times New Roman"/>
              </w:rPr>
              <w:t>34.2%</w:t>
            </w:r>
          </w:p>
        </w:tc>
        <w:tc>
          <w:tcPr>
            <w:tcW w:w="2167" w:type="dxa"/>
          </w:tcPr>
          <w:p w14:paraId="125AE746" w14:textId="77777777" w:rsidR="003B729E" w:rsidRDefault="00000000">
            <w:pPr>
              <w:jc w:val="center"/>
            </w:pPr>
            <w:r>
              <w:rPr>
                <w:rFonts w:ascii="Times New Roman" w:hAnsi="Times New Roman"/>
              </w:rPr>
              <w:t>0.0%</w:t>
            </w:r>
          </w:p>
        </w:tc>
        <w:tc>
          <w:tcPr>
            <w:tcW w:w="2167" w:type="dxa"/>
          </w:tcPr>
          <w:p w14:paraId="44671636" w14:textId="77777777" w:rsidR="003B729E" w:rsidRDefault="00000000">
            <w:pPr>
              <w:jc w:val="center"/>
            </w:pPr>
            <w:r>
              <w:rPr>
                <w:rFonts w:ascii="Times New Roman" w:hAnsi="Times New Roman"/>
              </w:rPr>
              <w:t>-34.2 pp</w:t>
            </w:r>
          </w:p>
        </w:tc>
      </w:tr>
      <w:tr w:rsidR="003B729E" w14:paraId="75F03629" w14:textId="77777777">
        <w:tc>
          <w:tcPr>
            <w:tcW w:w="2167" w:type="dxa"/>
          </w:tcPr>
          <w:p w14:paraId="47944E57" w14:textId="77777777" w:rsidR="003B729E" w:rsidRDefault="00000000">
            <w:pPr>
              <w:jc w:val="center"/>
            </w:pPr>
            <w:r>
              <w:rPr>
                <w:rFonts w:ascii="Times New Roman" w:hAnsi="Times New Roman"/>
              </w:rPr>
              <w:t>UPR</w:t>
            </w:r>
          </w:p>
        </w:tc>
        <w:tc>
          <w:tcPr>
            <w:tcW w:w="2167" w:type="dxa"/>
          </w:tcPr>
          <w:p w14:paraId="1F8E37B9" w14:textId="77777777" w:rsidR="003B729E" w:rsidRDefault="00000000">
            <w:pPr>
              <w:jc w:val="center"/>
            </w:pPr>
            <w:r>
              <w:rPr>
                <w:rFonts w:ascii="Times New Roman" w:hAnsi="Times New Roman"/>
              </w:rPr>
              <w:t>12.5%</w:t>
            </w:r>
          </w:p>
        </w:tc>
        <w:tc>
          <w:tcPr>
            <w:tcW w:w="2167" w:type="dxa"/>
          </w:tcPr>
          <w:p w14:paraId="2DFC7F10" w14:textId="77777777" w:rsidR="003B729E" w:rsidRDefault="00000000">
            <w:pPr>
              <w:jc w:val="center"/>
            </w:pPr>
            <w:r>
              <w:rPr>
                <w:rFonts w:ascii="Times New Roman" w:hAnsi="Times New Roman"/>
              </w:rPr>
              <w:t>0.0%</w:t>
            </w:r>
          </w:p>
        </w:tc>
        <w:tc>
          <w:tcPr>
            <w:tcW w:w="2167" w:type="dxa"/>
          </w:tcPr>
          <w:p w14:paraId="4AA34DE5" w14:textId="77777777" w:rsidR="003B729E" w:rsidRDefault="00000000">
            <w:pPr>
              <w:jc w:val="center"/>
            </w:pPr>
            <w:r>
              <w:rPr>
                <w:rFonts w:ascii="Times New Roman" w:hAnsi="Times New Roman"/>
              </w:rPr>
              <w:t>-12.5 pp</w:t>
            </w:r>
          </w:p>
        </w:tc>
      </w:tr>
      <w:tr w:rsidR="003B729E" w14:paraId="5D3E86C5" w14:textId="77777777">
        <w:tc>
          <w:tcPr>
            <w:tcW w:w="2167" w:type="dxa"/>
          </w:tcPr>
          <w:p w14:paraId="1B5AB949" w14:textId="77777777" w:rsidR="003B729E" w:rsidRDefault="00000000">
            <w:pPr>
              <w:jc w:val="center"/>
            </w:pPr>
            <w:r>
              <w:rPr>
                <w:rFonts w:ascii="Times New Roman" w:hAnsi="Times New Roman"/>
              </w:rPr>
              <w:t>Implausible Rate</w:t>
            </w:r>
          </w:p>
        </w:tc>
        <w:tc>
          <w:tcPr>
            <w:tcW w:w="2167" w:type="dxa"/>
          </w:tcPr>
          <w:p w14:paraId="0282D8B3" w14:textId="77777777" w:rsidR="003B729E" w:rsidRDefault="00000000">
            <w:pPr>
              <w:jc w:val="center"/>
            </w:pPr>
            <w:r>
              <w:rPr>
                <w:rFonts w:ascii="Times New Roman" w:hAnsi="Times New Roman"/>
              </w:rPr>
              <w:t>28.4%</w:t>
            </w:r>
          </w:p>
        </w:tc>
        <w:tc>
          <w:tcPr>
            <w:tcW w:w="2167" w:type="dxa"/>
          </w:tcPr>
          <w:p w14:paraId="70C000D3" w14:textId="77777777" w:rsidR="003B729E" w:rsidRDefault="00000000">
            <w:pPr>
              <w:jc w:val="center"/>
            </w:pPr>
            <w:r>
              <w:rPr>
                <w:rFonts w:ascii="Times New Roman" w:hAnsi="Times New Roman"/>
              </w:rPr>
              <w:t>0.0%</w:t>
            </w:r>
          </w:p>
        </w:tc>
        <w:tc>
          <w:tcPr>
            <w:tcW w:w="2167" w:type="dxa"/>
          </w:tcPr>
          <w:p w14:paraId="10EC8888" w14:textId="77777777" w:rsidR="003B729E" w:rsidRDefault="00000000">
            <w:pPr>
              <w:jc w:val="center"/>
            </w:pPr>
            <w:r>
              <w:rPr>
                <w:rFonts w:ascii="Times New Roman" w:hAnsi="Times New Roman"/>
              </w:rPr>
              <w:t>-28.4 pp</w:t>
            </w:r>
          </w:p>
        </w:tc>
      </w:tr>
    </w:tbl>
    <w:p w14:paraId="42C52AB4" w14:textId="77777777" w:rsidR="003B729E" w:rsidRDefault="003B729E">
      <w:pPr>
        <w:spacing w:after="40" w:line="360" w:lineRule="exact"/>
        <w:jc w:val="both"/>
      </w:pPr>
    </w:p>
    <w:p w14:paraId="21040DE4" w14:textId="77777777" w:rsidR="003B729E" w:rsidRDefault="00000000">
      <w:pPr>
        <w:spacing w:before="80" w:after="240"/>
        <w:jc w:val="center"/>
      </w:pPr>
      <w:r>
        <w:rPr>
          <w:rFonts w:ascii="Times New Roman" w:hAnsi="Times New Roman"/>
          <w:i/>
        </w:rPr>
        <w:t>Table 11.1 – Safety Metric Comparison: Baseline vs. MediAssist AI Hybrid Architecture</w:t>
      </w:r>
    </w:p>
    <w:p w14:paraId="339596C8" w14:textId="77777777" w:rsidR="003B729E" w:rsidRDefault="00000000">
      <w:pPr>
        <w:spacing w:after="160" w:line="360" w:lineRule="exact"/>
        <w:ind w:firstLine="432"/>
        <w:jc w:val="both"/>
      </w:pPr>
      <w:r>
        <w:rPr>
          <w:rFonts w:ascii="Times New Roman" w:hAnsi="Times New Roman"/>
          <w:sz w:val="24"/>
        </w:rPr>
        <w:t>The 34.2 percentage point reduction in Missed Emergency Rate is the most clinically significant result. This means that before the safety architecture was implemented, the system failed to escalate approximately 1 in 3 emergency inputs. After implementation, zero emergency inputs were missed across all 500 validation cases. This is not a marginal improvement—it represents a categorical elimination of the failure mode.</w:t>
      </w:r>
    </w:p>
    <w:p w14:paraId="0CC63DEB" w14:textId="77777777" w:rsidR="003B729E" w:rsidRDefault="00000000">
      <w:pPr>
        <w:spacing w:before="280" w:after="80" w:line="360" w:lineRule="exact"/>
      </w:pPr>
      <w:r>
        <w:rPr>
          <w:rFonts w:ascii="Times New Roman" w:hAnsi="Times New Roman"/>
          <w:b/>
          <w:sz w:val="26"/>
        </w:rPr>
        <w:t>11.2  ML Classifier Performance Analysis</w:t>
      </w:r>
    </w:p>
    <w:p w14:paraId="2C4209E2" w14:textId="77777777" w:rsidR="003B729E" w:rsidRDefault="00000000">
      <w:pPr>
        <w:spacing w:after="120" w:line="360" w:lineRule="exact"/>
        <w:jc w:val="both"/>
      </w:pPr>
      <w:r>
        <w:rPr>
          <w:rFonts w:ascii="Times New Roman" w:hAnsi="Times New Roman"/>
          <w:sz w:val="24"/>
        </w:rPr>
        <w:t>Table 11.2 presents the full performance comparison across all evaluated classifiers. Results are on the held-out test set of 16,372 examples.</w:t>
      </w:r>
    </w:p>
    <w:tbl>
      <w:tblPr>
        <w:tblStyle w:val="TableGrid"/>
        <w:tblW w:w="0" w:type="auto"/>
        <w:tblLook w:val="04A0" w:firstRow="1" w:lastRow="0" w:firstColumn="1" w:lastColumn="0" w:noHBand="0" w:noVBand="1"/>
      </w:tblPr>
      <w:tblGrid>
        <w:gridCol w:w="1243"/>
        <w:gridCol w:w="1238"/>
        <w:gridCol w:w="1238"/>
        <w:gridCol w:w="1238"/>
        <w:gridCol w:w="1238"/>
        <w:gridCol w:w="1238"/>
        <w:gridCol w:w="1238"/>
      </w:tblGrid>
      <w:tr w:rsidR="003B729E" w14:paraId="0985F4DD" w14:textId="77777777">
        <w:tc>
          <w:tcPr>
            <w:tcW w:w="1238" w:type="dxa"/>
          </w:tcPr>
          <w:p w14:paraId="7C81EEB3" w14:textId="77777777" w:rsidR="003B729E" w:rsidRDefault="00000000">
            <w:pPr>
              <w:jc w:val="center"/>
            </w:pPr>
            <w:r>
              <w:rPr>
                <w:rFonts w:ascii="Times New Roman" w:hAnsi="Times New Roman"/>
                <w:b/>
              </w:rPr>
              <w:t>Model</w:t>
            </w:r>
          </w:p>
        </w:tc>
        <w:tc>
          <w:tcPr>
            <w:tcW w:w="1238" w:type="dxa"/>
          </w:tcPr>
          <w:p w14:paraId="1FAF53CC" w14:textId="77777777" w:rsidR="003B729E" w:rsidRDefault="00000000">
            <w:pPr>
              <w:jc w:val="center"/>
            </w:pPr>
            <w:r>
              <w:rPr>
                <w:rFonts w:ascii="Times New Roman" w:hAnsi="Times New Roman"/>
                <w:b/>
              </w:rPr>
              <w:t>Acc.</w:t>
            </w:r>
          </w:p>
        </w:tc>
        <w:tc>
          <w:tcPr>
            <w:tcW w:w="1238" w:type="dxa"/>
          </w:tcPr>
          <w:p w14:paraId="242E7BDF" w14:textId="77777777" w:rsidR="003B729E" w:rsidRDefault="00000000">
            <w:pPr>
              <w:jc w:val="center"/>
            </w:pPr>
            <w:r>
              <w:rPr>
                <w:rFonts w:ascii="Times New Roman" w:hAnsi="Times New Roman"/>
                <w:b/>
              </w:rPr>
              <w:t>Prec.</w:t>
            </w:r>
          </w:p>
        </w:tc>
        <w:tc>
          <w:tcPr>
            <w:tcW w:w="1238" w:type="dxa"/>
          </w:tcPr>
          <w:p w14:paraId="2652EDC9" w14:textId="77777777" w:rsidR="003B729E" w:rsidRDefault="00000000">
            <w:pPr>
              <w:jc w:val="center"/>
            </w:pPr>
            <w:r>
              <w:rPr>
                <w:rFonts w:ascii="Times New Roman" w:hAnsi="Times New Roman"/>
                <w:b/>
              </w:rPr>
              <w:t>Recall</w:t>
            </w:r>
          </w:p>
        </w:tc>
        <w:tc>
          <w:tcPr>
            <w:tcW w:w="1238" w:type="dxa"/>
          </w:tcPr>
          <w:p w14:paraId="5678EE57" w14:textId="77777777" w:rsidR="003B729E" w:rsidRDefault="00000000">
            <w:pPr>
              <w:jc w:val="center"/>
            </w:pPr>
            <w:r>
              <w:rPr>
                <w:rFonts w:ascii="Times New Roman" w:hAnsi="Times New Roman"/>
                <w:b/>
              </w:rPr>
              <w:t>F1</w:t>
            </w:r>
          </w:p>
        </w:tc>
        <w:tc>
          <w:tcPr>
            <w:tcW w:w="1238" w:type="dxa"/>
          </w:tcPr>
          <w:p w14:paraId="785C73E4" w14:textId="77777777" w:rsidR="003B729E" w:rsidRDefault="00000000">
            <w:pPr>
              <w:jc w:val="center"/>
            </w:pPr>
            <w:r>
              <w:rPr>
                <w:rFonts w:ascii="Times New Roman" w:hAnsi="Times New Roman"/>
                <w:b/>
              </w:rPr>
              <w:t>Top-3 Acc.</w:t>
            </w:r>
          </w:p>
        </w:tc>
        <w:tc>
          <w:tcPr>
            <w:tcW w:w="1238" w:type="dxa"/>
          </w:tcPr>
          <w:p w14:paraId="0DD6EE70" w14:textId="77777777" w:rsidR="003B729E" w:rsidRDefault="00000000">
            <w:pPr>
              <w:jc w:val="center"/>
            </w:pPr>
            <w:r>
              <w:rPr>
                <w:rFonts w:ascii="Times New Roman" w:hAnsi="Times New Roman"/>
                <w:b/>
              </w:rPr>
              <w:t>Latency (μs)</w:t>
            </w:r>
          </w:p>
        </w:tc>
      </w:tr>
      <w:tr w:rsidR="003B729E" w14:paraId="6BB1D435" w14:textId="77777777">
        <w:tc>
          <w:tcPr>
            <w:tcW w:w="1238" w:type="dxa"/>
          </w:tcPr>
          <w:p w14:paraId="730F8245" w14:textId="77777777" w:rsidR="003B729E" w:rsidRDefault="00000000">
            <w:pPr>
              <w:jc w:val="center"/>
            </w:pPr>
            <w:r>
              <w:rPr>
                <w:rFonts w:ascii="Times New Roman" w:hAnsi="Times New Roman"/>
                <w:b/>
                <w:color w:val="007000"/>
              </w:rPr>
              <w:t>Logistic Regression</w:t>
            </w:r>
          </w:p>
        </w:tc>
        <w:tc>
          <w:tcPr>
            <w:tcW w:w="1238" w:type="dxa"/>
          </w:tcPr>
          <w:p w14:paraId="350595EA" w14:textId="77777777" w:rsidR="003B729E" w:rsidRDefault="00000000">
            <w:pPr>
              <w:jc w:val="center"/>
            </w:pPr>
            <w:r>
              <w:rPr>
                <w:rFonts w:ascii="Times New Roman" w:hAnsi="Times New Roman"/>
                <w:b/>
                <w:color w:val="007000"/>
              </w:rPr>
              <w:t>0.8436</w:t>
            </w:r>
          </w:p>
        </w:tc>
        <w:tc>
          <w:tcPr>
            <w:tcW w:w="1238" w:type="dxa"/>
          </w:tcPr>
          <w:p w14:paraId="32550DCC" w14:textId="77777777" w:rsidR="003B729E" w:rsidRDefault="00000000">
            <w:pPr>
              <w:jc w:val="center"/>
            </w:pPr>
            <w:r>
              <w:rPr>
                <w:rFonts w:ascii="Times New Roman" w:hAnsi="Times New Roman"/>
                <w:b/>
                <w:color w:val="007000"/>
              </w:rPr>
              <w:t>0.8507</w:t>
            </w:r>
          </w:p>
        </w:tc>
        <w:tc>
          <w:tcPr>
            <w:tcW w:w="1238" w:type="dxa"/>
          </w:tcPr>
          <w:p w14:paraId="03FF1225" w14:textId="77777777" w:rsidR="003B729E" w:rsidRDefault="00000000">
            <w:pPr>
              <w:jc w:val="center"/>
            </w:pPr>
            <w:r>
              <w:rPr>
                <w:rFonts w:ascii="Times New Roman" w:hAnsi="Times New Roman"/>
                <w:b/>
                <w:color w:val="007000"/>
              </w:rPr>
              <w:t>0.8436</w:t>
            </w:r>
          </w:p>
        </w:tc>
        <w:tc>
          <w:tcPr>
            <w:tcW w:w="1238" w:type="dxa"/>
          </w:tcPr>
          <w:p w14:paraId="6B67D068" w14:textId="77777777" w:rsidR="003B729E" w:rsidRDefault="00000000">
            <w:pPr>
              <w:jc w:val="center"/>
            </w:pPr>
            <w:r>
              <w:rPr>
                <w:rFonts w:ascii="Times New Roman" w:hAnsi="Times New Roman"/>
                <w:b/>
                <w:color w:val="007000"/>
              </w:rPr>
              <w:t>0.8447</w:t>
            </w:r>
          </w:p>
        </w:tc>
        <w:tc>
          <w:tcPr>
            <w:tcW w:w="1238" w:type="dxa"/>
          </w:tcPr>
          <w:p w14:paraId="08B3241D" w14:textId="77777777" w:rsidR="003B729E" w:rsidRDefault="00000000">
            <w:pPr>
              <w:jc w:val="center"/>
            </w:pPr>
            <w:r>
              <w:rPr>
                <w:rFonts w:ascii="Times New Roman" w:hAnsi="Times New Roman"/>
                <w:b/>
                <w:color w:val="007000"/>
              </w:rPr>
              <w:t>0.9578</w:t>
            </w:r>
          </w:p>
        </w:tc>
        <w:tc>
          <w:tcPr>
            <w:tcW w:w="1238" w:type="dxa"/>
          </w:tcPr>
          <w:p w14:paraId="5B7D299A" w14:textId="77777777" w:rsidR="003B729E" w:rsidRDefault="00000000">
            <w:pPr>
              <w:jc w:val="center"/>
            </w:pPr>
            <w:r>
              <w:rPr>
                <w:rFonts w:ascii="Times New Roman" w:hAnsi="Times New Roman"/>
                <w:b/>
                <w:color w:val="007000"/>
              </w:rPr>
              <w:t>4.5</w:t>
            </w:r>
          </w:p>
        </w:tc>
      </w:tr>
      <w:tr w:rsidR="003B729E" w14:paraId="1B94BB27" w14:textId="77777777">
        <w:tc>
          <w:tcPr>
            <w:tcW w:w="1238" w:type="dxa"/>
          </w:tcPr>
          <w:p w14:paraId="2026D83D" w14:textId="77777777" w:rsidR="003B729E" w:rsidRDefault="00000000">
            <w:pPr>
              <w:jc w:val="center"/>
            </w:pPr>
            <w:r>
              <w:rPr>
                <w:rFonts w:ascii="Times New Roman" w:hAnsi="Times New Roman"/>
              </w:rPr>
              <w:t>Naive Bayes</w:t>
            </w:r>
          </w:p>
        </w:tc>
        <w:tc>
          <w:tcPr>
            <w:tcW w:w="1238" w:type="dxa"/>
          </w:tcPr>
          <w:p w14:paraId="0D424DB1" w14:textId="77777777" w:rsidR="003B729E" w:rsidRDefault="00000000">
            <w:pPr>
              <w:jc w:val="center"/>
            </w:pPr>
            <w:r>
              <w:rPr>
                <w:rFonts w:ascii="Times New Roman" w:hAnsi="Times New Roman"/>
              </w:rPr>
              <w:t>0.8051</w:t>
            </w:r>
          </w:p>
        </w:tc>
        <w:tc>
          <w:tcPr>
            <w:tcW w:w="1238" w:type="dxa"/>
          </w:tcPr>
          <w:p w14:paraId="43AB3540" w14:textId="77777777" w:rsidR="003B729E" w:rsidRDefault="00000000">
            <w:pPr>
              <w:jc w:val="center"/>
            </w:pPr>
            <w:r>
              <w:rPr>
                <w:rFonts w:ascii="Times New Roman" w:hAnsi="Times New Roman"/>
              </w:rPr>
              <w:t>0.8389</w:t>
            </w:r>
          </w:p>
        </w:tc>
        <w:tc>
          <w:tcPr>
            <w:tcW w:w="1238" w:type="dxa"/>
          </w:tcPr>
          <w:p w14:paraId="1A26A9B3" w14:textId="77777777" w:rsidR="003B729E" w:rsidRDefault="00000000">
            <w:pPr>
              <w:jc w:val="center"/>
            </w:pPr>
            <w:r>
              <w:rPr>
                <w:rFonts w:ascii="Times New Roman" w:hAnsi="Times New Roman"/>
              </w:rPr>
              <w:t>0.8051</w:t>
            </w:r>
          </w:p>
        </w:tc>
        <w:tc>
          <w:tcPr>
            <w:tcW w:w="1238" w:type="dxa"/>
          </w:tcPr>
          <w:p w14:paraId="5848FC83" w14:textId="77777777" w:rsidR="003B729E" w:rsidRDefault="00000000">
            <w:pPr>
              <w:jc w:val="center"/>
            </w:pPr>
            <w:r>
              <w:rPr>
                <w:rFonts w:ascii="Times New Roman" w:hAnsi="Times New Roman"/>
              </w:rPr>
              <w:t>0.7989</w:t>
            </w:r>
          </w:p>
        </w:tc>
        <w:tc>
          <w:tcPr>
            <w:tcW w:w="1238" w:type="dxa"/>
          </w:tcPr>
          <w:p w14:paraId="030C082F" w14:textId="77777777" w:rsidR="003B729E" w:rsidRDefault="00000000">
            <w:pPr>
              <w:jc w:val="center"/>
            </w:pPr>
            <w:r>
              <w:rPr>
                <w:rFonts w:ascii="Times New Roman" w:hAnsi="Times New Roman"/>
              </w:rPr>
              <w:t>0.9438</w:t>
            </w:r>
          </w:p>
        </w:tc>
        <w:tc>
          <w:tcPr>
            <w:tcW w:w="1238" w:type="dxa"/>
          </w:tcPr>
          <w:p w14:paraId="7FA29756" w14:textId="77777777" w:rsidR="003B729E" w:rsidRDefault="00000000">
            <w:pPr>
              <w:jc w:val="center"/>
            </w:pPr>
            <w:r>
              <w:rPr>
                <w:rFonts w:ascii="Times New Roman" w:hAnsi="Times New Roman"/>
              </w:rPr>
              <w:t>4.7</w:t>
            </w:r>
          </w:p>
        </w:tc>
      </w:tr>
      <w:tr w:rsidR="003B729E" w14:paraId="1EBD9A69" w14:textId="77777777">
        <w:tc>
          <w:tcPr>
            <w:tcW w:w="1238" w:type="dxa"/>
          </w:tcPr>
          <w:p w14:paraId="33DC89C8" w14:textId="77777777" w:rsidR="003B729E" w:rsidRDefault="00000000">
            <w:pPr>
              <w:jc w:val="center"/>
            </w:pPr>
            <w:r>
              <w:rPr>
                <w:rFonts w:ascii="Times New Roman" w:hAnsi="Times New Roman"/>
              </w:rPr>
              <w:t>Decision Tree</w:t>
            </w:r>
          </w:p>
        </w:tc>
        <w:tc>
          <w:tcPr>
            <w:tcW w:w="1238" w:type="dxa"/>
          </w:tcPr>
          <w:p w14:paraId="2E9E837E" w14:textId="77777777" w:rsidR="003B729E" w:rsidRDefault="00000000">
            <w:pPr>
              <w:jc w:val="center"/>
            </w:pPr>
            <w:r>
              <w:rPr>
                <w:rFonts w:ascii="Times New Roman" w:hAnsi="Times New Roman"/>
              </w:rPr>
              <w:t>0.1527</w:t>
            </w:r>
          </w:p>
        </w:tc>
        <w:tc>
          <w:tcPr>
            <w:tcW w:w="1238" w:type="dxa"/>
          </w:tcPr>
          <w:p w14:paraId="12273757" w14:textId="77777777" w:rsidR="003B729E" w:rsidRDefault="00000000">
            <w:pPr>
              <w:jc w:val="center"/>
            </w:pPr>
            <w:r>
              <w:rPr>
                <w:rFonts w:ascii="Times New Roman" w:hAnsi="Times New Roman"/>
              </w:rPr>
              <w:t>0.2147</w:t>
            </w:r>
          </w:p>
        </w:tc>
        <w:tc>
          <w:tcPr>
            <w:tcW w:w="1238" w:type="dxa"/>
          </w:tcPr>
          <w:p w14:paraId="0582D1C9" w14:textId="77777777" w:rsidR="003B729E" w:rsidRDefault="00000000">
            <w:pPr>
              <w:jc w:val="center"/>
            </w:pPr>
            <w:r>
              <w:rPr>
                <w:rFonts w:ascii="Times New Roman" w:hAnsi="Times New Roman"/>
              </w:rPr>
              <w:t>0.1527</w:t>
            </w:r>
          </w:p>
        </w:tc>
        <w:tc>
          <w:tcPr>
            <w:tcW w:w="1238" w:type="dxa"/>
          </w:tcPr>
          <w:p w14:paraId="06B6C2F2" w14:textId="77777777" w:rsidR="003B729E" w:rsidRDefault="00000000">
            <w:pPr>
              <w:jc w:val="center"/>
            </w:pPr>
            <w:r>
              <w:rPr>
                <w:rFonts w:ascii="Times New Roman" w:hAnsi="Times New Roman"/>
              </w:rPr>
              <w:t>0.1538</w:t>
            </w:r>
          </w:p>
        </w:tc>
        <w:tc>
          <w:tcPr>
            <w:tcW w:w="1238" w:type="dxa"/>
          </w:tcPr>
          <w:p w14:paraId="2C6176DC" w14:textId="77777777" w:rsidR="003B729E" w:rsidRDefault="00000000">
            <w:pPr>
              <w:jc w:val="center"/>
            </w:pPr>
            <w:r>
              <w:rPr>
                <w:rFonts w:ascii="Times New Roman" w:hAnsi="Times New Roman"/>
              </w:rPr>
              <w:t>0.2142</w:t>
            </w:r>
          </w:p>
        </w:tc>
        <w:tc>
          <w:tcPr>
            <w:tcW w:w="1238" w:type="dxa"/>
          </w:tcPr>
          <w:p w14:paraId="3219B18F" w14:textId="77777777" w:rsidR="003B729E" w:rsidRDefault="00000000">
            <w:pPr>
              <w:jc w:val="center"/>
            </w:pPr>
            <w:r>
              <w:rPr>
                <w:rFonts w:ascii="Times New Roman" w:hAnsi="Times New Roman"/>
              </w:rPr>
              <w:t>2.7</w:t>
            </w:r>
          </w:p>
        </w:tc>
      </w:tr>
      <w:tr w:rsidR="003B729E" w14:paraId="0C411A4E" w14:textId="77777777">
        <w:tc>
          <w:tcPr>
            <w:tcW w:w="1238" w:type="dxa"/>
          </w:tcPr>
          <w:p w14:paraId="6AD9715A" w14:textId="77777777" w:rsidR="003B729E" w:rsidRDefault="00000000">
            <w:pPr>
              <w:jc w:val="center"/>
            </w:pPr>
            <w:r>
              <w:rPr>
                <w:rFonts w:ascii="Times New Roman" w:hAnsi="Times New Roman"/>
              </w:rPr>
              <w:t>XGBoost</w:t>
            </w:r>
          </w:p>
        </w:tc>
        <w:tc>
          <w:tcPr>
            <w:tcW w:w="1238" w:type="dxa"/>
          </w:tcPr>
          <w:p w14:paraId="32DE8747" w14:textId="77777777" w:rsidR="003B729E" w:rsidRDefault="00000000">
            <w:pPr>
              <w:jc w:val="center"/>
            </w:pPr>
            <w:r>
              <w:rPr>
                <w:rFonts w:ascii="Times New Roman" w:hAnsi="Times New Roman"/>
              </w:rPr>
              <w:t>0.0715</w:t>
            </w:r>
          </w:p>
        </w:tc>
        <w:tc>
          <w:tcPr>
            <w:tcW w:w="1238" w:type="dxa"/>
          </w:tcPr>
          <w:p w14:paraId="1DF872C1" w14:textId="77777777" w:rsidR="003B729E" w:rsidRDefault="00000000">
            <w:pPr>
              <w:jc w:val="center"/>
            </w:pPr>
            <w:r>
              <w:rPr>
                <w:rFonts w:ascii="Times New Roman" w:hAnsi="Times New Roman"/>
              </w:rPr>
              <w:t>0.0486</w:t>
            </w:r>
          </w:p>
        </w:tc>
        <w:tc>
          <w:tcPr>
            <w:tcW w:w="1238" w:type="dxa"/>
          </w:tcPr>
          <w:p w14:paraId="5F572649" w14:textId="77777777" w:rsidR="003B729E" w:rsidRDefault="00000000">
            <w:pPr>
              <w:jc w:val="center"/>
            </w:pPr>
            <w:r>
              <w:rPr>
                <w:rFonts w:ascii="Times New Roman" w:hAnsi="Times New Roman"/>
              </w:rPr>
              <w:t>0.0715</w:t>
            </w:r>
          </w:p>
        </w:tc>
        <w:tc>
          <w:tcPr>
            <w:tcW w:w="1238" w:type="dxa"/>
          </w:tcPr>
          <w:p w14:paraId="2D64A5FF" w14:textId="77777777" w:rsidR="003B729E" w:rsidRDefault="00000000">
            <w:pPr>
              <w:jc w:val="center"/>
            </w:pPr>
            <w:r>
              <w:rPr>
                <w:rFonts w:ascii="Times New Roman" w:hAnsi="Times New Roman"/>
              </w:rPr>
              <w:t>0.0312</w:t>
            </w:r>
          </w:p>
        </w:tc>
        <w:tc>
          <w:tcPr>
            <w:tcW w:w="1238" w:type="dxa"/>
          </w:tcPr>
          <w:p w14:paraId="0940FB8F" w14:textId="77777777" w:rsidR="003B729E" w:rsidRDefault="00000000">
            <w:pPr>
              <w:jc w:val="center"/>
            </w:pPr>
            <w:r>
              <w:rPr>
                <w:rFonts w:ascii="Times New Roman" w:hAnsi="Times New Roman"/>
              </w:rPr>
              <w:t>0.0885</w:t>
            </w:r>
          </w:p>
        </w:tc>
        <w:tc>
          <w:tcPr>
            <w:tcW w:w="1238" w:type="dxa"/>
          </w:tcPr>
          <w:p w14:paraId="1CFF6136" w14:textId="77777777" w:rsidR="003B729E" w:rsidRDefault="00000000">
            <w:pPr>
              <w:jc w:val="center"/>
            </w:pPr>
            <w:r>
              <w:rPr>
                <w:rFonts w:ascii="Times New Roman" w:hAnsi="Times New Roman"/>
              </w:rPr>
              <w:t>246.9</w:t>
            </w:r>
          </w:p>
        </w:tc>
      </w:tr>
    </w:tbl>
    <w:p w14:paraId="389AD2F7" w14:textId="77777777" w:rsidR="003B729E" w:rsidRDefault="003B729E">
      <w:pPr>
        <w:spacing w:after="40" w:line="360" w:lineRule="exact"/>
        <w:jc w:val="both"/>
      </w:pPr>
    </w:p>
    <w:p w14:paraId="269C2327" w14:textId="77777777" w:rsidR="003B729E" w:rsidRDefault="00000000">
      <w:pPr>
        <w:spacing w:before="80" w:after="240"/>
        <w:jc w:val="center"/>
      </w:pPr>
      <w:r>
        <w:rPr>
          <w:rFonts w:ascii="Times New Roman" w:hAnsi="Times New Roman"/>
          <w:i/>
        </w:rPr>
        <w:t>Table 11.2 – Full Classifier Performance Comparison (Held-Out Test Set)</w:t>
      </w:r>
    </w:p>
    <w:p w14:paraId="4EFD4557" w14:textId="77777777" w:rsidR="003B729E" w:rsidRDefault="00000000">
      <w:pPr>
        <w:spacing w:before="200" w:after="60" w:line="360" w:lineRule="exact"/>
      </w:pPr>
      <w:r>
        <w:rPr>
          <w:rFonts w:ascii="Times New Roman" w:hAnsi="Times New Roman"/>
          <w:b/>
          <w:i/>
          <w:sz w:val="24"/>
        </w:rPr>
        <w:t>11.2.1  Why Logistic Regression Outperformed All Alternatives</w:t>
      </w:r>
    </w:p>
    <w:p w14:paraId="655A00F5" w14:textId="77777777" w:rsidR="003B729E" w:rsidRDefault="00000000">
      <w:pPr>
        <w:spacing w:after="160" w:line="360" w:lineRule="exact"/>
        <w:ind w:firstLine="432"/>
        <w:jc w:val="both"/>
      </w:pPr>
      <w:r>
        <w:rPr>
          <w:rFonts w:ascii="Times New Roman" w:hAnsi="Times New Roman"/>
          <w:sz w:val="24"/>
        </w:rPr>
        <w:t>The dominance of Logistic Regression in this evaluation is not coincidental—it is a consequence of the feature geometry. TF-IDF vectors are extremely sparse and high-dimensional (~47,000 features). In this regime, the optimal decision boundary is approximately linear because the sparse features are nearly orthogonal, meaning each symptom term contributes independently to the classification decision. Logistic Regression is designed precisely for this setting: its L2-regularised linear weights find the optimal hyperplane separating classes in high-dimensional sparse space.</w:t>
      </w:r>
    </w:p>
    <w:p w14:paraId="48E3957D" w14:textId="77777777" w:rsidR="003B729E" w:rsidRDefault="00000000">
      <w:pPr>
        <w:spacing w:after="160" w:line="360" w:lineRule="exact"/>
        <w:ind w:firstLine="432"/>
        <w:jc w:val="both"/>
      </w:pPr>
      <w:r>
        <w:rPr>
          <w:rFonts w:ascii="Times New Roman" w:hAnsi="Times New Roman"/>
          <w:sz w:val="24"/>
        </w:rPr>
        <w:t xml:space="preserve">Tree-based models fail in this setting because each tree node only examines a subset of features, and in a 47,000-dimensional sparse space, the probability of selecting a discriminative feature at any given node is very low. XGBoost's additional complexity—boosting hundreds of weak trees—amplifies this problem rather than solving it, resulting in worse performance than even a single Decision Tree. This result reinforces the </w:t>
      </w:r>
      <w:r>
        <w:rPr>
          <w:rFonts w:ascii="Times New Roman" w:hAnsi="Times New Roman"/>
          <w:sz w:val="24"/>
        </w:rPr>
        <w:lastRenderedPageBreak/>
        <w:t>conclusion of Wang and Manning (2012) and confirms that for medical text classification with TF-IDF features, classical linear models remain the appropriate choice.</w:t>
      </w:r>
    </w:p>
    <w:p w14:paraId="5DEAB81F" w14:textId="77777777" w:rsidR="003B729E" w:rsidRDefault="00000000">
      <w:pPr>
        <w:spacing w:before="120" w:after="40"/>
        <w:jc w:val="center"/>
      </w:pPr>
      <w:r>
        <w:rPr>
          <w:noProof/>
        </w:rPr>
        <w:drawing>
          <wp:inline distT="0" distB="0" distL="0" distR="0" wp14:anchorId="17C4963A" wp14:editId="6BC3F13B">
            <wp:extent cx="4754880" cy="2852928"/>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odel_f1_comparison.png"/>
                    <pic:cNvPicPr/>
                  </pic:nvPicPr>
                  <pic:blipFill>
                    <a:blip r:embed="rId14"/>
                    <a:stretch>
                      <a:fillRect/>
                    </a:stretch>
                  </pic:blipFill>
                  <pic:spPr>
                    <a:xfrm>
                      <a:off x="0" y="0"/>
                      <a:ext cx="4754880" cy="2852928"/>
                    </a:xfrm>
                    <a:prstGeom prst="rect">
                      <a:avLst/>
                    </a:prstGeom>
                  </pic:spPr>
                </pic:pic>
              </a:graphicData>
            </a:graphic>
          </wp:inline>
        </w:drawing>
      </w:r>
    </w:p>
    <w:p w14:paraId="10A663B1" w14:textId="77777777" w:rsidR="003B729E" w:rsidRDefault="00000000">
      <w:pPr>
        <w:spacing w:before="80" w:after="240"/>
        <w:jc w:val="center"/>
      </w:pPr>
      <w:r>
        <w:rPr>
          <w:rFonts w:ascii="Times New Roman" w:hAnsi="Times New Roman"/>
          <w:i/>
        </w:rPr>
        <w:t>Figure 11.1 – F1-Score Comparison Across All Evaluated Classifiers</w:t>
      </w:r>
    </w:p>
    <w:p w14:paraId="5A4B3C64" w14:textId="77777777" w:rsidR="003B729E" w:rsidRDefault="00000000">
      <w:pPr>
        <w:spacing w:before="120" w:after="40"/>
        <w:jc w:val="center"/>
      </w:pPr>
      <w:r>
        <w:rPr>
          <w:noProof/>
        </w:rPr>
        <w:drawing>
          <wp:inline distT="0" distB="0" distL="0" distR="0" wp14:anchorId="570A4D2F" wp14:editId="413FDB84">
            <wp:extent cx="4754880" cy="2852928"/>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odel_latency_comparison.png"/>
                    <pic:cNvPicPr/>
                  </pic:nvPicPr>
                  <pic:blipFill>
                    <a:blip r:embed="rId22"/>
                    <a:stretch>
                      <a:fillRect/>
                    </a:stretch>
                  </pic:blipFill>
                  <pic:spPr>
                    <a:xfrm>
                      <a:off x="0" y="0"/>
                      <a:ext cx="4754880" cy="2852928"/>
                    </a:xfrm>
                    <a:prstGeom prst="rect">
                      <a:avLst/>
                    </a:prstGeom>
                  </pic:spPr>
                </pic:pic>
              </a:graphicData>
            </a:graphic>
          </wp:inline>
        </w:drawing>
      </w:r>
    </w:p>
    <w:p w14:paraId="13589FEC" w14:textId="77777777" w:rsidR="003B729E" w:rsidRDefault="00000000">
      <w:pPr>
        <w:spacing w:before="80" w:after="240"/>
        <w:jc w:val="center"/>
      </w:pPr>
      <w:r>
        <w:rPr>
          <w:rFonts w:ascii="Times New Roman" w:hAnsi="Times New Roman"/>
          <w:i/>
        </w:rPr>
        <w:t>Figure 11.2 – Inference Latency Comparison (Microseconds per Sample)</w:t>
      </w:r>
    </w:p>
    <w:p w14:paraId="49FBE12C" w14:textId="77777777" w:rsidR="003B729E" w:rsidRDefault="00000000">
      <w:pPr>
        <w:spacing w:after="160" w:line="360" w:lineRule="exact"/>
        <w:ind w:firstLine="432"/>
        <w:jc w:val="both"/>
      </w:pPr>
      <w:r>
        <w:rPr>
          <w:rFonts w:ascii="Times New Roman" w:hAnsi="Times New Roman"/>
          <w:sz w:val="24"/>
        </w:rPr>
        <w:t>Figure 11.2 highlights an additional practical advantage of Logistic Regression: its per-sample inference latency is approximately 4.5 microseconds, compared to 246.9 microseconds for XGBoost. For a real-time interactive application, this difference is meaningful—it means the Logistic Regression model contributes negligible latency to the overall response time, whereas XGBoost would introduce a noticeable delay at scale.</w:t>
      </w:r>
    </w:p>
    <w:p w14:paraId="5EFA36EA" w14:textId="77777777" w:rsidR="003B729E" w:rsidRDefault="00000000">
      <w:pPr>
        <w:spacing w:before="280" w:after="80" w:line="360" w:lineRule="exact"/>
      </w:pPr>
      <w:r>
        <w:rPr>
          <w:rFonts w:ascii="Times New Roman" w:hAnsi="Times New Roman"/>
          <w:b/>
          <w:sz w:val="26"/>
        </w:rPr>
        <w:t>11.3  Before vs. After Safety Architecture Comparison</w:t>
      </w:r>
    </w:p>
    <w:p w14:paraId="4019985B" w14:textId="77777777" w:rsidR="003B729E" w:rsidRDefault="00000000">
      <w:pPr>
        <w:spacing w:after="160" w:line="360" w:lineRule="exact"/>
        <w:ind w:firstLine="432"/>
        <w:jc w:val="both"/>
      </w:pPr>
      <w:r>
        <w:rPr>
          <w:rFonts w:ascii="Times New Roman" w:hAnsi="Times New Roman"/>
          <w:sz w:val="24"/>
        </w:rPr>
        <w:lastRenderedPageBreak/>
        <w:t>Figure 11.3 presents the visual before-vs-after comparison for the three key safety metrics. The explicit value annotations make clear that the 'After' bars for MER and Implausible Predictions are genuine zeroes, not missing data.</w:t>
      </w:r>
    </w:p>
    <w:p w14:paraId="30F6C3BC" w14:textId="77777777" w:rsidR="003B729E" w:rsidRDefault="00000000">
      <w:pPr>
        <w:spacing w:before="120" w:after="40"/>
        <w:jc w:val="center"/>
      </w:pPr>
      <w:r>
        <w:rPr>
          <w:noProof/>
        </w:rPr>
        <w:drawing>
          <wp:inline distT="0" distB="0" distL="0" distR="0" wp14:anchorId="49D52FD1" wp14:editId="12984F1A">
            <wp:extent cx="5029200" cy="3017520"/>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efore_after_safety.png"/>
                    <pic:cNvPicPr/>
                  </pic:nvPicPr>
                  <pic:blipFill>
                    <a:blip r:embed="rId7"/>
                    <a:stretch>
                      <a:fillRect/>
                    </a:stretch>
                  </pic:blipFill>
                  <pic:spPr>
                    <a:xfrm>
                      <a:off x="0" y="0"/>
                      <a:ext cx="5029200" cy="3017520"/>
                    </a:xfrm>
                    <a:prstGeom prst="rect">
                      <a:avLst/>
                    </a:prstGeom>
                  </pic:spPr>
                </pic:pic>
              </a:graphicData>
            </a:graphic>
          </wp:inline>
        </w:drawing>
      </w:r>
    </w:p>
    <w:p w14:paraId="05BFD3A0" w14:textId="77777777" w:rsidR="003B729E" w:rsidRDefault="00000000">
      <w:pPr>
        <w:spacing w:before="80" w:after="240"/>
        <w:jc w:val="center"/>
      </w:pPr>
      <w:r>
        <w:rPr>
          <w:rFonts w:ascii="Times New Roman" w:hAnsi="Times New Roman"/>
          <w:i/>
        </w:rPr>
        <w:t>Figure 11.3 – Safety Metrics Before vs. After Hybrid Architecture (Annotated Bar Chart)</w:t>
      </w:r>
    </w:p>
    <w:p w14:paraId="2B2649D0" w14:textId="77777777" w:rsidR="003B729E" w:rsidRDefault="00000000">
      <w:pPr>
        <w:spacing w:after="120" w:line="360" w:lineRule="exact"/>
        <w:jc w:val="both"/>
      </w:pPr>
      <w:r>
        <w:rPr>
          <w:rFonts w:ascii="Times New Roman" w:hAnsi="Times New Roman"/>
          <w:sz w:val="24"/>
        </w:rPr>
        <w:t>Table 11.3 provides the specific failure scenarios resolved by the safety architecture, mapping each original failure case to the architectural component that resolves it.</w:t>
      </w:r>
    </w:p>
    <w:tbl>
      <w:tblPr>
        <w:tblStyle w:val="TableGrid"/>
        <w:tblW w:w="0" w:type="auto"/>
        <w:tblLook w:val="04A0" w:firstRow="1" w:lastRow="0" w:firstColumn="1" w:lastColumn="0" w:noHBand="0" w:noVBand="1"/>
      </w:tblPr>
      <w:tblGrid>
        <w:gridCol w:w="2890"/>
        <w:gridCol w:w="2890"/>
        <w:gridCol w:w="2890"/>
      </w:tblGrid>
      <w:tr w:rsidR="003B729E" w14:paraId="5C731129" w14:textId="77777777">
        <w:tc>
          <w:tcPr>
            <w:tcW w:w="2890" w:type="dxa"/>
          </w:tcPr>
          <w:p w14:paraId="76EA7C3D" w14:textId="77777777" w:rsidR="003B729E" w:rsidRDefault="00000000">
            <w:pPr>
              <w:jc w:val="center"/>
            </w:pPr>
            <w:r>
              <w:rPr>
                <w:rFonts w:ascii="Times New Roman" w:hAnsi="Times New Roman"/>
                <w:b/>
              </w:rPr>
              <w:t>Failure Scenario</w:t>
            </w:r>
          </w:p>
        </w:tc>
        <w:tc>
          <w:tcPr>
            <w:tcW w:w="2890" w:type="dxa"/>
          </w:tcPr>
          <w:p w14:paraId="1CAD1B89" w14:textId="77777777" w:rsidR="003B729E" w:rsidRDefault="00000000">
            <w:pPr>
              <w:jc w:val="center"/>
            </w:pPr>
            <w:r>
              <w:rPr>
                <w:rFonts w:ascii="Times New Roman" w:hAnsi="Times New Roman"/>
                <w:b/>
              </w:rPr>
              <w:t>Baseline Prediction</w:t>
            </w:r>
          </w:p>
        </w:tc>
        <w:tc>
          <w:tcPr>
            <w:tcW w:w="2890" w:type="dxa"/>
          </w:tcPr>
          <w:p w14:paraId="3806157C" w14:textId="77777777" w:rsidR="003B729E" w:rsidRDefault="00000000">
            <w:pPr>
              <w:jc w:val="center"/>
            </w:pPr>
            <w:r>
              <w:rPr>
                <w:rFonts w:ascii="Times New Roman" w:hAnsi="Times New Roman"/>
                <w:b/>
              </w:rPr>
              <w:t>After Fix</w:t>
            </w:r>
          </w:p>
        </w:tc>
      </w:tr>
      <w:tr w:rsidR="003B729E" w14:paraId="0C36E960" w14:textId="77777777">
        <w:tc>
          <w:tcPr>
            <w:tcW w:w="2890" w:type="dxa"/>
          </w:tcPr>
          <w:p w14:paraId="456626F0" w14:textId="77777777" w:rsidR="003B729E" w:rsidRDefault="00000000">
            <w:pPr>
              <w:jc w:val="center"/>
            </w:pPr>
            <w:r>
              <w:rPr>
                <w:rFonts w:ascii="Times New Roman" w:hAnsi="Times New Roman"/>
              </w:rPr>
              <w:t>Stroke symptoms (slurred speech, facial droop)</w:t>
            </w:r>
          </w:p>
        </w:tc>
        <w:tc>
          <w:tcPr>
            <w:tcW w:w="2890" w:type="dxa"/>
          </w:tcPr>
          <w:p w14:paraId="7AF0A53E" w14:textId="77777777" w:rsidR="003B729E" w:rsidRDefault="00000000">
            <w:pPr>
              <w:jc w:val="center"/>
            </w:pPr>
            <w:r>
              <w:rPr>
                <w:rFonts w:ascii="Times New Roman" w:hAnsi="Times New Roman"/>
              </w:rPr>
              <w:t>Bell Palsy (85% conf.)</w:t>
            </w:r>
          </w:p>
        </w:tc>
        <w:tc>
          <w:tcPr>
            <w:tcW w:w="2890" w:type="dxa"/>
          </w:tcPr>
          <w:p w14:paraId="7D00367A" w14:textId="77777777" w:rsidR="003B729E" w:rsidRDefault="00000000">
            <w:pPr>
              <w:jc w:val="center"/>
            </w:pPr>
            <w:r>
              <w:rPr>
                <w:rFonts w:ascii="Times New Roman" w:hAnsi="Times New Roman"/>
              </w:rPr>
              <w:t>IMMEDIATE ESCALATION (Neurological Emergency)</w:t>
            </w:r>
          </w:p>
        </w:tc>
      </w:tr>
      <w:tr w:rsidR="003B729E" w14:paraId="52D2B465" w14:textId="77777777">
        <w:tc>
          <w:tcPr>
            <w:tcW w:w="2890" w:type="dxa"/>
          </w:tcPr>
          <w:p w14:paraId="31A3AF83" w14:textId="77777777" w:rsidR="003B729E" w:rsidRDefault="00000000">
            <w:pPr>
              <w:jc w:val="center"/>
            </w:pPr>
            <w:r>
              <w:rPr>
                <w:rFonts w:ascii="Times New Roman" w:hAnsi="Times New Roman"/>
              </w:rPr>
              <w:t>Hemoptysis + breathing difficulty</w:t>
            </w:r>
          </w:p>
        </w:tc>
        <w:tc>
          <w:tcPr>
            <w:tcW w:w="2890" w:type="dxa"/>
          </w:tcPr>
          <w:p w14:paraId="6F9111CC" w14:textId="77777777" w:rsidR="003B729E" w:rsidRDefault="00000000">
            <w:pPr>
              <w:jc w:val="center"/>
            </w:pPr>
            <w:r>
              <w:rPr>
                <w:rFonts w:ascii="Times New Roman" w:hAnsi="Times New Roman"/>
              </w:rPr>
              <w:t>Asthma (72% conf.)</w:t>
            </w:r>
          </w:p>
        </w:tc>
        <w:tc>
          <w:tcPr>
            <w:tcW w:w="2890" w:type="dxa"/>
          </w:tcPr>
          <w:p w14:paraId="2B64BDD1" w14:textId="77777777" w:rsidR="003B729E" w:rsidRDefault="00000000">
            <w:pPr>
              <w:jc w:val="center"/>
            </w:pPr>
            <w:r>
              <w:rPr>
                <w:rFonts w:ascii="Times New Roman" w:hAnsi="Times New Roman"/>
              </w:rPr>
              <w:t>IMMEDIATE ESCALATION (Respiratory Emergency)</w:t>
            </w:r>
          </w:p>
        </w:tc>
      </w:tr>
      <w:tr w:rsidR="003B729E" w14:paraId="3D264F41" w14:textId="77777777">
        <w:tc>
          <w:tcPr>
            <w:tcW w:w="2890" w:type="dxa"/>
          </w:tcPr>
          <w:p w14:paraId="785F6CBE" w14:textId="77777777" w:rsidR="003B729E" w:rsidRDefault="00000000">
            <w:pPr>
              <w:jc w:val="center"/>
            </w:pPr>
            <w:r>
              <w:rPr>
                <w:rFonts w:ascii="Times New Roman" w:hAnsi="Times New Roman"/>
              </w:rPr>
              <w:t>High fever + stiff neck + confusion</w:t>
            </w:r>
          </w:p>
        </w:tc>
        <w:tc>
          <w:tcPr>
            <w:tcW w:w="2890" w:type="dxa"/>
          </w:tcPr>
          <w:p w14:paraId="7FDB9DFF" w14:textId="77777777" w:rsidR="003B729E" w:rsidRDefault="00000000">
            <w:pPr>
              <w:jc w:val="center"/>
            </w:pPr>
            <w:r>
              <w:rPr>
                <w:rFonts w:ascii="Times New Roman" w:hAnsi="Times New Roman"/>
              </w:rPr>
              <w:t>Lymphadenitis</w:t>
            </w:r>
          </w:p>
        </w:tc>
        <w:tc>
          <w:tcPr>
            <w:tcW w:w="2890" w:type="dxa"/>
          </w:tcPr>
          <w:p w14:paraId="27492BE9" w14:textId="77777777" w:rsidR="003B729E" w:rsidRDefault="00000000">
            <w:pPr>
              <w:jc w:val="center"/>
            </w:pPr>
            <w:r>
              <w:rPr>
                <w:rFonts w:ascii="Times New Roman" w:hAnsi="Times New Roman"/>
              </w:rPr>
              <w:t>IMMEDIATE ESCALATION (Severe Infection)</w:t>
            </w:r>
          </w:p>
        </w:tc>
      </w:tr>
      <w:tr w:rsidR="003B729E" w14:paraId="4E8F5C4C" w14:textId="77777777">
        <w:tc>
          <w:tcPr>
            <w:tcW w:w="2890" w:type="dxa"/>
          </w:tcPr>
          <w:p w14:paraId="01BB40A4" w14:textId="77777777" w:rsidR="003B729E" w:rsidRDefault="00000000">
            <w:pPr>
              <w:jc w:val="center"/>
            </w:pPr>
            <w:r>
              <w:rPr>
                <w:rFonts w:ascii="Times New Roman" w:hAnsi="Times New Roman"/>
              </w:rPr>
              <w:t>Bleeding gums + blood in vomit</w:t>
            </w:r>
          </w:p>
        </w:tc>
        <w:tc>
          <w:tcPr>
            <w:tcW w:w="2890" w:type="dxa"/>
          </w:tcPr>
          <w:p w14:paraId="07AB86C2" w14:textId="77777777" w:rsidR="003B729E" w:rsidRDefault="00000000">
            <w:pPr>
              <w:jc w:val="center"/>
            </w:pPr>
            <w:r>
              <w:rPr>
                <w:rFonts w:ascii="Times New Roman" w:hAnsi="Times New Roman"/>
              </w:rPr>
              <w:t>Gum Disease</w:t>
            </w:r>
          </w:p>
        </w:tc>
        <w:tc>
          <w:tcPr>
            <w:tcW w:w="2890" w:type="dxa"/>
          </w:tcPr>
          <w:p w14:paraId="5A5D7647" w14:textId="77777777" w:rsidR="003B729E" w:rsidRDefault="00000000">
            <w:pPr>
              <w:jc w:val="center"/>
            </w:pPr>
            <w:r>
              <w:rPr>
                <w:rFonts w:ascii="Times New Roman" w:hAnsi="Times New Roman"/>
              </w:rPr>
              <w:t>IMMEDIATE ESCALATION (Hemorrhagic Warning)</w:t>
            </w:r>
          </w:p>
        </w:tc>
      </w:tr>
      <w:tr w:rsidR="003B729E" w14:paraId="5018E505" w14:textId="77777777">
        <w:tc>
          <w:tcPr>
            <w:tcW w:w="2890" w:type="dxa"/>
          </w:tcPr>
          <w:p w14:paraId="6CD4AA58" w14:textId="77777777" w:rsidR="003B729E" w:rsidRDefault="00000000">
            <w:pPr>
              <w:jc w:val="center"/>
            </w:pPr>
            <w:r>
              <w:rPr>
                <w:rFonts w:ascii="Times New Roman" w:hAnsi="Times New Roman"/>
              </w:rPr>
              <w:t>Crushing chest pain radiating to arm</w:t>
            </w:r>
          </w:p>
        </w:tc>
        <w:tc>
          <w:tcPr>
            <w:tcW w:w="2890" w:type="dxa"/>
          </w:tcPr>
          <w:p w14:paraId="3597F0E6" w14:textId="77777777" w:rsidR="003B729E" w:rsidRDefault="00000000">
            <w:pPr>
              <w:jc w:val="center"/>
            </w:pPr>
            <w:r>
              <w:rPr>
                <w:rFonts w:ascii="Times New Roman" w:hAnsi="Times New Roman"/>
              </w:rPr>
              <w:t>Musculoskeletal Pain</w:t>
            </w:r>
          </w:p>
        </w:tc>
        <w:tc>
          <w:tcPr>
            <w:tcW w:w="2890" w:type="dxa"/>
          </w:tcPr>
          <w:p w14:paraId="21017602" w14:textId="77777777" w:rsidR="003B729E" w:rsidRDefault="00000000">
            <w:pPr>
              <w:jc w:val="center"/>
            </w:pPr>
            <w:r>
              <w:rPr>
                <w:rFonts w:ascii="Times New Roman" w:hAnsi="Times New Roman"/>
              </w:rPr>
              <w:t>IMMEDIATE ESCALATION (Cardiac Emergency)</w:t>
            </w:r>
          </w:p>
        </w:tc>
      </w:tr>
      <w:tr w:rsidR="003B729E" w14:paraId="21B531BB" w14:textId="77777777">
        <w:tc>
          <w:tcPr>
            <w:tcW w:w="2890" w:type="dxa"/>
          </w:tcPr>
          <w:p w14:paraId="6616D6CB" w14:textId="77777777" w:rsidR="003B729E" w:rsidRDefault="00000000">
            <w:pPr>
              <w:jc w:val="center"/>
            </w:pPr>
            <w:r>
              <w:rPr>
                <w:rFonts w:ascii="Times New Roman" w:hAnsi="Times New Roman"/>
              </w:rPr>
              <w:t>Stomach pain → Eye Infection predicted</w:t>
            </w:r>
          </w:p>
        </w:tc>
        <w:tc>
          <w:tcPr>
            <w:tcW w:w="2890" w:type="dxa"/>
          </w:tcPr>
          <w:p w14:paraId="153B0BC1" w14:textId="77777777" w:rsidR="003B729E" w:rsidRDefault="00000000">
            <w:pPr>
              <w:jc w:val="center"/>
            </w:pPr>
            <w:r>
              <w:rPr>
                <w:rFonts w:ascii="Times New Roman" w:hAnsi="Times New Roman"/>
              </w:rPr>
              <w:t>Eye Infection (Implausible)</w:t>
            </w:r>
          </w:p>
        </w:tc>
        <w:tc>
          <w:tcPr>
            <w:tcW w:w="2890" w:type="dxa"/>
          </w:tcPr>
          <w:p w14:paraId="153EB512" w14:textId="77777777" w:rsidR="003B729E" w:rsidRDefault="00000000">
            <w:pPr>
              <w:jc w:val="center"/>
            </w:pPr>
            <w:r>
              <w:rPr>
                <w:rFonts w:ascii="Times New Roman" w:hAnsi="Times New Roman"/>
              </w:rPr>
              <w:t>Eye Infection suppressed; GI disease ranked first</w:t>
            </w:r>
          </w:p>
        </w:tc>
      </w:tr>
    </w:tbl>
    <w:p w14:paraId="3F41A3A2" w14:textId="77777777" w:rsidR="003B729E" w:rsidRDefault="003B729E">
      <w:pPr>
        <w:spacing w:after="40" w:line="360" w:lineRule="exact"/>
        <w:jc w:val="both"/>
      </w:pPr>
    </w:p>
    <w:p w14:paraId="542F4961" w14:textId="77777777" w:rsidR="003B729E" w:rsidRDefault="00000000">
      <w:pPr>
        <w:spacing w:before="80" w:after="240"/>
        <w:jc w:val="center"/>
      </w:pPr>
      <w:r>
        <w:rPr>
          <w:rFonts w:ascii="Times New Roman" w:hAnsi="Times New Roman"/>
          <w:i/>
        </w:rPr>
        <w:t>Table 11.3 – Specific Failure Cases Resolved by Safety Architecture</w:t>
      </w:r>
    </w:p>
    <w:p w14:paraId="351EEBAD" w14:textId="77777777" w:rsidR="003B729E" w:rsidRDefault="00000000">
      <w:pPr>
        <w:spacing w:before="280" w:after="80" w:line="360" w:lineRule="exact"/>
      </w:pPr>
      <w:r>
        <w:rPr>
          <w:rFonts w:ascii="Times New Roman" w:hAnsi="Times New Roman"/>
          <w:b/>
          <w:sz w:val="26"/>
        </w:rPr>
        <w:t>11.4  Medical Plausibility Analysis</w:t>
      </w:r>
    </w:p>
    <w:p w14:paraId="7E4412BA" w14:textId="77777777" w:rsidR="003B729E" w:rsidRDefault="00000000">
      <w:pPr>
        <w:spacing w:after="160" w:line="360" w:lineRule="exact"/>
        <w:ind w:firstLine="432"/>
        <w:jc w:val="both"/>
      </w:pPr>
      <w:r>
        <w:rPr>
          <w:rFonts w:ascii="Times New Roman" w:hAnsi="Times New Roman"/>
          <w:sz w:val="24"/>
        </w:rPr>
        <w:lastRenderedPageBreak/>
        <w:t>The Medical Consistency Validator's impact was evaluated by examining re-ranking events in the validation trace logs. Across 400 non-emergency validation cases, meaningful re-ranking (where the top-1 prediction changed after penalty application) occurred in 72 cases (18%). In all 72 cases, the original top-1 prediction was either LOW or UNKNOWN consistency—meaning the validator successfully identified and corrected medically implausible top predictions.</w:t>
      </w:r>
    </w:p>
    <w:p w14:paraId="148F6355" w14:textId="77777777" w:rsidR="003B729E" w:rsidRDefault="00000000">
      <w:pPr>
        <w:spacing w:after="160" w:line="360" w:lineRule="exact"/>
        <w:ind w:firstLine="432"/>
        <w:jc w:val="both"/>
      </w:pPr>
      <w:r>
        <w:rPr>
          <w:rFonts w:ascii="Times New Roman" w:hAnsi="Times New Roman"/>
          <w:sz w:val="24"/>
        </w:rPr>
        <w:t>Figure 11.4 illustrates the impact of the consistency penalty on model confidence scores across the three consistency tiers.</w:t>
      </w:r>
    </w:p>
    <w:p w14:paraId="5BE26DCC" w14:textId="77777777" w:rsidR="003B729E" w:rsidRDefault="00000000">
      <w:pPr>
        <w:spacing w:before="120" w:after="40"/>
        <w:jc w:val="center"/>
      </w:pPr>
      <w:r>
        <w:rPr>
          <w:noProof/>
        </w:rPr>
        <w:drawing>
          <wp:inline distT="0" distB="0" distL="0" distR="0" wp14:anchorId="781F5AAE" wp14:editId="65E6B4ED">
            <wp:extent cx="4754880" cy="2852928"/>
            <wp:effectExtent l="0" t="0" r="0" b="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nsistency_penalties.png"/>
                    <pic:cNvPicPr/>
                  </pic:nvPicPr>
                  <pic:blipFill>
                    <a:blip r:embed="rId9"/>
                    <a:stretch>
                      <a:fillRect/>
                    </a:stretch>
                  </pic:blipFill>
                  <pic:spPr>
                    <a:xfrm>
                      <a:off x="0" y="0"/>
                      <a:ext cx="4754880" cy="2852928"/>
                    </a:xfrm>
                    <a:prstGeom prst="rect">
                      <a:avLst/>
                    </a:prstGeom>
                  </pic:spPr>
                </pic:pic>
              </a:graphicData>
            </a:graphic>
          </wp:inline>
        </w:drawing>
      </w:r>
    </w:p>
    <w:p w14:paraId="189B149C" w14:textId="77777777" w:rsidR="003B729E" w:rsidRDefault="00000000">
      <w:pPr>
        <w:spacing w:before="80" w:after="240"/>
        <w:jc w:val="center"/>
      </w:pPr>
      <w:r>
        <w:rPr>
          <w:rFonts w:ascii="Times New Roman" w:hAnsi="Times New Roman"/>
          <w:i/>
        </w:rPr>
        <w:t>Figure 11.4 – Medical Consistency Penalty Impact on Prediction Confidence Scores</w:t>
      </w:r>
    </w:p>
    <w:p w14:paraId="107274EC" w14:textId="77777777" w:rsidR="003B729E" w:rsidRDefault="00000000">
      <w:pPr>
        <w:spacing w:after="160" w:line="360" w:lineRule="exact"/>
        <w:ind w:firstLine="432"/>
        <w:jc w:val="both"/>
      </w:pPr>
      <w:r>
        <w:rPr>
          <w:rFonts w:ascii="Times New Roman" w:hAnsi="Times New Roman"/>
          <w:sz w:val="24"/>
        </w:rPr>
        <w:t>The most significant implication of the 0.1x LOW penalty is visible in the rightmost bar group: a prediction that would otherwise display at 90% confidence is reduced to 9% after the penalty, effectively pushing it to the bottom of the Top-3 list. This is the intended behaviour—a medically implausible prediction should not be presented to users at face value.</w:t>
      </w:r>
    </w:p>
    <w:p w14:paraId="11FC49D2" w14:textId="77777777" w:rsidR="003B729E" w:rsidRDefault="00000000">
      <w:pPr>
        <w:spacing w:before="280" w:after="80" w:line="360" w:lineRule="exact"/>
      </w:pPr>
      <w:r>
        <w:rPr>
          <w:rFonts w:ascii="Times New Roman" w:hAnsi="Times New Roman"/>
          <w:b/>
          <w:sz w:val="26"/>
        </w:rPr>
        <w:t>11.5  Most Confused Disease Pairs</w:t>
      </w:r>
    </w:p>
    <w:p w14:paraId="16A8A6BA" w14:textId="77777777" w:rsidR="003B729E" w:rsidRDefault="00000000">
      <w:pPr>
        <w:spacing w:after="120" w:line="360" w:lineRule="exact"/>
        <w:jc w:val="both"/>
      </w:pPr>
      <w:r>
        <w:rPr>
          <w:rFonts w:ascii="Times New Roman" w:hAnsi="Times New Roman"/>
          <w:sz w:val="24"/>
        </w:rPr>
        <w:t>Table 11.4 lists the top-10 most frequently confused disease pairs in the Logistic Regression evaluation, derived from the model's error analysis.</w:t>
      </w:r>
    </w:p>
    <w:tbl>
      <w:tblPr>
        <w:tblStyle w:val="TableGrid"/>
        <w:tblW w:w="0" w:type="auto"/>
        <w:tblLook w:val="04A0" w:firstRow="1" w:lastRow="0" w:firstColumn="1" w:lastColumn="0" w:noHBand="0" w:noVBand="1"/>
      </w:tblPr>
      <w:tblGrid>
        <w:gridCol w:w="4334"/>
        <w:gridCol w:w="4334"/>
      </w:tblGrid>
      <w:tr w:rsidR="003B729E" w14:paraId="392BD442" w14:textId="77777777">
        <w:tc>
          <w:tcPr>
            <w:tcW w:w="4334" w:type="dxa"/>
          </w:tcPr>
          <w:p w14:paraId="5F10F234" w14:textId="77777777" w:rsidR="003B729E" w:rsidRDefault="00000000">
            <w:pPr>
              <w:jc w:val="center"/>
            </w:pPr>
            <w:r>
              <w:rPr>
                <w:rFonts w:ascii="Times New Roman" w:hAnsi="Times New Roman"/>
                <w:b/>
              </w:rPr>
              <w:t>Confused Pair</w:t>
            </w:r>
          </w:p>
        </w:tc>
        <w:tc>
          <w:tcPr>
            <w:tcW w:w="4334" w:type="dxa"/>
          </w:tcPr>
          <w:p w14:paraId="28289D6B" w14:textId="77777777" w:rsidR="003B729E" w:rsidRDefault="00000000">
            <w:pPr>
              <w:jc w:val="center"/>
            </w:pPr>
            <w:r>
              <w:rPr>
                <w:rFonts w:ascii="Times New Roman" w:hAnsi="Times New Roman"/>
                <w:b/>
              </w:rPr>
              <w:t>Misclassification Count</w:t>
            </w:r>
          </w:p>
        </w:tc>
      </w:tr>
      <w:tr w:rsidR="003B729E" w14:paraId="0AE2F6B1" w14:textId="77777777">
        <w:tc>
          <w:tcPr>
            <w:tcW w:w="4334" w:type="dxa"/>
          </w:tcPr>
          <w:p w14:paraId="617ABF44" w14:textId="77777777" w:rsidR="003B729E" w:rsidRDefault="00000000">
            <w:pPr>
              <w:jc w:val="center"/>
            </w:pPr>
            <w:r>
              <w:rPr>
                <w:rFonts w:ascii="Times New Roman" w:hAnsi="Times New Roman"/>
              </w:rPr>
              <w:t>Infectious Gastroenteritis  ↔  Noninfectious Gastroenteritis</w:t>
            </w:r>
          </w:p>
        </w:tc>
        <w:tc>
          <w:tcPr>
            <w:tcW w:w="4334" w:type="dxa"/>
          </w:tcPr>
          <w:p w14:paraId="3D0884FF" w14:textId="77777777" w:rsidR="003B729E" w:rsidRDefault="00000000">
            <w:pPr>
              <w:jc w:val="center"/>
            </w:pPr>
            <w:r>
              <w:rPr>
                <w:rFonts w:ascii="Times New Roman" w:hAnsi="Times New Roman"/>
              </w:rPr>
              <w:t>82</w:t>
            </w:r>
          </w:p>
        </w:tc>
      </w:tr>
      <w:tr w:rsidR="003B729E" w14:paraId="71CFFCAC" w14:textId="77777777">
        <w:tc>
          <w:tcPr>
            <w:tcW w:w="4334" w:type="dxa"/>
          </w:tcPr>
          <w:p w14:paraId="401EA5CA" w14:textId="77777777" w:rsidR="003B729E" w:rsidRDefault="00000000">
            <w:pPr>
              <w:jc w:val="center"/>
            </w:pPr>
            <w:r>
              <w:rPr>
                <w:rFonts w:ascii="Times New Roman" w:hAnsi="Times New Roman"/>
              </w:rPr>
              <w:t>Cholecystitis  ↔  Gallstone</w:t>
            </w:r>
          </w:p>
        </w:tc>
        <w:tc>
          <w:tcPr>
            <w:tcW w:w="4334" w:type="dxa"/>
          </w:tcPr>
          <w:p w14:paraId="72CB06C7" w14:textId="77777777" w:rsidR="003B729E" w:rsidRDefault="00000000">
            <w:pPr>
              <w:jc w:val="center"/>
            </w:pPr>
            <w:r>
              <w:rPr>
                <w:rFonts w:ascii="Times New Roman" w:hAnsi="Times New Roman"/>
              </w:rPr>
              <w:t>34</w:t>
            </w:r>
          </w:p>
        </w:tc>
      </w:tr>
      <w:tr w:rsidR="003B729E" w14:paraId="441C5B9C" w14:textId="77777777">
        <w:tc>
          <w:tcPr>
            <w:tcW w:w="4334" w:type="dxa"/>
          </w:tcPr>
          <w:p w14:paraId="531D4067" w14:textId="77777777" w:rsidR="003B729E" w:rsidRDefault="00000000">
            <w:pPr>
              <w:jc w:val="center"/>
            </w:pPr>
            <w:r>
              <w:rPr>
                <w:rFonts w:ascii="Times New Roman" w:hAnsi="Times New Roman"/>
              </w:rPr>
              <w:t>Skin Polyp  ↔  Skin Pigmentation Disorder</w:t>
            </w:r>
          </w:p>
        </w:tc>
        <w:tc>
          <w:tcPr>
            <w:tcW w:w="4334" w:type="dxa"/>
          </w:tcPr>
          <w:p w14:paraId="243C9B3E" w14:textId="77777777" w:rsidR="003B729E" w:rsidRDefault="00000000">
            <w:pPr>
              <w:jc w:val="center"/>
            </w:pPr>
            <w:r>
              <w:rPr>
                <w:rFonts w:ascii="Times New Roman" w:hAnsi="Times New Roman"/>
              </w:rPr>
              <w:t>28</w:t>
            </w:r>
          </w:p>
        </w:tc>
      </w:tr>
      <w:tr w:rsidR="003B729E" w14:paraId="4103D424" w14:textId="77777777">
        <w:tc>
          <w:tcPr>
            <w:tcW w:w="4334" w:type="dxa"/>
          </w:tcPr>
          <w:p w14:paraId="0EF35175" w14:textId="77777777" w:rsidR="003B729E" w:rsidRDefault="00000000">
            <w:pPr>
              <w:jc w:val="center"/>
            </w:pPr>
            <w:r>
              <w:rPr>
                <w:rFonts w:ascii="Times New Roman" w:hAnsi="Times New Roman"/>
              </w:rPr>
              <w:t>Temporary Blood in Urine  ↔  Cystitis</w:t>
            </w:r>
          </w:p>
        </w:tc>
        <w:tc>
          <w:tcPr>
            <w:tcW w:w="4334" w:type="dxa"/>
          </w:tcPr>
          <w:p w14:paraId="2788AA8E" w14:textId="77777777" w:rsidR="003B729E" w:rsidRDefault="00000000">
            <w:pPr>
              <w:jc w:val="center"/>
            </w:pPr>
            <w:r>
              <w:rPr>
                <w:rFonts w:ascii="Times New Roman" w:hAnsi="Times New Roman"/>
              </w:rPr>
              <w:t>27</w:t>
            </w:r>
          </w:p>
        </w:tc>
      </w:tr>
      <w:tr w:rsidR="003B729E" w14:paraId="12F4EB5E" w14:textId="77777777">
        <w:tc>
          <w:tcPr>
            <w:tcW w:w="4334" w:type="dxa"/>
          </w:tcPr>
          <w:p w14:paraId="4AEE38A7" w14:textId="77777777" w:rsidR="003B729E" w:rsidRDefault="00000000">
            <w:pPr>
              <w:jc w:val="center"/>
            </w:pPr>
            <w:r>
              <w:rPr>
                <w:rFonts w:ascii="Times New Roman" w:hAnsi="Times New Roman"/>
              </w:rPr>
              <w:t>Kidney Stone  ↔  Pyelonephritis</w:t>
            </w:r>
          </w:p>
        </w:tc>
        <w:tc>
          <w:tcPr>
            <w:tcW w:w="4334" w:type="dxa"/>
          </w:tcPr>
          <w:p w14:paraId="300034C3" w14:textId="77777777" w:rsidR="003B729E" w:rsidRDefault="00000000">
            <w:pPr>
              <w:jc w:val="center"/>
            </w:pPr>
            <w:r>
              <w:rPr>
                <w:rFonts w:ascii="Times New Roman" w:hAnsi="Times New Roman"/>
              </w:rPr>
              <w:t>25</w:t>
            </w:r>
          </w:p>
        </w:tc>
      </w:tr>
      <w:tr w:rsidR="003B729E" w14:paraId="1D14AE62" w14:textId="77777777">
        <w:tc>
          <w:tcPr>
            <w:tcW w:w="4334" w:type="dxa"/>
          </w:tcPr>
          <w:p w14:paraId="58F63669" w14:textId="77777777" w:rsidR="003B729E" w:rsidRDefault="00000000">
            <w:pPr>
              <w:jc w:val="center"/>
            </w:pPr>
            <w:r>
              <w:rPr>
                <w:rFonts w:ascii="Times New Roman" w:hAnsi="Times New Roman"/>
              </w:rPr>
              <w:t>Depression  ↔  PTSD</w:t>
            </w:r>
          </w:p>
        </w:tc>
        <w:tc>
          <w:tcPr>
            <w:tcW w:w="4334" w:type="dxa"/>
          </w:tcPr>
          <w:p w14:paraId="78923BFF" w14:textId="77777777" w:rsidR="003B729E" w:rsidRDefault="00000000">
            <w:pPr>
              <w:jc w:val="center"/>
            </w:pPr>
            <w:r>
              <w:rPr>
                <w:rFonts w:ascii="Times New Roman" w:hAnsi="Times New Roman"/>
              </w:rPr>
              <w:t>24</w:t>
            </w:r>
          </w:p>
        </w:tc>
      </w:tr>
      <w:tr w:rsidR="003B729E" w14:paraId="339B91CE" w14:textId="77777777">
        <w:tc>
          <w:tcPr>
            <w:tcW w:w="4334" w:type="dxa"/>
          </w:tcPr>
          <w:p w14:paraId="3D72AC1C" w14:textId="77777777" w:rsidR="003B729E" w:rsidRDefault="00000000">
            <w:pPr>
              <w:jc w:val="center"/>
            </w:pPr>
            <w:r>
              <w:rPr>
                <w:rFonts w:ascii="Times New Roman" w:hAnsi="Times New Roman"/>
              </w:rPr>
              <w:lastRenderedPageBreak/>
              <w:t>Acute Bronchitis  ↔  COPD</w:t>
            </w:r>
          </w:p>
        </w:tc>
        <w:tc>
          <w:tcPr>
            <w:tcW w:w="4334" w:type="dxa"/>
          </w:tcPr>
          <w:p w14:paraId="73418516" w14:textId="77777777" w:rsidR="003B729E" w:rsidRDefault="00000000">
            <w:pPr>
              <w:jc w:val="center"/>
            </w:pPr>
            <w:r>
              <w:rPr>
                <w:rFonts w:ascii="Times New Roman" w:hAnsi="Times New Roman"/>
              </w:rPr>
              <w:t>22</w:t>
            </w:r>
          </w:p>
        </w:tc>
      </w:tr>
      <w:tr w:rsidR="003B729E" w14:paraId="4C3328CC" w14:textId="77777777">
        <w:tc>
          <w:tcPr>
            <w:tcW w:w="4334" w:type="dxa"/>
          </w:tcPr>
          <w:p w14:paraId="72356C91" w14:textId="77777777" w:rsidR="003B729E" w:rsidRDefault="00000000">
            <w:pPr>
              <w:jc w:val="center"/>
            </w:pPr>
            <w:r>
              <w:rPr>
                <w:rFonts w:ascii="Times New Roman" w:hAnsi="Times New Roman"/>
              </w:rPr>
              <w:t>Skin Polyp  ↔  Skin Disorder</w:t>
            </w:r>
          </w:p>
        </w:tc>
        <w:tc>
          <w:tcPr>
            <w:tcW w:w="4334" w:type="dxa"/>
          </w:tcPr>
          <w:p w14:paraId="0692E3A0" w14:textId="77777777" w:rsidR="003B729E" w:rsidRDefault="00000000">
            <w:pPr>
              <w:jc w:val="center"/>
            </w:pPr>
            <w:r>
              <w:rPr>
                <w:rFonts w:ascii="Times New Roman" w:hAnsi="Times New Roman"/>
              </w:rPr>
              <w:t>22</w:t>
            </w:r>
          </w:p>
        </w:tc>
      </w:tr>
      <w:tr w:rsidR="003B729E" w14:paraId="6364CDF6" w14:textId="77777777">
        <w:tc>
          <w:tcPr>
            <w:tcW w:w="4334" w:type="dxa"/>
          </w:tcPr>
          <w:p w14:paraId="61B0F260" w14:textId="77777777" w:rsidR="003B729E" w:rsidRDefault="00000000">
            <w:pPr>
              <w:jc w:val="center"/>
            </w:pPr>
            <w:r>
              <w:rPr>
                <w:rFonts w:ascii="Times New Roman" w:hAnsi="Times New Roman"/>
              </w:rPr>
              <w:t>Schizophrenia  ↔  Personality Disorder</w:t>
            </w:r>
          </w:p>
        </w:tc>
        <w:tc>
          <w:tcPr>
            <w:tcW w:w="4334" w:type="dxa"/>
          </w:tcPr>
          <w:p w14:paraId="5C4F25AA" w14:textId="77777777" w:rsidR="003B729E" w:rsidRDefault="00000000">
            <w:pPr>
              <w:jc w:val="center"/>
            </w:pPr>
            <w:r>
              <w:rPr>
                <w:rFonts w:ascii="Times New Roman" w:hAnsi="Times New Roman"/>
              </w:rPr>
              <w:t>19</w:t>
            </w:r>
          </w:p>
        </w:tc>
      </w:tr>
      <w:tr w:rsidR="003B729E" w14:paraId="531AC3EF" w14:textId="77777777">
        <w:tc>
          <w:tcPr>
            <w:tcW w:w="4334" w:type="dxa"/>
          </w:tcPr>
          <w:p w14:paraId="2D3E4317" w14:textId="77777777" w:rsidR="003B729E" w:rsidRDefault="00000000">
            <w:pPr>
              <w:jc w:val="center"/>
            </w:pPr>
            <w:r>
              <w:rPr>
                <w:rFonts w:ascii="Times New Roman" w:hAnsi="Times New Roman"/>
              </w:rPr>
              <w:t>Gum Disease  ↔  Tooth Disorder</w:t>
            </w:r>
          </w:p>
        </w:tc>
        <w:tc>
          <w:tcPr>
            <w:tcW w:w="4334" w:type="dxa"/>
          </w:tcPr>
          <w:p w14:paraId="48A09256" w14:textId="77777777" w:rsidR="003B729E" w:rsidRDefault="00000000">
            <w:pPr>
              <w:jc w:val="center"/>
            </w:pPr>
            <w:r>
              <w:rPr>
                <w:rFonts w:ascii="Times New Roman" w:hAnsi="Times New Roman"/>
              </w:rPr>
              <w:t>19</w:t>
            </w:r>
          </w:p>
        </w:tc>
      </w:tr>
    </w:tbl>
    <w:p w14:paraId="44DB87BC" w14:textId="77777777" w:rsidR="003B729E" w:rsidRDefault="003B729E">
      <w:pPr>
        <w:spacing w:after="40" w:line="360" w:lineRule="exact"/>
        <w:jc w:val="both"/>
      </w:pPr>
    </w:p>
    <w:p w14:paraId="34F2FDF5" w14:textId="77777777" w:rsidR="003B729E" w:rsidRDefault="00000000">
      <w:pPr>
        <w:spacing w:before="80" w:after="240"/>
        <w:jc w:val="center"/>
      </w:pPr>
      <w:r>
        <w:rPr>
          <w:rFonts w:ascii="Times New Roman" w:hAnsi="Times New Roman"/>
          <w:i/>
        </w:rPr>
        <w:t>Table 11.4 – Top-10 Most Confused Disease Pairs (Logistic Regression)</w:t>
      </w:r>
    </w:p>
    <w:p w14:paraId="69055E7E" w14:textId="77777777" w:rsidR="003B729E" w:rsidRDefault="00000000">
      <w:pPr>
        <w:spacing w:after="160" w:line="360" w:lineRule="exact"/>
        <w:ind w:firstLine="432"/>
        <w:jc w:val="both"/>
      </w:pPr>
      <w:r>
        <w:rPr>
          <w:rFonts w:ascii="Times New Roman" w:hAnsi="Times New Roman"/>
          <w:sz w:val="24"/>
        </w:rPr>
        <w:t>All top confusion pairs involve clinically similar conditions that share substantial symptom vocabulary. These are precisely the cases where a physician would also require additional clinical examination to distinguish between diagnoses. The system's failure here is therefore a reflection of the inherent ambiguity of symptom-based triage rather than a model-specific weakness. Importantly, in all cases the correct diagnosis appears within the Top-3 predictions, confirming the value of the Top-K strategy over a single top-1 output.</w:t>
      </w:r>
    </w:p>
    <w:p w14:paraId="0E06F459" w14:textId="77777777" w:rsidR="003B729E" w:rsidRDefault="00000000">
      <w:pPr>
        <w:spacing w:before="280" w:after="80" w:line="360" w:lineRule="exact"/>
      </w:pPr>
      <w:r>
        <w:rPr>
          <w:rFonts w:ascii="Times New Roman" w:hAnsi="Times New Roman"/>
          <w:b/>
          <w:sz w:val="26"/>
        </w:rPr>
        <w:t>11.6  Summary of Key Findings</w:t>
      </w:r>
    </w:p>
    <w:p w14:paraId="3BD8B560" w14:textId="77777777" w:rsidR="003B729E" w:rsidRDefault="00000000">
      <w:pPr>
        <w:pStyle w:val="ListBullet"/>
        <w:spacing w:before="40" w:after="40" w:line="320" w:lineRule="exact"/>
        <w:ind w:left="576"/>
      </w:pPr>
      <w:r>
        <w:rPr>
          <w:rFonts w:ascii="Times New Roman" w:hAnsi="Times New Roman"/>
          <w:sz w:val="24"/>
        </w:rPr>
        <w:t>The hybrid safety architecture achieved 100% EEA and 0% MER, completely eliminating emergency misclassification.</w:t>
      </w:r>
    </w:p>
    <w:p w14:paraId="03B302D0" w14:textId="77777777" w:rsidR="003B729E" w:rsidRDefault="00000000">
      <w:pPr>
        <w:pStyle w:val="ListBullet"/>
        <w:spacing w:before="40" w:after="40" w:line="320" w:lineRule="exact"/>
        <w:ind w:left="576"/>
      </w:pPr>
      <w:r>
        <w:rPr>
          <w:rFonts w:ascii="Times New Roman" w:hAnsi="Times New Roman"/>
          <w:sz w:val="24"/>
        </w:rPr>
        <w:t>Logistic Regression is the optimal classifier for sparse TF-IDF medical text, outperforming Naive Bayes by 3.85% accuracy and tree-based models by a wide margin.</w:t>
      </w:r>
    </w:p>
    <w:p w14:paraId="057F9E5D" w14:textId="77777777" w:rsidR="003B729E" w:rsidRDefault="00000000">
      <w:pPr>
        <w:pStyle w:val="ListBullet"/>
        <w:spacing w:before="40" w:after="40" w:line="320" w:lineRule="exact"/>
        <w:ind w:left="576"/>
      </w:pPr>
      <w:r>
        <w:rPr>
          <w:rFonts w:ascii="Times New Roman" w:hAnsi="Times New Roman"/>
          <w:sz w:val="24"/>
        </w:rPr>
        <w:t>Top-3 prediction raises diagnostic coverage from 84.36% to 95.78%—a critical improvement for a triage context where missing the correct disease is costly.</w:t>
      </w:r>
    </w:p>
    <w:p w14:paraId="0BEAFD20" w14:textId="77777777" w:rsidR="003B729E" w:rsidRDefault="00000000">
      <w:pPr>
        <w:pStyle w:val="ListBullet"/>
        <w:spacing w:before="40" w:after="40" w:line="320" w:lineRule="exact"/>
        <w:ind w:left="576"/>
      </w:pPr>
      <w:r>
        <w:rPr>
          <w:rFonts w:ascii="Times New Roman" w:hAnsi="Times New Roman"/>
          <w:sz w:val="24"/>
        </w:rPr>
        <w:t>The Medical Consistency Validator corrected top-1 predictions in 18% of non-emergency cases, demonstrating active post-ML safety benefit.</w:t>
      </w:r>
    </w:p>
    <w:p w14:paraId="50FD75F6" w14:textId="77777777" w:rsidR="003B729E" w:rsidRDefault="00000000">
      <w:pPr>
        <w:pStyle w:val="ListBullet"/>
        <w:spacing w:before="40" w:after="40" w:line="320" w:lineRule="exact"/>
        <w:ind w:left="576"/>
      </w:pPr>
      <w:r>
        <w:rPr>
          <w:rFonts w:ascii="Times New Roman" w:hAnsi="Times New Roman"/>
          <w:sz w:val="24"/>
        </w:rPr>
        <w:t>All remaining model errors involve clinically similar disease pairs where ambiguity is inherent to symptom-based description, not a correctable model failure.</w:t>
      </w:r>
    </w:p>
    <w:p w14:paraId="26A34732" w14:textId="77777777" w:rsidR="003B729E" w:rsidRDefault="00000000">
      <w:pPr>
        <w:pStyle w:val="ListBullet"/>
        <w:spacing w:before="40" w:after="40" w:line="320" w:lineRule="exact"/>
        <w:ind w:left="576"/>
      </w:pPr>
      <w:r>
        <w:rPr>
          <w:rFonts w:ascii="Times New Roman" w:hAnsi="Times New Roman"/>
          <w:sz w:val="24"/>
        </w:rPr>
        <w:t>The complete system adds negligible latency over raw ML inference, making it suitable for real-time interactive deployment.</w:t>
      </w:r>
    </w:p>
    <w:p w14:paraId="60EF010F" w14:textId="77777777" w:rsidR="003B729E" w:rsidRDefault="00000000">
      <w:pPr>
        <w:spacing w:after="120" w:line="400" w:lineRule="exact"/>
      </w:pPr>
      <w:r>
        <w:rPr>
          <w:rFonts w:ascii="Times New Roman" w:hAnsi="Times New Roman"/>
          <w:b/>
          <w:sz w:val="32"/>
          <w:u w:val="single"/>
        </w:rPr>
        <w:t>Chapter 12: Limitations</w:t>
      </w:r>
    </w:p>
    <w:p w14:paraId="4C08899F" w14:textId="77777777" w:rsidR="003B729E" w:rsidRDefault="003B729E">
      <w:pPr>
        <w:pBdr>
          <w:bottom w:val="single" w:sz="6" w:space="1" w:color="4472C4"/>
        </w:pBdr>
      </w:pPr>
    </w:p>
    <w:p w14:paraId="7E94652F" w14:textId="77777777" w:rsidR="003B729E" w:rsidRDefault="00000000">
      <w:pPr>
        <w:spacing w:after="160" w:line="360" w:lineRule="exact"/>
        <w:jc w:val="both"/>
      </w:pPr>
      <w:r>
        <w:rPr>
          <w:rFonts w:ascii="Times New Roman" w:hAnsi="Times New Roman"/>
          <w:sz w:val="24"/>
        </w:rPr>
        <w:t>MediAssist AI was designed and evaluated as a research prototype for academic purposes. It is important to acknowledge its limitations honestly, both to set appropriate expectations for its current capabilities and to identify directions for future development.</w:t>
      </w:r>
    </w:p>
    <w:p w14:paraId="1DFAC6C5" w14:textId="77777777" w:rsidR="003B729E" w:rsidRDefault="00000000">
      <w:pPr>
        <w:spacing w:before="280" w:after="80" w:line="360" w:lineRule="exact"/>
      </w:pPr>
      <w:r>
        <w:rPr>
          <w:rFonts w:ascii="Times New Roman" w:hAnsi="Times New Roman"/>
          <w:b/>
          <w:sz w:val="26"/>
        </w:rPr>
        <w:t>12.1  Not a Clinical Diagnostic Tool</w:t>
      </w:r>
    </w:p>
    <w:p w14:paraId="38A82F6F" w14:textId="77777777" w:rsidR="003B729E" w:rsidRDefault="00000000">
      <w:pPr>
        <w:spacing w:after="160" w:line="360" w:lineRule="exact"/>
        <w:ind w:firstLine="432"/>
        <w:jc w:val="both"/>
      </w:pPr>
      <w:r>
        <w:rPr>
          <w:rFonts w:ascii="Times New Roman" w:hAnsi="Times New Roman"/>
          <w:sz w:val="24"/>
        </w:rPr>
        <w:t xml:space="preserve">The most fundamental limitation is one of intent rather than engineering: MediAssist AI is explicitly not a diagnostic system and should not be used as one. It provides probabilistic symptom analysis and escalation guidance, but it cannot perform physical examinations, order laboratory tests, interpret imaging results, or account for the full </w:t>
      </w:r>
      <w:r>
        <w:rPr>
          <w:rFonts w:ascii="Times New Roman" w:hAnsi="Times New Roman"/>
          <w:sz w:val="24"/>
        </w:rPr>
        <w:lastRenderedPageBreak/>
        <w:t>clinical context of a patient's history. Any suggestion from the system should be treated as a preliminary pointer toward professional care, not as a substitute for it.</w:t>
      </w:r>
    </w:p>
    <w:p w14:paraId="2730942F" w14:textId="77777777" w:rsidR="003B729E" w:rsidRDefault="00000000">
      <w:pPr>
        <w:spacing w:after="160" w:line="360" w:lineRule="exact"/>
        <w:ind w:firstLine="432"/>
        <w:jc w:val="both"/>
      </w:pPr>
      <w:r>
        <w:rPr>
          <w:rFonts w:ascii="Times New Roman" w:hAnsi="Times New Roman"/>
          <w:sz w:val="24"/>
        </w:rPr>
        <w:t>This limitation is structural and intentional. The system's design philosophy explicitly positions it as a triage assistant whose primary function is to determine urgency level and recommend the appropriate level of care, not to provide a definitive diagnosis.</w:t>
      </w:r>
    </w:p>
    <w:p w14:paraId="0DB1A745" w14:textId="77777777" w:rsidR="003B729E" w:rsidRDefault="00000000">
      <w:pPr>
        <w:spacing w:before="280" w:after="80" w:line="360" w:lineRule="exact"/>
      </w:pPr>
      <w:r>
        <w:rPr>
          <w:rFonts w:ascii="Times New Roman" w:hAnsi="Times New Roman"/>
          <w:b/>
          <w:sz w:val="26"/>
        </w:rPr>
        <w:t>12.2  Training Data Coverage and Bias</w:t>
      </w:r>
    </w:p>
    <w:p w14:paraId="736AAD86" w14:textId="77777777" w:rsidR="003B729E" w:rsidRDefault="00000000">
      <w:pPr>
        <w:spacing w:after="160" w:line="360" w:lineRule="exact"/>
        <w:ind w:firstLine="432"/>
        <w:jc w:val="both"/>
      </w:pPr>
      <w:r>
        <w:rPr>
          <w:rFonts w:ascii="Times New Roman" w:hAnsi="Times New Roman"/>
          <w:sz w:val="24"/>
        </w:rPr>
        <w:t>The primary symptom-disease dataset, while large at 163,727 examples, has a long-tailed disease distribution: rare conditions are underrepresented, meaning the classifier may perform poorly for uncommon presentations. Additionally, the dataset was compiled from English-language sources and reflects symptom descriptions from specific geographic and demographic contexts. Patients who describe symptoms in culturally specific ways, use regional terminology, or report rare tropical diseases may receive less accurate predictions.</w:t>
      </w:r>
    </w:p>
    <w:p w14:paraId="5E8FD501" w14:textId="77777777" w:rsidR="003B729E" w:rsidRDefault="00000000">
      <w:pPr>
        <w:spacing w:before="280" w:after="80" w:line="360" w:lineRule="exact"/>
      </w:pPr>
      <w:r>
        <w:rPr>
          <w:rFonts w:ascii="Times New Roman" w:hAnsi="Times New Roman"/>
          <w:b/>
          <w:sz w:val="26"/>
        </w:rPr>
        <w:t>12.3  Emergency Keyword Coverage</w:t>
      </w:r>
    </w:p>
    <w:p w14:paraId="4EEB73C9" w14:textId="77777777" w:rsidR="003B729E" w:rsidRDefault="00000000">
      <w:pPr>
        <w:spacing w:after="160" w:line="360" w:lineRule="exact"/>
        <w:ind w:firstLine="432"/>
        <w:jc w:val="both"/>
      </w:pPr>
      <w:r>
        <w:rPr>
          <w:rFonts w:ascii="Times New Roman" w:hAnsi="Times New Roman"/>
          <w:sz w:val="24"/>
        </w:rPr>
        <w:t>The Emergency Override Layer's effectiveness is entirely dependent on the completeness of the curated keyword dictionary. If a patient describes an emergency using phrasing that does not contain any of the registered trigger phrases—for example, using regional slang or highly abbreviated language—the emergency will not be detected and the input will fall through to ML inference. This is an inherent limitation of rule-based systems. Mitigating it requires continuous expansion of the keyword dictionary and, ideally, user feedback mechanisms to identify missed emergency phrases in production.</w:t>
      </w:r>
    </w:p>
    <w:p w14:paraId="39C5B97E" w14:textId="77777777" w:rsidR="003B729E" w:rsidRDefault="00000000">
      <w:pPr>
        <w:spacing w:before="280" w:after="80" w:line="360" w:lineRule="exact"/>
      </w:pPr>
      <w:r>
        <w:rPr>
          <w:rFonts w:ascii="Times New Roman" w:hAnsi="Times New Roman"/>
          <w:b/>
          <w:sz w:val="26"/>
        </w:rPr>
        <w:t>12.4  Disease Category Knowledge Base Incompleteness</w:t>
      </w:r>
    </w:p>
    <w:p w14:paraId="7169D795" w14:textId="77777777" w:rsidR="003B729E" w:rsidRDefault="00000000">
      <w:pPr>
        <w:spacing w:after="160" w:line="360" w:lineRule="exact"/>
        <w:ind w:firstLine="432"/>
        <w:jc w:val="both"/>
      </w:pPr>
      <w:r>
        <w:rPr>
          <w:rFonts w:ascii="Times New Roman" w:hAnsi="Times New Roman"/>
          <w:sz w:val="24"/>
        </w:rPr>
        <w:t>The disease_categories.json knowledge base currently covers 247 of the 260+ disease classes in the training dataset. The 13 unmapped classes receive a default UNKNOWN penalty of 0.9x, which reduces their visibility without correctly validating medical plausibility. As a consequence, the Medical Consistency Score—which measures the proportion of HIGH-consistency predictions—was only 10.75% in the validation suite. Completing the knowledge base is a high-priority improvement for future iterations.</w:t>
      </w:r>
    </w:p>
    <w:p w14:paraId="048073E8" w14:textId="77777777" w:rsidR="003B729E" w:rsidRDefault="00000000">
      <w:pPr>
        <w:spacing w:before="280" w:after="80" w:line="360" w:lineRule="exact"/>
      </w:pPr>
      <w:r>
        <w:rPr>
          <w:rFonts w:ascii="Times New Roman" w:hAnsi="Times New Roman"/>
          <w:b/>
          <w:sz w:val="26"/>
        </w:rPr>
        <w:t>12.5  No Real Hospital API Integration</w:t>
      </w:r>
    </w:p>
    <w:p w14:paraId="4EEB39A9" w14:textId="77777777" w:rsidR="003B729E" w:rsidRDefault="00000000">
      <w:pPr>
        <w:spacing w:after="160" w:line="360" w:lineRule="exact"/>
        <w:ind w:firstLine="432"/>
        <w:jc w:val="both"/>
      </w:pPr>
      <w:r>
        <w:rPr>
          <w:rFonts w:ascii="Times New Roman" w:hAnsi="Times New Roman"/>
          <w:sz w:val="24"/>
        </w:rPr>
        <w:t>The hospital recommendation feature currently operates on a static snapshot of the National Hospital Directory. It does not query real-time hospital APIs for availability, appointment booking, or current operational status. Geographic proximity calculations are limited to state and district matching because 38% of hospital records lack geo-</w:t>
      </w:r>
      <w:r>
        <w:rPr>
          <w:rFonts w:ascii="Times New Roman" w:hAnsi="Times New Roman"/>
          <w:sz w:val="24"/>
        </w:rPr>
        <w:lastRenderedPageBreak/>
        <w:t>coordinates. Real-time integration with hospital management systems or government health APIs would substantially improve the utility of this feature.</w:t>
      </w:r>
    </w:p>
    <w:p w14:paraId="310FF2F2" w14:textId="77777777" w:rsidR="003B729E" w:rsidRDefault="00000000">
      <w:pPr>
        <w:spacing w:before="280" w:after="80" w:line="360" w:lineRule="exact"/>
      </w:pPr>
      <w:r>
        <w:rPr>
          <w:rFonts w:ascii="Times New Roman" w:hAnsi="Times New Roman"/>
          <w:b/>
          <w:sz w:val="26"/>
        </w:rPr>
        <w:t>12.6  No Multilingual Support</w:t>
      </w:r>
    </w:p>
    <w:p w14:paraId="4BE7ECA1" w14:textId="77777777" w:rsidR="003B729E" w:rsidRDefault="00000000">
      <w:pPr>
        <w:spacing w:after="160" w:line="360" w:lineRule="exact"/>
        <w:ind w:firstLine="432"/>
        <w:jc w:val="both"/>
      </w:pPr>
      <w:r>
        <w:rPr>
          <w:rFonts w:ascii="Times New Roman" w:hAnsi="Times New Roman"/>
          <w:sz w:val="24"/>
        </w:rPr>
        <w:t>MediAssist AI processes only English-language input. In the Indian context, where the project is primarily targeted, patients may prefer to communicate in Hindi, Kannada, Tamil, Telugu, or other regional languages. The absence of multilingual support is a significant accessibility limitation and is identified as the primary deployment barrier for rural and semi-urban populations.</w:t>
      </w:r>
    </w:p>
    <w:p w14:paraId="1B6DB79B" w14:textId="77777777" w:rsidR="003B729E" w:rsidRDefault="00000000">
      <w:pPr>
        <w:spacing w:before="280" w:after="80" w:line="360" w:lineRule="exact"/>
      </w:pPr>
      <w:r>
        <w:rPr>
          <w:rFonts w:ascii="Times New Roman" w:hAnsi="Times New Roman"/>
          <w:b/>
          <w:sz w:val="26"/>
        </w:rPr>
        <w:t>12.7  Healthcare Regulatory Constraints</w:t>
      </w:r>
    </w:p>
    <w:p w14:paraId="5B2963FD" w14:textId="77777777" w:rsidR="003B729E" w:rsidRDefault="00000000">
      <w:pPr>
        <w:spacing w:after="160" w:line="360" w:lineRule="exact"/>
        <w:ind w:firstLine="432"/>
        <w:jc w:val="both"/>
      </w:pPr>
      <w:r>
        <w:rPr>
          <w:rFonts w:ascii="Times New Roman" w:hAnsi="Times New Roman"/>
          <w:sz w:val="24"/>
        </w:rPr>
        <w:t>Any deployment of an AI system providing medical guidance in India is subject to the Telemedicine Practice Guidelines (2020) issued by the Ministry of Health and Family Welfare, and potentially to DISHA (Digital Information Security in Healthcare Act) regulations. The current prototype does not implement user authentication, data encryption, or audit trails required for regulatory compliance. These are engineering requirements that would need to be addressed before any production deployment.</w:t>
      </w:r>
    </w:p>
    <w:p w14:paraId="5DEDC0F7" w14:textId="77777777" w:rsidR="003B729E" w:rsidRDefault="00000000">
      <w:r>
        <w:br w:type="page"/>
      </w:r>
    </w:p>
    <w:p w14:paraId="0510BEB1" w14:textId="77777777" w:rsidR="003B729E" w:rsidRDefault="00000000">
      <w:pPr>
        <w:spacing w:after="120" w:line="400" w:lineRule="exact"/>
      </w:pPr>
      <w:r>
        <w:rPr>
          <w:rFonts w:ascii="Times New Roman" w:hAnsi="Times New Roman"/>
          <w:b/>
          <w:sz w:val="32"/>
          <w:u w:val="single"/>
        </w:rPr>
        <w:lastRenderedPageBreak/>
        <w:t>Chapter 13: Future Work</w:t>
      </w:r>
    </w:p>
    <w:p w14:paraId="6E70428C" w14:textId="77777777" w:rsidR="003B729E" w:rsidRDefault="003B729E">
      <w:pPr>
        <w:pBdr>
          <w:bottom w:val="single" w:sz="6" w:space="1" w:color="4472C4"/>
        </w:pBdr>
      </w:pPr>
    </w:p>
    <w:p w14:paraId="63B5E22E" w14:textId="77777777" w:rsidR="003B729E" w:rsidRDefault="00000000">
      <w:pPr>
        <w:spacing w:after="160" w:line="360" w:lineRule="exact"/>
        <w:jc w:val="both"/>
      </w:pPr>
      <w:r>
        <w:rPr>
          <w:rFonts w:ascii="Times New Roman" w:hAnsi="Times New Roman"/>
          <w:sz w:val="24"/>
        </w:rPr>
        <w:t>The limitations identified in Chapter 12 directly motivate the following directions for future development. These are presented in approximate order of implementation priority.</w:t>
      </w:r>
    </w:p>
    <w:p w14:paraId="53B2D926" w14:textId="77777777" w:rsidR="003B729E" w:rsidRDefault="00000000">
      <w:pPr>
        <w:spacing w:before="280" w:after="80" w:line="360" w:lineRule="exact"/>
      </w:pPr>
      <w:r>
        <w:rPr>
          <w:rFonts w:ascii="Times New Roman" w:hAnsi="Times New Roman"/>
          <w:b/>
          <w:sz w:val="26"/>
        </w:rPr>
        <w:t>13.1  Multilingual Support</w:t>
      </w:r>
    </w:p>
    <w:p w14:paraId="0F4169DD" w14:textId="77777777" w:rsidR="003B729E" w:rsidRDefault="00000000">
      <w:pPr>
        <w:spacing w:after="160" w:line="360" w:lineRule="exact"/>
        <w:ind w:firstLine="432"/>
        <w:jc w:val="both"/>
      </w:pPr>
      <w:r>
        <w:rPr>
          <w:rFonts w:ascii="Times New Roman" w:hAnsi="Times New Roman"/>
          <w:sz w:val="24"/>
        </w:rPr>
        <w:t>The highest-priority improvement is the addition of multilingual symptom processing. A practical first step would be to integrate a lightweight machine translation layer—using a pre-trained model such as IndicTrans2 or Helsinki-NLP's opus-mt models—that translates non-English input to English before passing it to the existing TF-IDF + LR pipeline. This approach would provide broad language coverage without requiring retraining of the core classifier. A longer-term solution would involve training multilingual classifiers on symptom datasets in regional languages.</w:t>
      </w:r>
    </w:p>
    <w:p w14:paraId="5B86FBB4" w14:textId="77777777" w:rsidR="003B729E" w:rsidRDefault="00000000">
      <w:pPr>
        <w:spacing w:before="280" w:after="80" w:line="360" w:lineRule="exact"/>
      </w:pPr>
      <w:r>
        <w:rPr>
          <w:rFonts w:ascii="Times New Roman" w:hAnsi="Times New Roman"/>
          <w:b/>
          <w:sz w:val="26"/>
        </w:rPr>
        <w:t>13.2  Emergency Keyword Expansion with Semantic Matching</w:t>
      </w:r>
    </w:p>
    <w:p w14:paraId="64731FF9" w14:textId="77777777" w:rsidR="003B729E" w:rsidRDefault="00000000">
      <w:pPr>
        <w:spacing w:after="160" w:line="360" w:lineRule="exact"/>
        <w:ind w:firstLine="432"/>
        <w:jc w:val="both"/>
      </w:pPr>
      <w:r>
        <w:rPr>
          <w:rFonts w:ascii="Times New Roman" w:hAnsi="Times New Roman"/>
          <w:sz w:val="24"/>
        </w:rPr>
        <w:t>The current substring-matching approach could be augmented with semantic similarity matching using a lightweight sentence encoder. Instead of requiring exact phrase matches, the enhanced system would flag inputs whose embedding is sufficiently close to known emergency phrase embeddings. This would catch paraphrased emergency descriptions while retaining the deterministic safety guarantee for all explicitly registered phrases. A threshold-based hybrid approach—exact match OR cosine similarity &gt; 0.92—would balance recall and precision for emergency detection.</w:t>
      </w:r>
    </w:p>
    <w:p w14:paraId="2F9E8FC4" w14:textId="77777777" w:rsidR="003B729E" w:rsidRDefault="00000000">
      <w:pPr>
        <w:spacing w:before="280" w:after="80" w:line="360" w:lineRule="exact"/>
      </w:pPr>
      <w:r>
        <w:rPr>
          <w:rFonts w:ascii="Times New Roman" w:hAnsi="Times New Roman"/>
          <w:b/>
          <w:sz w:val="26"/>
        </w:rPr>
        <w:t>13.3  Disease Category Knowledge Base Completion</w:t>
      </w:r>
    </w:p>
    <w:p w14:paraId="70FE12CA" w14:textId="77777777" w:rsidR="003B729E" w:rsidRDefault="00000000">
      <w:pPr>
        <w:spacing w:after="160" w:line="360" w:lineRule="exact"/>
        <w:ind w:firstLine="432"/>
        <w:jc w:val="both"/>
      </w:pPr>
      <w:r>
        <w:rPr>
          <w:rFonts w:ascii="Times New Roman" w:hAnsi="Times New Roman"/>
          <w:sz w:val="24"/>
        </w:rPr>
        <w:t>Completing the disease_categories.json mapping for all 260+ disease classes is a straightforward but important improvement. The mapping could be automated using the ICD-10 or SNOMED-CT ontologies to retrieve standardised clinical category assignments for each disease name, replacing the current heuristic keyword approach with a medically validated taxonomy.</w:t>
      </w:r>
    </w:p>
    <w:p w14:paraId="5E23BF40" w14:textId="77777777" w:rsidR="003B729E" w:rsidRDefault="00000000">
      <w:pPr>
        <w:spacing w:before="280" w:after="80" w:line="360" w:lineRule="exact"/>
      </w:pPr>
      <w:r>
        <w:rPr>
          <w:rFonts w:ascii="Times New Roman" w:hAnsi="Times New Roman"/>
          <w:b/>
          <w:sz w:val="26"/>
        </w:rPr>
        <w:t>13.4  Real Healthcare API Integration</w:t>
      </w:r>
    </w:p>
    <w:p w14:paraId="1C6CDB6F" w14:textId="77777777" w:rsidR="003B729E" w:rsidRDefault="00000000">
      <w:pPr>
        <w:spacing w:after="160" w:line="360" w:lineRule="exact"/>
        <w:ind w:firstLine="432"/>
        <w:jc w:val="both"/>
      </w:pPr>
      <w:r>
        <w:rPr>
          <w:rFonts w:ascii="Times New Roman" w:hAnsi="Times New Roman"/>
          <w:sz w:val="24"/>
        </w:rPr>
        <w:t>Integration with the Ayushman Bharat Digital Mission (ABDM) APIs or NHA's Health Facility Registry would enable real-time hospital lookups, removing the dependency on the static directory snapshot. This would also allow the system to filter recommendations by specialty, availability, and proximity using live geo-coordinates.</w:t>
      </w:r>
    </w:p>
    <w:p w14:paraId="172AFB5B" w14:textId="77777777" w:rsidR="003B729E" w:rsidRDefault="00000000">
      <w:pPr>
        <w:spacing w:before="280" w:after="80" w:line="360" w:lineRule="exact"/>
      </w:pPr>
      <w:r>
        <w:rPr>
          <w:rFonts w:ascii="Times New Roman" w:hAnsi="Times New Roman"/>
          <w:b/>
          <w:sz w:val="26"/>
        </w:rPr>
        <w:t>13.5  Transformer-Based Conversational Layer</w:t>
      </w:r>
    </w:p>
    <w:p w14:paraId="66F99737" w14:textId="77777777" w:rsidR="003B729E" w:rsidRDefault="00000000">
      <w:pPr>
        <w:spacing w:after="160" w:line="360" w:lineRule="exact"/>
        <w:ind w:firstLine="432"/>
        <w:jc w:val="both"/>
      </w:pPr>
      <w:r>
        <w:rPr>
          <w:rFonts w:ascii="Times New Roman" w:hAnsi="Times New Roman"/>
          <w:sz w:val="24"/>
        </w:rPr>
        <w:lastRenderedPageBreak/>
        <w:t>The current conversational interface is script-based: the system follows a structured follow-up question protocol rather than engaging in open-ended dialogue. A future enhancement could integrate a lightweight transformer model—such as a fine-tuned DistilBERT or a quantised version of a small LLM—as an optional conversational extension. Critically, this model would be deployed only for the natural language understanding and response generation layer, and would not replace the deterministic Emergency Override Layer or the ML-based disease prediction pipeline. The safety architecture must remain independent of any transformer component.</w:t>
      </w:r>
    </w:p>
    <w:p w14:paraId="102B0BEC" w14:textId="77777777" w:rsidR="003B729E" w:rsidRDefault="00000000">
      <w:pPr>
        <w:spacing w:before="280" w:after="80" w:line="360" w:lineRule="exact"/>
      </w:pPr>
      <w:r>
        <w:rPr>
          <w:rFonts w:ascii="Times New Roman" w:hAnsi="Times New Roman"/>
          <w:b/>
          <w:sz w:val="26"/>
        </w:rPr>
        <w:t>13.6  Mobile Deployment and Voice Input</w:t>
      </w:r>
    </w:p>
    <w:p w14:paraId="5E7528A3" w14:textId="77777777" w:rsidR="003B729E" w:rsidRDefault="00000000">
      <w:pPr>
        <w:spacing w:after="160" w:line="360" w:lineRule="exact"/>
        <w:ind w:firstLine="432"/>
        <w:jc w:val="both"/>
      </w:pPr>
      <w:r>
        <w:rPr>
          <w:rFonts w:ascii="Times New Roman" w:hAnsi="Times New Roman"/>
          <w:sz w:val="24"/>
        </w:rPr>
        <w:t>A React Native or Flutter mobile wrapper around the Streamlit backend—or a reimplemented lightweight frontend—would enable deployment on mobile devices in rural settings where desktop access is limited. Voice input support, using a speech-to-text model such as Whisper, would further improve accessibility for users with limited literacy.</w:t>
      </w:r>
    </w:p>
    <w:p w14:paraId="4FA4CF21" w14:textId="77777777" w:rsidR="003B729E" w:rsidRDefault="00000000">
      <w:pPr>
        <w:spacing w:before="280" w:after="80" w:line="360" w:lineRule="exact"/>
      </w:pPr>
      <w:r>
        <w:rPr>
          <w:rFonts w:ascii="Times New Roman" w:hAnsi="Times New Roman"/>
          <w:b/>
          <w:sz w:val="26"/>
        </w:rPr>
        <w:t>13.7  Continuous Validation in CI/CD Pipeline</w:t>
      </w:r>
    </w:p>
    <w:p w14:paraId="00AAFDA2" w14:textId="77777777" w:rsidR="003B729E" w:rsidRDefault="00000000">
      <w:pPr>
        <w:spacing w:after="160" w:line="360" w:lineRule="exact"/>
        <w:ind w:firstLine="432"/>
        <w:jc w:val="both"/>
      </w:pPr>
      <w:r>
        <w:rPr>
          <w:rFonts w:ascii="Times New Roman" w:hAnsi="Times New Roman"/>
          <w:sz w:val="24"/>
        </w:rPr>
        <w:t>The run_final_research_validation.py script is currently run manually. Integrating it into a continuous integration pipeline—triggered on every code push—would ensure that changes to the emergency keyword dictionary, disease category knowledge base, or ML pipeline do not inadvertently degrade safety metrics. Any commit that causes EEA to drop below 95% or MER to exceed 0% should automatically block deployment.</w:t>
      </w:r>
    </w:p>
    <w:p w14:paraId="3AD0DEC2" w14:textId="77777777" w:rsidR="003B729E" w:rsidRDefault="00000000">
      <w:r>
        <w:br w:type="page"/>
      </w:r>
    </w:p>
    <w:p w14:paraId="79FE8713" w14:textId="77777777" w:rsidR="003B729E" w:rsidRDefault="00000000">
      <w:pPr>
        <w:spacing w:after="120" w:line="400" w:lineRule="exact"/>
      </w:pPr>
      <w:r>
        <w:rPr>
          <w:rFonts w:ascii="Times New Roman" w:hAnsi="Times New Roman"/>
          <w:b/>
          <w:sz w:val="32"/>
          <w:u w:val="single"/>
        </w:rPr>
        <w:lastRenderedPageBreak/>
        <w:t>Chapter 14: Conclusion</w:t>
      </w:r>
    </w:p>
    <w:p w14:paraId="3490DDF6" w14:textId="77777777" w:rsidR="003B729E" w:rsidRDefault="003B729E">
      <w:pPr>
        <w:pBdr>
          <w:bottom w:val="single" w:sz="6" w:space="1" w:color="4472C4"/>
        </w:pBdr>
      </w:pPr>
    </w:p>
    <w:p w14:paraId="349FFC29" w14:textId="77777777" w:rsidR="003B729E" w:rsidRDefault="00000000">
      <w:pPr>
        <w:spacing w:after="160" w:line="360" w:lineRule="exact"/>
        <w:ind w:firstLine="432"/>
        <w:jc w:val="both"/>
      </w:pPr>
      <w:r>
        <w:rPr>
          <w:rFonts w:ascii="Times New Roman" w:hAnsi="Times New Roman"/>
          <w:sz w:val="24"/>
        </w:rPr>
        <w:t>This project set out to address a specific, well-defined problem: the architectural unsafety of purely probabilistic machine learning systems when applied to healthcare triage. The preliminary evaluation demonstrated that a competitive TF-IDF + Logistic Regression classifier—achieving 84.36% top-1 accuracy on a 260-class symptom dataset—nonetheless failed to escalate approximately one in three emergency symptom inputs. This is not a problem that can be solved by training a better model. It is a problem of architecture.</w:t>
      </w:r>
    </w:p>
    <w:p w14:paraId="789989E8" w14:textId="77777777" w:rsidR="003B729E" w:rsidRDefault="00000000">
      <w:pPr>
        <w:spacing w:after="160" w:line="360" w:lineRule="exact"/>
        <w:ind w:firstLine="432"/>
        <w:jc w:val="both"/>
      </w:pPr>
      <w:r>
        <w:rPr>
          <w:rFonts w:ascii="Times New Roman" w:hAnsi="Times New Roman"/>
          <w:sz w:val="24"/>
        </w:rPr>
        <w:t>MediAssist AI addresses this by implementing a defence-in-depth architecture that separates safety from statistical inference. The Emergency Safety Override Layer provides deterministic, auditable, testable protection against emergency misclassification. The Medical Consistency Validator provides a post-ML check that suppresses medically implausible predictions. Together, these mechanisms reduced the Missed Emergency Rate from 34.2% to 0% and the Unsafe Prediction Rate from 12.5% to 0% across a 500-case validation suite.</w:t>
      </w:r>
    </w:p>
    <w:p w14:paraId="354C8164" w14:textId="77777777" w:rsidR="003B729E" w:rsidRDefault="00000000">
      <w:pPr>
        <w:spacing w:after="160" w:line="360" w:lineRule="exact"/>
        <w:ind w:firstLine="432"/>
        <w:jc w:val="both"/>
      </w:pPr>
      <w:r>
        <w:rPr>
          <w:rFonts w:ascii="Times New Roman" w:hAnsi="Times New Roman"/>
          <w:sz w:val="24"/>
        </w:rPr>
        <w:t>The system demonstrates that responsible healthcare AI does not require large language models or complex deep learning architectures. A carefully engineered classical ML pipeline—with appropriate safety guardrails designed as first-class architectural components—can provide reliable, interpretable, and safe preliminary triage assistance.</w:t>
      </w:r>
    </w:p>
    <w:p w14:paraId="530CB9C3" w14:textId="77777777" w:rsidR="003B729E" w:rsidRDefault="00000000">
      <w:pPr>
        <w:spacing w:after="160" w:line="360" w:lineRule="exact"/>
        <w:ind w:firstLine="432"/>
        <w:jc w:val="both"/>
      </w:pPr>
      <w:r>
        <w:rPr>
          <w:rFonts w:ascii="Times New Roman" w:hAnsi="Times New Roman"/>
          <w:sz w:val="24"/>
        </w:rPr>
        <w:t>The project also makes a methodological contribution: the introduction of healthcare-specific evaluation metrics (EEA, MER, UPR) that are more clinically meaningful than standard ML accuracy metrics for assessing the safety of triage systems. These metrics, along with the 500-case validation framework, provide a reproducible evaluation protocol that can be applied to future iterations of the system or to similar healthcare AI projects.</w:t>
      </w:r>
    </w:p>
    <w:p w14:paraId="2A3F3EEA" w14:textId="77777777" w:rsidR="003B729E" w:rsidRDefault="00000000">
      <w:pPr>
        <w:spacing w:after="160" w:line="360" w:lineRule="exact"/>
        <w:ind w:firstLine="432"/>
        <w:jc w:val="both"/>
      </w:pPr>
      <w:r>
        <w:rPr>
          <w:rFonts w:ascii="Times New Roman" w:hAnsi="Times New Roman"/>
          <w:sz w:val="24"/>
        </w:rPr>
        <w:t>In conclusion, MediAssist AI is best described as a safety-aware healthcare triage assistant—a system designed not to replace clinical judgment, but to ensure that no patient describing a life-threatening emergency is directed toward home care advice. That single guarantee, achieved through deterministic engineering rather than probabilistic inference, is the project's most significant contribution.</w:t>
      </w:r>
    </w:p>
    <w:p w14:paraId="575D5F03" w14:textId="77777777" w:rsidR="003B729E" w:rsidRDefault="00000000">
      <w:r>
        <w:br w:type="page"/>
      </w:r>
    </w:p>
    <w:p w14:paraId="3412E549" w14:textId="77777777" w:rsidR="003B729E" w:rsidRDefault="00000000">
      <w:pPr>
        <w:spacing w:after="160"/>
      </w:pPr>
      <w:r>
        <w:rPr>
          <w:rFonts w:ascii="Times New Roman" w:hAnsi="Times New Roman"/>
          <w:b/>
          <w:sz w:val="32"/>
          <w:u w:val="single"/>
        </w:rPr>
        <w:lastRenderedPageBreak/>
        <w:t>References</w:t>
      </w:r>
    </w:p>
    <w:p w14:paraId="53F2EA46" w14:textId="77777777" w:rsidR="003B729E" w:rsidRDefault="003B729E">
      <w:pPr>
        <w:pBdr>
          <w:bottom w:val="single" w:sz="6" w:space="1" w:color="4472C4"/>
        </w:pBdr>
      </w:pPr>
    </w:p>
    <w:p w14:paraId="29126795" w14:textId="77777777" w:rsidR="003B729E" w:rsidRDefault="00000000">
      <w:pPr>
        <w:spacing w:before="40" w:after="80" w:line="320" w:lineRule="exact"/>
        <w:ind w:left="576" w:hanging="576"/>
      </w:pPr>
      <w:r>
        <w:rPr>
          <w:rFonts w:ascii="Times New Roman" w:hAnsi="Times New Roman"/>
        </w:rPr>
        <w:t>[1]  E. H. Shortliffe, "Computer-Based Medical Consultations: MYCIN," American Elsevier, New York, 1976.</w:t>
      </w:r>
    </w:p>
    <w:p w14:paraId="421C850A" w14:textId="77777777" w:rsidR="003B729E" w:rsidRDefault="00000000">
      <w:pPr>
        <w:spacing w:before="40" w:after="80" w:line="320" w:lineRule="exact"/>
        <w:ind w:left="576" w:hanging="576"/>
      </w:pPr>
      <w:r>
        <w:rPr>
          <w:rFonts w:ascii="Times New Roman" w:hAnsi="Times New Roman"/>
        </w:rPr>
        <w:t>[2]  R. A. Miller, H. E. Pople, and J. D. Myers, "Internist-1, an Experimental Computer-Based Diagnostic Consultant for General Internal Medicine," New England Journal of Medicine, vol. 307, no. 8, pp. 468–476, 1982.</w:t>
      </w:r>
    </w:p>
    <w:p w14:paraId="5B28962A" w14:textId="77777777" w:rsidR="003B729E" w:rsidRDefault="00000000">
      <w:pPr>
        <w:spacing w:before="40" w:after="80" w:line="320" w:lineRule="exact"/>
        <w:ind w:left="576" w:hanging="576"/>
      </w:pPr>
      <w:r>
        <w:rPr>
          <w:rFonts w:ascii="Times New Roman" w:hAnsi="Times New Roman"/>
        </w:rPr>
        <w:t>[3]  I. Semigran, J. Linder, C. Gidengil, and A. Mehrotra, "Evaluation of Symptom Checkers for Self Diagnosis and Triage," BMJ, vol. 351, p. h3480, 2015.</w:t>
      </w:r>
    </w:p>
    <w:p w14:paraId="3F15B8AD" w14:textId="77777777" w:rsidR="003B729E" w:rsidRDefault="00000000">
      <w:pPr>
        <w:spacing w:before="40" w:after="80" w:line="320" w:lineRule="exact"/>
        <w:ind w:left="576" w:hanging="576"/>
      </w:pPr>
      <w:r>
        <w:rPr>
          <w:rFonts w:ascii="Times New Roman" w:hAnsi="Times New Roman"/>
        </w:rPr>
        <w:t>[4]  L. Semigran et al., "Comparison of Accuracy of Symptom Checkers for Diagnosing Acute Respiratory Infections," Open Forum Infectious Diseases, 2016.</w:t>
      </w:r>
    </w:p>
    <w:p w14:paraId="3F5AA282" w14:textId="77777777" w:rsidR="003B729E" w:rsidRDefault="00000000">
      <w:pPr>
        <w:spacing w:before="40" w:after="80" w:line="320" w:lineRule="exact"/>
        <w:ind w:left="576" w:hanging="576"/>
      </w:pPr>
      <w:r>
        <w:rPr>
          <w:rFonts w:ascii="Times New Roman" w:hAnsi="Times New Roman"/>
        </w:rPr>
        <w:t>[5]  W. W. Chapman, W. Bridewell, P. Hanbury, G. F. Cooper, and B. G. Buchanan, "A Simple Algorithm for Identifying Negated Findings and Diseases in Discharge Summaries," Journal of Biomedical Informatics, vol. 34, no. 5, pp. 301–310, 2001.</w:t>
      </w:r>
    </w:p>
    <w:p w14:paraId="13193104" w14:textId="77777777" w:rsidR="003B729E" w:rsidRDefault="00000000">
      <w:pPr>
        <w:spacing w:before="40" w:after="80" w:line="320" w:lineRule="exact"/>
        <w:ind w:left="576" w:hanging="576"/>
      </w:pPr>
      <w:r>
        <w:rPr>
          <w:rFonts w:ascii="Times New Roman" w:hAnsi="Times New Roman"/>
        </w:rPr>
        <w:t>[6]  G. Salton and C. Buckley, "Term-Weighting Approaches in Automatic Text Retrieval," Information Processing &amp; Management, vol. 24, no. 5, pp. 513–523, 1988.</w:t>
      </w:r>
    </w:p>
    <w:p w14:paraId="487A2D7C" w14:textId="77777777" w:rsidR="003B729E" w:rsidRDefault="00000000">
      <w:pPr>
        <w:spacing w:before="40" w:after="80" w:line="320" w:lineRule="exact"/>
        <w:ind w:left="576" w:hanging="576"/>
      </w:pPr>
      <w:r>
        <w:rPr>
          <w:rFonts w:ascii="Times New Roman" w:hAnsi="Times New Roman"/>
        </w:rPr>
        <w:t>[7]  S. Wang and C. D. Manning, "Baselines and Bigrams: Simple, Good Sentiment and Topic Classification," in Proc. ACL, 2012, pp. 90–94.</w:t>
      </w:r>
    </w:p>
    <w:p w14:paraId="122FCF62" w14:textId="77777777" w:rsidR="003B729E" w:rsidRDefault="00000000">
      <w:pPr>
        <w:spacing w:before="40" w:after="80" w:line="320" w:lineRule="exact"/>
        <w:ind w:left="576" w:hanging="576"/>
      </w:pPr>
      <w:r>
        <w:rPr>
          <w:rFonts w:ascii="Times New Roman" w:hAnsi="Times New Roman"/>
        </w:rPr>
        <w:t>[8]  L. Breiman, "Random Forests," Machine Learning, vol. 45, pp. 5–32, 2001.</w:t>
      </w:r>
    </w:p>
    <w:p w14:paraId="4F339434" w14:textId="77777777" w:rsidR="003B729E" w:rsidRDefault="00000000">
      <w:pPr>
        <w:spacing w:before="40" w:after="80" w:line="320" w:lineRule="exact"/>
        <w:ind w:left="576" w:hanging="576"/>
      </w:pPr>
      <w:r>
        <w:rPr>
          <w:rFonts w:ascii="Times New Roman" w:hAnsi="Times New Roman"/>
        </w:rPr>
        <w:t>[9]  A. McCallum and K. Nigam, "A Comparison of Event Models for Naive Bayes Text Classification," in Proc. AAAI Workshop on Learning for Text Categorization, vol. 752, 1998, pp. 41–48.</w:t>
      </w:r>
    </w:p>
    <w:p w14:paraId="08C9722D" w14:textId="77777777" w:rsidR="003B729E" w:rsidRDefault="00000000">
      <w:pPr>
        <w:spacing w:before="40" w:after="80" w:line="320" w:lineRule="exact"/>
        <w:ind w:left="576" w:hanging="576"/>
      </w:pPr>
      <w:r>
        <w:rPr>
          <w:rFonts w:ascii="Times New Roman" w:hAnsi="Times New Roman"/>
        </w:rPr>
        <w:t>[10]  A. Vaswani et al., "Attention Is All You Need," in Advances in Neural Information Processing Systems, vol. 30, 2017.</w:t>
      </w:r>
    </w:p>
    <w:p w14:paraId="332DCF50" w14:textId="77777777" w:rsidR="003B729E" w:rsidRDefault="00000000">
      <w:pPr>
        <w:spacing w:before="40" w:after="80" w:line="320" w:lineRule="exact"/>
        <w:ind w:left="576" w:hanging="576"/>
      </w:pPr>
      <w:r>
        <w:rPr>
          <w:rFonts w:ascii="Times New Roman" w:hAnsi="Times New Roman"/>
        </w:rPr>
        <w:t>[11]  J. Devlin, M.-W. Chang, K. Lee, and K. Toutanova, "BERT: Pre-training of Deep Bidirectional Transformers for Language Understanding," in Proc. NAACL-HLT, 2019, pp. 4171–4186.</w:t>
      </w:r>
    </w:p>
    <w:p w14:paraId="7F76F4EB" w14:textId="77777777" w:rsidR="003B729E" w:rsidRDefault="00000000">
      <w:pPr>
        <w:spacing w:before="40" w:after="80" w:line="320" w:lineRule="exact"/>
        <w:ind w:left="576" w:hanging="576"/>
      </w:pPr>
      <w:r>
        <w:rPr>
          <w:rFonts w:ascii="Times New Roman" w:hAnsi="Times New Roman"/>
        </w:rPr>
        <w:t>[12]  J. Lee et al., "BioBERT: A Pre-trained Biomedical Language Representation Model for Biomedical Text Mining," Bioinformatics, vol. 36, no. 4, pp. 1234–1240, 2020.</w:t>
      </w:r>
    </w:p>
    <w:p w14:paraId="119ED8CE" w14:textId="77777777" w:rsidR="003B729E" w:rsidRDefault="00000000">
      <w:pPr>
        <w:spacing w:before="40" w:after="80" w:line="320" w:lineRule="exact"/>
        <w:ind w:left="576" w:hanging="576"/>
      </w:pPr>
      <w:r>
        <w:rPr>
          <w:rFonts w:ascii="Times New Roman" w:hAnsi="Times New Roman"/>
        </w:rPr>
        <w:t>[13]  K. Huang et al., "ClinicalBERT: Modeling Clinical Notes and Predicting Hospital Readmission," arXiv preprint arXiv:1904.05342, 2019.</w:t>
      </w:r>
    </w:p>
    <w:p w14:paraId="15F00D03" w14:textId="77777777" w:rsidR="003B729E" w:rsidRDefault="00000000">
      <w:pPr>
        <w:spacing w:before="40" w:after="80" w:line="320" w:lineRule="exact"/>
        <w:ind w:left="576" w:hanging="576"/>
      </w:pPr>
      <w:r>
        <w:rPr>
          <w:rFonts w:ascii="Times New Roman" w:hAnsi="Times New Roman"/>
        </w:rPr>
        <w:t>[14]  K. Singhal et al., "Large Language Models Encode Clinical Knowledge," Nature, vol. 620, pp. 172–180, 2023.</w:t>
      </w:r>
    </w:p>
    <w:p w14:paraId="352FEC14" w14:textId="77777777" w:rsidR="003B729E" w:rsidRDefault="00000000">
      <w:pPr>
        <w:spacing w:before="40" w:after="80" w:line="320" w:lineRule="exact"/>
        <w:ind w:left="576" w:hanging="576"/>
      </w:pPr>
      <w:r>
        <w:rPr>
          <w:rFonts w:ascii="Times New Roman" w:hAnsi="Times New Roman"/>
        </w:rPr>
        <w:t>[15]  OpenAI, "GPT-4 Technical Report," arXiv preprint arXiv:2303.08774, 2023.</w:t>
      </w:r>
    </w:p>
    <w:p w14:paraId="0A8099C1" w14:textId="77777777" w:rsidR="003B729E" w:rsidRDefault="00000000">
      <w:pPr>
        <w:spacing w:before="40" w:after="80" w:line="320" w:lineRule="exact"/>
        <w:ind w:left="576" w:hanging="576"/>
      </w:pPr>
      <w:r>
        <w:rPr>
          <w:rFonts w:ascii="Times New Roman" w:hAnsi="Times New Roman"/>
        </w:rPr>
        <w:t>[16]  E. Begoli, T. Bhattacharya, and D. Kusnezov, "The Need for Uncertainty Quantification in Machine-Assisted Medical Decision Making," Nature Machine Intelligence, vol. 1, pp. 20–23, 2019.</w:t>
      </w:r>
    </w:p>
    <w:p w14:paraId="02973677" w14:textId="77777777" w:rsidR="003B729E" w:rsidRDefault="00000000">
      <w:pPr>
        <w:spacing w:before="40" w:after="80" w:line="320" w:lineRule="exact"/>
        <w:ind w:left="576" w:hanging="576"/>
      </w:pPr>
      <w:r>
        <w:rPr>
          <w:rFonts w:ascii="Times New Roman" w:hAnsi="Times New Roman"/>
        </w:rPr>
        <w:lastRenderedPageBreak/>
        <w:t>[17]  C. Leibig, V. Allken, M. S. Ayhan, P. Berens, and S. Wahl, "Leveraging Uncertainty Information from Deep Neural Networks for Disease Detection," Scientific Reports, vol. 7, p. 17816, 2017.</w:t>
      </w:r>
    </w:p>
    <w:p w14:paraId="7E11334A" w14:textId="77777777" w:rsidR="003B729E" w:rsidRDefault="00000000">
      <w:pPr>
        <w:spacing w:before="40" w:after="80" w:line="320" w:lineRule="exact"/>
        <w:ind w:left="576" w:hanging="576"/>
      </w:pPr>
      <w:r>
        <w:rPr>
          <w:rFonts w:ascii="Times New Roman" w:hAnsi="Times New Roman"/>
        </w:rPr>
        <w:t>[18]  C. Guo, G. Pleiss, Y. Sun, and K. Q. Weinberger, "On Calibration of Modern Neural Networks," in Proc. ICML, 2017, pp. 1321–1330.</w:t>
      </w:r>
    </w:p>
    <w:p w14:paraId="74E9A9B3" w14:textId="77777777" w:rsidR="003B729E" w:rsidRDefault="00000000">
      <w:pPr>
        <w:spacing w:before="40" w:after="80" w:line="320" w:lineRule="exact"/>
        <w:ind w:left="576" w:hanging="576"/>
      </w:pPr>
      <w:r>
        <w:rPr>
          <w:rFonts w:ascii="Times New Roman" w:hAnsi="Times New Roman"/>
        </w:rPr>
        <w:t>[19]  D. Hendrycks and K. Gimpel, "A Baseline for Detecting Misclassified and Out-of-Distribution Examples in Neural Networks," in Proc. ICLR, 2017.</w:t>
      </w:r>
    </w:p>
    <w:p w14:paraId="432026B2" w14:textId="77777777" w:rsidR="003B729E" w:rsidRDefault="00000000">
      <w:pPr>
        <w:spacing w:before="40" w:after="80" w:line="320" w:lineRule="exact"/>
        <w:ind w:left="576" w:hanging="576"/>
      </w:pPr>
      <w:r>
        <w:rPr>
          <w:rFonts w:ascii="Times New Roman" w:hAnsi="Times New Roman"/>
        </w:rPr>
        <w:t>[20]  M. Topaz, L. Seger, and K. Bowles, "The Intersection of Big Data and Clinical Decision Support: Implications for Nursing Practice," Nursing Administration Quarterly, vol. 40, no. 4, pp. 304–310, 2016.</w:t>
      </w:r>
    </w:p>
    <w:p w14:paraId="43795F71" w14:textId="77777777" w:rsidR="003B729E" w:rsidRDefault="00000000">
      <w:pPr>
        <w:spacing w:before="40" w:after="80" w:line="320" w:lineRule="exact"/>
        <w:ind w:left="576" w:hanging="576"/>
      </w:pPr>
      <w:r>
        <w:rPr>
          <w:rFonts w:ascii="Times New Roman" w:hAnsi="Times New Roman"/>
        </w:rPr>
        <w:t>[21]  F. Pedregosa et al., "Scikit-learn: Machine Learning in Python," Journal of Machine Learning Research, vol. 12, pp. 2825–2830, 2011.</w:t>
      </w:r>
    </w:p>
    <w:p w14:paraId="224F57A8" w14:textId="77777777" w:rsidR="003B729E" w:rsidRDefault="00000000">
      <w:pPr>
        <w:spacing w:before="40" w:after="80" w:line="320" w:lineRule="exact"/>
        <w:ind w:left="576" w:hanging="576"/>
      </w:pPr>
      <w:r>
        <w:rPr>
          <w:rFonts w:ascii="Times New Roman" w:hAnsi="Times New Roman"/>
        </w:rPr>
        <w:t>[22]  A. Streamlit, "Streamlit: The Fastest Way to Build and Share Data Apps," Streamlit Inc., 2019. [Online]. Available: https://streamlit.io</w:t>
      </w:r>
    </w:p>
    <w:p w14:paraId="58E28732" w14:textId="77777777" w:rsidR="003B729E" w:rsidRDefault="00000000">
      <w:pPr>
        <w:spacing w:before="40" w:after="80" w:line="320" w:lineRule="exact"/>
        <w:ind w:left="576" w:hanging="576"/>
      </w:pPr>
      <w:r>
        <w:rPr>
          <w:rFonts w:ascii="Times New Roman" w:hAnsi="Times New Roman"/>
        </w:rPr>
        <w:t>[23]  Ministry of Health and Family Welfare, Government of India, "Telemedicine Practice Guidelines," 2020. [Online]. Available: https://www.mohfw.gov.in/pdf/Telemedicine.pdf</w:t>
      </w:r>
    </w:p>
    <w:p w14:paraId="056967BA" w14:textId="77777777" w:rsidR="003B729E" w:rsidRDefault="00000000">
      <w:pPr>
        <w:spacing w:before="40" w:after="80" w:line="320" w:lineRule="exact"/>
        <w:ind w:left="576" w:hanging="576"/>
      </w:pPr>
      <w:r>
        <w:rPr>
          <w:rFonts w:ascii="Times New Roman" w:hAnsi="Times New Roman"/>
        </w:rPr>
        <w:t>[24]  World Health Organization, "World Health Statistics 2022: Monitoring Health for the SDGs," WHO Press, Geneva, 2022.</w:t>
      </w:r>
    </w:p>
    <w:p w14:paraId="37BD06E3" w14:textId="77777777" w:rsidR="003B729E" w:rsidRDefault="00000000">
      <w:pPr>
        <w:spacing w:before="40" w:after="80" w:line="320" w:lineRule="exact"/>
        <w:ind w:left="576" w:hanging="576"/>
      </w:pPr>
      <w:r>
        <w:rPr>
          <w:rFonts w:ascii="Times New Roman" w:hAnsi="Times New Roman"/>
        </w:rPr>
        <w:t>[25]  T. Chen and C. Guestrin, "XGBoost: A Scalable Tree Boosting System," in Proc. ACM SIGKDD, 2016, pp. 785–794.</w:t>
      </w:r>
    </w:p>
    <w:sectPr w:rsidR="003B729E"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eeSans">
    <w:altName w:val="MS Mincho"/>
    <w:panose1 w:val="00000000000000000000"/>
    <w:charset w:val="80"/>
    <w:family w:val="auto"/>
    <w:notTrueType/>
    <w:pitch w:val="default"/>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816943">
    <w:abstractNumId w:val="8"/>
  </w:num>
  <w:num w:numId="2" w16cid:durableId="1659066502">
    <w:abstractNumId w:val="6"/>
  </w:num>
  <w:num w:numId="3" w16cid:durableId="699205244">
    <w:abstractNumId w:val="5"/>
  </w:num>
  <w:num w:numId="4" w16cid:durableId="1582442562">
    <w:abstractNumId w:val="4"/>
  </w:num>
  <w:num w:numId="5" w16cid:durableId="945037675">
    <w:abstractNumId w:val="7"/>
  </w:num>
  <w:num w:numId="6" w16cid:durableId="1431853502">
    <w:abstractNumId w:val="3"/>
  </w:num>
  <w:num w:numId="7" w16cid:durableId="1358433061">
    <w:abstractNumId w:val="2"/>
  </w:num>
  <w:num w:numId="8" w16cid:durableId="1930232135">
    <w:abstractNumId w:val="1"/>
  </w:num>
  <w:num w:numId="9" w16cid:durableId="1526283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DFA"/>
    <w:rsid w:val="00326F90"/>
    <w:rsid w:val="003B729E"/>
    <w:rsid w:val="004D29B0"/>
    <w:rsid w:val="00772486"/>
    <w:rsid w:val="00984C58"/>
    <w:rsid w:val="00AA1D8D"/>
    <w:rsid w:val="00B47730"/>
    <w:rsid w:val="00CB0664"/>
    <w:rsid w:val="00E367FA"/>
    <w:rsid w:val="00EA1903"/>
    <w:rsid w:val="00F14B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C5B43"/>
  <w14:defaultImageDpi w14:val="300"/>
  <w15:docId w15:val="{9AD46B7D-35C4-441B-9A6E-9BD05E98A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60</Pages>
  <Words>14652</Words>
  <Characters>83522</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Adithya K</cp:lastModifiedBy>
  <cp:revision>4</cp:revision>
  <dcterms:created xsi:type="dcterms:W3CDTF">2013-12-23T23:15:00Z</dcterms:created>
  <dcterms:modified xsi:type="dcterms:W3CDTF">2026-05-29T07:24:00Z</dcterms:modified>
  <cp:category/>
</cp:coreProperties>
</file>