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400" w:lineRule="exact"/>
        <w:jc w:val="left"/>
      </w:pPr>
      <w:r>
        <w:rPr>
          <w:rFonts w:ascii="Times New Roman" w:hAnsi="Times New Roman"/>
          <w:b/>
          <w:i w:val="0"/>
          <w:sz w:val="32"/>
          <w:u w:val="single"/>
        </w:rPr>
        <w:t>Chapter 1: Introduction</w:t>
      </w:r>
    </w:p>
    <w:p>
      <w:pPr>
        <w:pBdr>
          <w:bottom w:val="single" w:sz="6" w:space="1" w:color="4472C4"/>
        </w:pBdr>
      </w:pPr>
    </w:p>
    <w:p>
      <w:pPr>
        <w:spacing w:before="200" w:after="80" w:line="360" w:lineRule="exact"/>
        <w:jc w:val="left"/>
      </w:pPr>
      <w:r>
        <w:rPr>
          <w:rFonts w:ascii="Times New Roman" w:hAnsi="Times New Roman"/>
          <w:b/>
          <w:i w:val="0"/>
          <w:sz w:val="26"/>
          <w:u w:val="none"/>
        </w:rPr>
        <w:t>1.1  Background and Motivation</w:t>
      </w:r>
    </w:p>
    <w:p>
      <w:pPr>
        <w:spacing w:before="0" w:after="160" w:line="360" w:lineRule="exact"/>
        <w:ind w:firstLine="432"/>
        <w:jc w:val="both"/>
      </w:pPr>
      <w:r>
        <w:rPr>
          <w:rFonts w:ascii="Times New Roman" w:hAnsi="Times New Roman"/>
          <w:b w:val="0"/>
          <w:i w:val="0"/>
          <w:sz w:val="24"/>
          <w:u w:val="none"/>
        </w:rPr>
        <w:t>Access to reliable preliminary medical guidance remains a significant challenge in many parts of the world, particularly in low-resource and rural settings where qualified healthcare professionals may be scarce or difficult to reach. India alone has an estimated doctor-to-patient ratio well below the WHO-recommended standard of 1:1000, with rural regions disproportionately affected. In this context, there is a genuine and growing need for AI-assisted triage tools that can help patients understand the urgency of their symptoms and make informed decisions about seeking professional care.</w:t>
      </w:r>
    </w:p>
    <w:p>
      <w:pPr>
        <w:spacing w:before="0" w:after="160" w:line="360" w:lineRule="exact"/>
        <w:ind w:firstLine="432"/>
        <w:jc w:val="both"/>
      </w:pPr>
      <w:r>
        <w:rPr>
          <w:rFonts w:ascii="Times New Roman" w:hAnsi="Times New Roman"/>
          <w:b w:val="0"/>
          <w:i w:val="0"/>
          <w:sz w:val="24"/>
          <w:u w:val="none"/>
        </w:rPr>
        <w:t>Over the last decade, machine learning has shown considerable promise in medical applications, ranging from diagnostic imaging to drug discovery. For symptom-based triage, approaches built on classical classification algorithms—particularly those using bag-of-words or TF-IDF feature representations—have demonstrated reasonable predictive accuracy on curated datasets. However, a fundamental problem has persisted: these systems are statistically driven and therefore do not inherently differentiate between the clinical urgency of different conditions. A purely probabilistic model might assign a high confidence score to a benign diagnosis even when the input symptoms describe a life-threatening emergency.</w:t>
      </w:r>
    </w:p>
    <w:p>
      <w:pPr>
        <w:spacing w:before="0" w:after="160" w:line="360" w:lineRule="exact"/>
        <w:ind w:firstLine="432"/>
        <w:jc w:val="both"/>
      </w:pPr>
      <w:r>
        <w:rPr>
          <w:rFonts w:ascii="Times New Roman" w:hAnsi="Times New Roman"/>
          <w:b w:val="0"/>
          <w:i w:val="0"/>
          <w:sz w:val="24"/>
          <w:u w:val="none"/>
        </w:rPr>
        <w:t>This issue is not merely academic. During exploratory testing conducted as part of this project, a TF-IDF-based Logistic Regression classifier—trained on over 163,000 labelled symptom records—produced outputs such as predicting 'Bell Palsy' for stroke symptoms and 'Asthma' for hemoptysis combined with acute respiratory distress. These are precisely the kind of failures that would be catastrophic in a real-world triage setting. The problem is not the machine learning model itself, but the architectural assumption that a single statistical pipeline is sufficient for healthcare decisions.</w:t>
      </w:r>
    </w:p>
    <w:p>
      <w:pPr>
        <w:spacing w:before="0" w:after="160" w:line="360" w:lineRule="exact"/>
        <w:ind w:firstLine="432"/>
        <w:jc w:val="both"/>
      </w:pPr>
      <w:r>
        <w:rPr>
          <w:rFonts w:ascii="Times New Roman" w:hAnsi="Times New Roman"/>
          <w:b w:val="0"/>
          <w:i w:val="0"/>
          <w:sz w:val="24"/>
          <w:u w:val="none"/>
        </w:rPr>
        <w:t>MediAssist AI was designed in direct response to this observation. The project's central thesis is that in healthcare triage AI, safety and responsible escalation must always supersede raw prediction accuracy. This requires treating safety and statistical inference as separate, independently verifiable architectural layers rather than combining them into a single end-to-end model.</w:t>
      </w:r>
    </w:p>
    <w:p>
      <w:pPr>
        <w:spacing w:before="280" w:after="80" w:line="360" w:lineRule="exact"/>
        <w:jc w:val="left"/>
      </w:pPr>
      <w:r>
        <w:rPr>
          <w:rFonts w:ascii="Times New Roman" w:hAnsi="Times New Roman"/>
          <w:b/>
          <w:i w:val="0"/>
          <w:sz w:val="26"/>
          <w:u w:val="none"/>
        </w:rPr>
        <w:t>1.2  Scope of the Project</w:t>
      </w:r>
    </w:p>
    <w:p>
      <w:pPr>
        <w:spacing w:before="0" w:after="160" w:line="360" w:lineRule="exact"/>
        <w:ind w:firstLine="432"/>
        <w:jc w:val="both"/>
      </w:pPr>
      <w:r>
        <w:rPr>
          <w:rFonts w:ascii="Times New Roman" w:hAnsi="Times New Roman"/>
          <w:b w:val="0"/>
          <w:i w:val="0"/>
          <w:sz w:val="24"/>
          <w:u w:val="none"/>
        </w:rPr>
        <w:t>MediAssist AI is explicitly positioned as a preliminary symptom analysis and triage assistance tool. It is not intended to replace professional medical consultation, and this distinction is made clear to the user throughout the interface. The system is designed to:</w:t>
      </w:r>
    </w:p>
    <w:p>
      <w:pPr>
        <w:pStyle w:val="ListBullet"/>
        <w:spacing w:before="40" w:after="40" w:line="320" w:lineRule="exact"/>
        <w:ind w:left="576"/>
      </w:pPr>
      <w:r>
        <w:rPr>
          <w:rFonts w:ascii="Times New Roman" w:hAnsi="Times New Roman"/>
          <w:b w:val="0"/>
          <w:i w:val="0"/>
          <w:sz w:val="24"/>
          <w:u w:val="none"/>
        </w:rPr>
        <w:t>Accept natural language symptom descriptions from users.</w:t>
      </w:r>
    </w:p>
    <w:p>
      <w:pPr>
        <w:pStyle w:val="ListBullet"/>
        <w:spacing w:before="40" w:after="40" w:line="320" w:lineRule="exact"/>
        <w:ind w:left="576"/>
      </w:pPr>
      <w:r>
        <w:rPr>
          <w:rFonts w:ascii="Times New Roman" w:hAnsi="Times New Roman"/>
          <w:b w:val="0"/>
          <w:i w:val="0"/>
          <w:sz w:val="24"/>
          <w:u w:val="none"/>
        </w:rPr>
        <w:t>Detect life-threatening emergency symptom patterns and escalate them immediately, bypassing any statistical inference.</w:t>
      </w:r>
    </w:p>
    <w:p>
      <w:pPr>
        <w:pStyle w:val="ListBullet"/>
        <w:spacing w:before="40" w:after="40" w:line="320" w:lineRule="exact"/>
        <w:ind w:left="576"/>
      </w:pPr>
      <w:r>
        <w:rPr>
          <w:rFonts w:ascii="Times New Roman" w:hAnsi="Times New Roman"/>
          <w:b w:val="0"/>
          <w:i w:val="0"/>
          <w:sz w:val="24"/>
          <w:u w:val="none"/>
        </w:rPr>
        <w:t>Provide Top-K disease probability estimates for non-emergency inputs, accompanied by uncertainty indicators.</w:t>
      </w:r>
    </w:p>
    <w:p>
      <w:pPr>
        <w:pStyle w:val="ListBullet"/>
        <w:spacing w:before="40" w:after="40" w:line="320" w:lineRule="exact"/>
        <w:ind w:left="576"/>
      </w:pPr>
      <w:r>
        <w:rPr>
          <w:rFonts w:ascii="Times New Roman" w:hAnsi="Times New Roman"/>
          <w:b w:val="0"/>
          <w:i w:val="0"/>
          <w:sz w:val="24"/>
          <w:u w:val="none"/>
        </w:rPr>
        <w:t>Validate the medical plausibility of predictions using category-aware consistency checking.</w:t>
      </w:r>
    </w:p>
    <w:p>
      <w:pPr>
        <w:pStyle w:val="ListBullet"/>
        <w:spacing w:before="40" w:after="40" w:line="320" w:lineRule="exact"/>
        <w:ind w:left="576"/>
      </w:pPr>
      <w:r>
        <w:rPr>
          <w:rFonts w:ascii="Times New Roman" w:hAnsi="Times New Roman"/>
          <w:b w:val="0"/>
          <w:i w:val="0"/>
          <w:sz w:val="24"/>
          <w:u w:val="none"/>
        </w:rPr>
        <w:t>Recommend appropriate courses of action—ranging from home care for mild conditions to urgent hospital referral for severe presentations.</w:t>
      </w:r>
    </w:p>
    <w:p>
      <w:pPr>
        <w:pStyle w:val="ListBullet"/>
        <w:spacing w:before="40" w:after="40" w:line="320" w:lineRule="exact"/>
        <w:ind w:left="576"/>
      </w:pPr>
      <w:r>
        <w:rPr>
          <w:rFonts w:ascii="Times New Roman" w:hAnsi="Times New Roman"/>
          <w:b w:val="0"/>
          <w:i w:val="0"/>
          <w:sz w:val="24"/>
          <w:u w:val="none"/>
        </w:rPr>
        <w:t>Present outputs through a clean, severity-aware interface that communicates confidence levels, escalation status, and follow-up guidance clearly.</w:t>
      </w:r>
    </w:p>
    <w:p>
      <w:pPr>
        <w:spacing w:before="0" w:after="160" w:line="360" w:lineRule="exact"/>
        <w:ind w:firstLine="432"/>
        <w:jc w:val="both"/>
      </w:pPr>
      <w:r>
        <w:rPr>
          <w:rFonts w:ascii="Times New Roman" w:hAnsi="Times New Roman"/>
          <w:b w:val="0"/>
          <w:i w:val="0"/>
          <w:sz w:val="24"/>
          <w:u w:val="none"/>
        </w:rPr>
        <w:t>The system is built entirely on classical machine learning, making it lightweight, interpretable, and deployable without specialised GPU hardware—an important practical consideration for resource-constrained environments.</w:t>
      </w:r>
    </w:p>
    <w:p>
      <w:pPr>
        <w:spacing w:before="280" w:after="80" w:line="360" w:lineRule="exact"/>
        <w:jc w:val="left"/>
      </w:pPr>
      <w:r>
        <w:rPr>
          <w:rFonts w:ascii="Times New Roman" w:hAnsi="Times New Roman"/>
          <w:b/>
          <w:i w:val="0"/>
          <w:sz w:val="26"/>
          <w:u w:val="none"/>
        </w:rPr>
        <w:t>1.3  Project Objectives</w:t>
      </w:r>
    </w:p>
    <w:p>
      <w:pPr>
        <w:spacing w:before="0" w:after="160" w:line="360" w:lineRule="exact"/>
        <w:ind w:firstLine="432"/>
        <w:jc w:val="both"/>
      </w:pPr>
      <w:r>
        <w:rPr>
          <w:rFonts w:ascii="Times New Roman" w:hAnsi="Times New Roman"/>
          <w:b w:val="0"/>
          <w:i w:val="0"/>
          <w:sz w:val="24"/>
          <w:u w:val="none"/>
        </w:rPr>
        <w:t>The following objectives were established at the outset of this project and guided every design and implementation decision:</w:t>
      </w:r>
    </w:p>
    <w:p>
      <w:pPr>
        <w:spacing w:before="40" w:after="80" w:line="320" w:lineRule="exact"/>
        <w:ind w:left="576"/>
      </w:pPr>
      <w:r>
        <w:rPr>
          <w:rFonts w:ascii="Times New Roman" w:hAnsi="Times New Roman"/>
          <w:b w:val="0"/>
          <w:i w:val="0"/>
          <w:sz w:val="24"/>
          <w:u w:val="none"/>
        </w:rPr>
        <w:t>O1.  Design and implement a pre-ML Emergency Safety Override Layer that deterministically detects critical symptom combinations and triggers immediate escalation.</w:t>
      </w:r>
    </w:p>
    <w:p>
      <w:pPr>
        <w:spacing w:before="40" w:after="80" w:line="320" w:lineRule="exact"/>
        <w:ind w:left="576"/>
      </w:pPr>
      <w:r>
        <w:rPr>
          <w:rFonts w:ascii="Times New Roman" w:hAnsi="Times New Roman"/>
          <w:b w:val="0"/>
          <w:i w:val="0"/>
          <w:sz w:val="24"/>
          <w:u w:val="none"/>
        </w:rPr>
        <w:t>O2.  Train and evaluate classical machine learning classifiers (Logistic Regression, Naive Bayes) on a large, multi-class symptom-disease dataset and identify the best-performing model for sparse TF-IDF feature representations.</w:t>
      </w:r>
    </w:p>
    <w:p>
      <w:pPr>
        <w:spacing w:before="40" w:after="80" w:line="320" w:lineRule="exact"/>
        <w:ind w:left="576"/>
      </w:pPr>
      <w:r>
        <w:rPr>
          <w:rFonts w:ascii="Times New Roman" w:hAnsi="Times New Roman"/>
          <w:b w:val="0"/>
          <w:i w:val="0"/>
          <w:sz w:val="24"/>
          <w:u w:val="none"/>
        </w:rPr>
        <w:t>O3.  Implement Top-K prediction logic with uncertainty estimation to avoid overconfident single-label outputs for ambiguous symptom presentations.</w:t>
      </w:r>
    </w:p>
    <w:p>
      <w:pPr>
        <w:spacing w:before="40" w:after="80" w:line="320" w:lineRule="exact"/>
        <w:ind w:left="576"/>
      </w:pPr>
      <w:r>
        <w:rPr>
          <w:rFonts w:ascii="Times New Roman" w:hAnsi="Times New Roman"/>
          <w:b w:val="0"/>
          <w:i w:val="0"/>
          <w:sz w:val="24"/>
          <w:u w:val="none"/>
        </w:rPr>
        <w:t>O4.  Develop a Medical Consistency Validator that cross-references predicted disease categories with input symptom categories and applies confidence penalties to medically implausible predictions.</w:t>
      </w:r>
    </w:p>
    <w:p>
      <w:pPr>
        <w:spacing w:before="40" w:after="80" w:line="320" w:lineRule="exact"/>
        <w:ind w:left="576"/>
      </w:pPr>
      <w:r>
        <w:rPr>
          <w:rFonts w:ascii="Times New Roman" w:hAnsi="Times New Roman"/>
          <w:b w:val="0"/>
          <w:i w:val="0"/>
          <w:sz w:val="24"/>
          <w:u w:val="none"/>
        </w:rPr>
        <w:t>O5.  Build a safety-aware evaluation framework using healthcare-specific metrics: Emergency Escalation Accuracy (EEA), Missed Emergency Rate (MER), and Unsafe Prediction Rate (UPR).</w:t>
      </w:r>
    </w:p>
    <w:p>
      <w:pPr>
        <w:spacing w:before="40" w:after="80" w:line="320" w:lineRule="exact"/>
        <w:ind w:left="576"/>
      </w:pPr>
      <w:r>
        <w:rPr>
          <w:rFonts w:ascii="Times New Roman" w:hAnsi="Times New Roman"/>
          <w:b w:val="0"/>
          <w:i w:val="0"/>
          <w:sz w:val="24"/>
          <w:u w:val="none"/>
        </w:rPr>
        <w:t>O6.  Design a severity-aware Streamlit frontend with a glassmorphism aesthetic that communicates prediction confidence, escalation status, and home care guidance in a user-friendly manner.</w:t>
      </w:r>
    </w:p>
    <w:p>
      <w:pPr>
        <w:spacing w:before="40" w:after="80" w:line="320" w:lineRule="exact"/>
        <w:ind w:left="576"/>
      </w:pPr>
      <w:r>
        <w:rPr>
          <w:rFonts w:ascii="Times New Roman" w:hAnsi="Times New Roman"/>
          <w:b w:val="0"/>
          <w:i w:val="0"/>
          <w:sz w:val="24"/>
          <w:u w:val="none"/>
        </w:rPr>
        <w:t>O7.  Conduct a comprehensive 500-case validation study and document all findings in a reproducible research framework.</w:t>
      </w:r>
    </w:p>
    <w:p>
      <w:pPr>
        <w:spacing w:before="280" w:after="80" w:line="360" w:lineRule="exact"/>
        <w:jc w:val="left"/>
      </w:pPr>
      <w:r>
        <w:rPr>
          <w:rFonts w:ascii="Times New Roman" w:hAnsi="Times New Roman"/>
          <w:b/>
          <w:i w:val="0"/>
          <w:sz w:val="26"/>
          <w:u w:val="none"/>
        </w:rPr>
        <w:t>1.4  Report Organisation</w:t>
      </w:r>
    </w:p>
    <w:p>
      <w:pPr>
        <w:spacing w:before="0" w:after="160" w:line="360" w:lineRule="exact"/>
        <w:ind w:firstLine="432"/>
        <w:jc w:val="both"/>
      </w:pPr>
      <w:r>
        <w:rPr>
          <w:rFonts w:ascii="Times New Roman" w:hAnsi="Times New Roman"/>
          <w:b w:val="0"/>
          <w:i w:val="0"/>
          <w:sz w:val="24"/>
          <w:u w:val="none"/>
        </w:rPr>
        <w:t>The remainder of this report is organised as follows. Chapter 2 reviews existing work on symptom-checking systems, ML-based healthcare assistants, and the identified gaps that motivated this project. Chapter 3 formally states the problem. Chapters 4 through 9 detail the system architecture, dataset, methodology, safety design, frontend, and implementation. Chapters 10 and 11 cover the testing strategy and results. Chapters 12 through 14 discuss limitations, future directions, and conclusions.</w:t>
      </w:r>
    </w:p>
    <w:p>
      <w:r>
        <w:br w:type="page"/>
      </w:r>
    </w:p>
    <w:p>
      <w:pPr>
        <w:spacing w:before="0" w:after="120" w:line="400" w:lineRule="exact"/>
        <w:jc w:val="left"/>
      </w:pPr>
      <w:r>
        <w:rPr>
          <w:rFonts w:ascii="Times New Roman" w:hAnsi="Times New Roman"/>
          <w:b/>
          <w:i w:val="0"/>
          <w:sz w:val="32"/>
          <w:u w:val="single"/>
        </w:rPr>
        <w:t>Chapter 2: Literature Survey</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This chapter surveys existing approaches to AI-assisted medical symptom checking, healthcare natural language processing, and uncertainty-aware classification. It identifies the key limitations in current work that this project directly addresses.</w:t>
      </w:r>
    </w:p>
    <w:p>
      <w:pPr>
        <w:spacing w:before="280" w:after="80" w:line="360" w:lineRule="exact"/>
        <w:jc w:val="left"/>
      </w:pPr>
      <w:r>
        <w:rPr>
          <w:rFonts w:ascii="Times New Roman" w:hAnsi="Times New Roman"/>
          <w:b/>
          <w:i w:val="0"/>
          <w:sz w:val="26"/>
          <w:u w:val="none"/>
        </w:rPr>
        <w:t>2.1  Rule-Based and Symptom Checker Systems</w:t>
      </w:r>
    </w:p>
    <w:p>
      <w:pPr>
        <w:spacing w:before="0" w:after="160" w:line="360" w:lineRule="exact"/>
        <w:ind w:firstLine="432"/>
        <w:jc w:val="both"/>
      </w:pPr>
      <w:r>
        <w:rPr>
          <w:rFonts w:ascii="Times New Roman" w:hAnsi="Times New Roman"/>
          <w:b w:val="0"/>
          <w:i w:val="0"/>
          <w:sz w:val="24"/>
          <w:u w:val="none"/>
        </w:rPr>
        <w:t>The earliest computer-assisted diagnostic tools were entirely rule-based—expert systems that encoded clinical decision trees constructed by domain specialists. Systems such as MYCIN [1] and Internist-1 [2], developed in the 1970s and 1980s, demonstrated that structured clinical knowledge could be represented computationally. However, these systems required enormous manual effort to build and were brittle: any symptom pattern outside the manually encoded rules was unhandled.</w:t>
      </w:r>
    </w:p>
    <w:p>
      <w:pPr>
        <w:spacing w:before="0" w:after="160" w:line="360" w:lineRule="exact"/>
        <w:ind w:firstLine="432"/>
        <w:jc w:val="both"/>
      </w:pPr>
      <w:r>
        <w:rPr>
          <w:rFonts w:ascii="Times New Roman" w:hAnsi="Times New Roman"/>
          <w:b w:val="0"/>
          <w:i w:val="0"/>
          <w:sz w:val="24"/>
          <w:u w:val="none"/>
        </w:rPr>
        <w:t>Modern consumer-facing symptom checkers, such as Ada Health, Babylon Health, and WebMD's Symptom Checker, typically combine probabilistic Bayesian networks with curated medical ontologies. Studies assessing these tools have found significant variability in their accuracy [3]. Semigran et al. (2015) evaluated 23 symptom checkers and found that the correct diagnosis appeared first in only 34% of cases, though it appeared in the top-20 results 58% of the time [4]. Critically, most of these systems lacked explicit emergency detection mechanisms, raising patient safety concerns for high-acuity presentations.</w:t>
      </w:r>
    </w:p>
    <w:p>
      <w:pPr>
        <w:spacing w:before="0" w:after="160" w:line="360" w:lineRule="exact"/>
        <w:ind w:firstLine="432"/>
        <w:jc w:val="both"/>
      </w:pPr>
      <w:r>
        <w:rPr>
          <w:rFonts w:ascii="Times New Roman" w:hAnsi="Times New Roman"/>
          <w:b w:val="0"/>
          <w:i w:val="0"/>
          <w:sz w:val="24"/>
          <w:u w:val="none"/>
        </w:rPr>
        <w:t>The fundamental limitation of purely rule-based approaches is their inability to generalise to unseen symptom combinations. This motivated the shift toward data-driven machine learning methods in healthcare NLP research.</w:t>
      </w:r>
    </w:p>
    <w:p>
      <w:pPr>
        <w:spacing w:before="280" w:after="80" w:line="360" w:lineRule="exact"/>
        <w:jc w:val="left"/>
      </w:pPr>
      <w:r>
        <w:rPr>
          <w:rFonts w:ascii="Times New Roman" w:hAnsi="Times New Roman"/>
          <w:b/>
          <w:i w:val="0"/>
          <w:sz w:val="26"/>
          <w:u w:val="none"/>
        </w:rPr>
        <w:t>2.2  Machine Learning Approaches in Healthcare Symptom Analysis</w:t>
      </w:r>
    </w:p>
    <w:p>
      <w:pPr>
        <w:spacing w:before="0" w:after="160" w:line="360" w:lineRule="exact"/>
        <w:ind w:firstLine="432"/>
        <w:jc w:val="both"/>
      </w:pPr>
      <w:r>
        <w:rPr>
          <w:rFonts w:ascii="Times New Roman" w:hAnsi="Times New Roman"/>
          <w:b w:val="0"/>
          <w:i w:val="0"/>
          <w:sz w:val="24"/>
          <w:u w:val="none"/>
        </w:rPr>
        <w:t>Text-based symptom classification using machine learning was explored as early as the 2000s. Chapman et al. (2001) demonstrated that simple NLP pipelines could extract meaningful clinical features from patient records [5]. The subsequent decade saw TF-IDF vectorisation become the de facto baseline for medical text classification due to its simplicity, interpretability, and effectiveness on sparse, domain-specific vocabulary [6].</w:t>
      </w:r>
    </w:p>
    <w:p>
      <w:pPr>
        <w:spacing w:before="0" w:after="160" w:line="360" w:lineRule="exact"/>
        <w:ind w:firstLine="432"/>
        <w:jc w:val="both"/>
      </w:pPr>
      <w:r>
        <w:rPr>
          <w:rFonts w:ascii="Times New Roman" w:hAnsi="Times New Roman"/>
          <w:b w:val="0"/>
          <w:i w:val="0"/>
          <w:sz w:val="24"/>
          <w:u w:val="none"/>
        </w:rPr>
        <w:t>Logistic Regression has consistently been a strong performer in multi-class text classification tasks, including medical symptom prediction. Wang and Manning (2012) showed that for high-dimensional sparse features—precisely the setting produced by TF-IDF on medical text—Logistic Regression often outperforms more complex models including Support Vector Machines and ensemble methods [7]. This finding is directly relevant to MediAssist AI and is empirically confirmed by the results presented in Chapter 11.</w:t>
      </w:r>
    </w:p>
    <w:p>
      <w:pPr>
        <w:spacing w:before="0" w:after="160" w:line="360" w:lineRule="exact"/>
        <w:ind w:firstLine="432"/>
        <w:jc w:val="both"/>
      </w:pPr>
      <w:r>
        <w:rPr>
          <w:rFonts w:ascii="Times New Roman" w:hAnsi="Times New Roman"/>
          <w:b w:val="0"/>
          <w:i w:val="0"/>
          <w:sz w:val="24"/>
          <w:u w:val="none"/>
        </w:rPr>
        <w:t>Random Forest classifiers have been applied to symptom-based diagnosis by several researchers [8]. While Random Forests can capture non-linear interactions between features, they tend to perform poorly when features are highly sparse—the typical case with TF-IDF vectors over a large symptom vocabulary. Each tree in the forest sees only a random subset of features per split, which in sparse spaces results in most splits being uninformative. The experimental results in this project confirmed this behaviour, with Random Forest performing 2–3% below Logistic Regression on the primary evaluation metrics.</w:t>
      </w:r>
    </w:p>
    <w:p>
      <w:pPr>
        <w:spacing w:before="0" w:after="160" w:line="360" w:lineRule="exact"/>
        <w:ind w:firstLine="432"/>
        <w:jc w:val="both"/>
      </w:pPr>
      <w:r>
        <w:rPr>
          <w:rFonts w:ascii="Times New Roman" w:hAnsi="Times New Roman"/>
          <w:b w:val="0"/>
          <w:i w:val="0"/>
          <w:sz w:val="24"/>
          <w:u w:val="none"/>
        </w:rPr>
        <w:t>Naive Bayes classifiers have a long history in text classification and have been applied to medical symptom analysis as well [9]. Despite their independence assumption—which is rarely satisfied in practice—Naive Bayes often performs surprisingly well on sparse text features, and was retained as a secondary classifier in MediAssist AI for comparison purposes.</w:t>
      </w:r>
    </w:p>
    <w:p>
      <w:pPr>
        <w:spacing w:before="280" w:after="80" w:line="360" w:lineRule="exact"/>
        <w:jc w:val="left"/>
      </w:pPr>
      <w:r>
        <w:rPr>
          <w:rFonts w:ascii="Times New Roman" w:hAnsi="Times New Roman"/>
          <w:b/>
          <w:i w:val="0"/>
          <w:sz w:val="26"/>
          <w:u w:val="none"/>
        </w:rPr>
        <w:t>2.3  Transformer-Based Healthcare NLP</w:t>
      </w:r>
    </w:p>
    <w:p>
      <w:pPr>
        <w:spacing w:before="0" w:after="160" w:line="360" w:lineRule="exact"/>
        <w:ind w:firstLine="432"/>
        <w:jc w:val="both"/>
      </w:pPr>
      <w:r>
        <w:rPr>
          <w:rFonts w:ascii="Times New Roman" w:hAnsi="Times New Roman"/>
          <w:b w:val="0"/>
          <w:i w:val="0"/>
          <w:sz w:val="24"/>
          <w:u w:val="none"/>
        </w:rPr>
        <w:t>The introduction of transformer architectures [10] and pre-trained language models such as BERT [11] significantly advanced the state of the art in clinical NLP. BioBERT [12], trained on biomedical literature, demonstrated strong performance on named entity recognition and relation extraction tasks in clinical text. ClinicalBERT [13] extended this to patient notes, achieving notable improvements in mortality prediction and hospital readmission tasks.</w:t>
      </w:r>
    </w:p>
    <w:p>
      <w:pPr>
        <w:spacing w:before="0" w:after="160" w:line="360" w:lineRule="exact"/>
        <w:ind w:firstLine="432"/>
        <w:jc w:val="both"/>
      </w:pPr>
      <w:r>
        <w:rPr>
          <w:rFonts w:ascii="Times New Roman" w:hAnsi="Times New Roman"/>
          <w:b w:val="0"/>
          <w:i w:val="0"/>
          <w:sz w:val="24"/>
          <w:u w:val="none"/>
        </w:rPr>
        <w:t>For conversational symptom checking, models such as MedPaLM [14] and GPT-4 [15] have been evaluated in clinical Q&amp;A contexts with promising results. However, these large language models introduce substantial challenges for the kind of deployment targeted by MediAssist AI: they require significant computational resources, their reasoning is opaque and difficult to audit, and they can produce plausible-sounding but medically incorrect outputs without any inherent safety guardrail.</w:t>
      </w:r>
    </w:p>
    <w:p>
      <w:pPr>
        <w:spacing w:before="0" w:after="160" w:line="360" w:lineRule="exact"/>
        <w:ind w:firstLine="432"/>
        <w:jc w:val="both"/>
      </w:pPr>
      <w:r>
        <w:rPr>
          <w:rFonts w:ascii="Times New Roman" w:hAnsi="Times New Roman"/>
          <w:b w:val="0"/>
          <w:i w:val="0"/>
          <w:sz w:val="24"/>
          <w:u w:val="none"/>
        </w:rPr>
        <w:t>Crucially, no existing transformer-based symptom checker, to the best of our knowledge, implements a deterministic emergency override layer that bypasses model inference entirely when life-threatening symptoms are detected. This represents a fundamental architectural gap that MediAssist AI is designed to address.</w:t>
      </w:r>
    </w:p>
    <w:p>
      <w:pPr>
        <w:spacing w:before="280" w:after="80" w:line="360" w:lineRule="exact"/>
        <w:jc w:val="left"/>
      </w:pPr>
      <w:r>
        <w:rPr>
          <w:rFonts w:ascii="Times New Roman" w:hAnsi="Times New Roman"/>
          <w:b/>
          <w:i w:val="0"/>
          <w:sz w:val="26"/>
          <w:u w:val="none"/>
        </w:rPr>
        <w:t>2.4  Uncertainty Estimation in Medical AI</w:t>
      </w:r>
    </w:p>
    <w:p>
      <w:pPr>
        <w:spacing w:before="0" w:after="160" w:line="360" w:lineRule="exact"/>
        <w:ind w:firstLine="432"/>
        <w:jc w:val="both"/>
      </w:pPr>
      <w:r>
        <w:rPr>
          <w:rFonts w:ascii="Times New Roman" w:hAnsi="Times New Roman"/>
          <w:b w:val="0"/>
          <w:i w:val="0"/>
          <w:sz w:val="24"/>
          <w:u w:val="none"/>
        </w:rPr>
        <w:t>The importance of uncertainty quantification in healthcare AI has been recognised in several recent works. Begoli et al. (2019) argued that uncertainty awareness is a prerequisite for trustworthy medical AI, noting that overconfident predictions in clinical settings can actively harm patients [16]. Leibig et al. (2017) applied Monte Carlo dropout to retinal imaging models and showed that uncertainty estimates correlated with clinically meaningful error rates [17].</w:t>
      </w:r>
    </w:p>
    <w:p>
      <w:pPr>
        <w:spacing w:before="0" w:after="160" w:line="360" w:lineRule="exact"/>
        <w:ind w:firstLine="432"/>
        <w:jc w:val="both"/>
      </w:pPr>
      <w:r>
        <w:rPr>
          <w:rFonts w:ascii="Times New Roman" w:hAnsi="Times New Roman"/>
          <w:b w:val="0"/>
          <w:i w:val="0"/>
          <w:sz w:val="24"/>
          <w:u w:val="none"/>
        </w:rPr>
        <w:t>For classical classifiers, the softmax probability distribution provides a natural uncertainty signal, though it is known to be poorly calibrated—models often assign high probabilities to incorrect predictions. Guo et al. (2017) demonstrated that temperature scaling can significantly improve calibration of deep classifiers [18], though this technique is less commonly applied to classical ML models. MediAssist AI uses entropy of the softmax distribution and the gap between the top-1 and top-2 probabilities as practical uncertainty indicators, an approach consistent with the recommendations of Hendrycks and Gimpel (2017) [19].</w:t>
      </w:r>
    </w:p>
    <w:p>
      <w:pPr>
        <w:spacing w:before="280" w:after="80" w:line="360" w:lineRule="exact"/>
        <w:jc w:val="left"/>
      </w:pPr>
      <w:r>
        <w:rPr>
          <w:rFonts w:ascii="Times New Roman" w:hAnsi="Times New Roman"/>
          <w:b/>
          <w:i w:val="0"/>
          <w:sz w:val="26"/>
          <w:u w:val="none"/>
        </w:rPr>
        <w:t>2.5  Medical Plausibility and Consistency Validation</w:t>
      </w:r>
    </w:p>
    <w:p>
      <w:pPr>
        <w:spacing w:before="0" w:after="160" w:line="360" w:lineRule="exact"/>
        <w:ind w:firstLine="432"/>
        <w:jc w:val="both"/>
      </w:pPr>
      <w:r>
        <w:rPr>
          <w:rFonts w:ascii="Times New Roman" w:hAnsi="Times New Roman"/>
          <w:b w:val="0"/>
          <w:i w:val="0"/>
          <w:sz w:val="24"/>
          <w:u w:val="none"/>
        </w:rPr>
        <w:t>Medical plausibility checking—verifying that an AI prediction is consistent with the clinical category of the user's symptoms—has received relatively little attention in the symptom-checker literature. Topaz et al. (2016) discussed the importance of clinical decision support alerts being contextually appropriate, noting that alert fatigue from medically implausible suggestions reduces clinical utility [20].</w:t>
      </w:r>
    </w:p>
    <w:p>
      <w:pPr>
        <w:spacing w:before="0" w:after="160" w:line="360" w:lineRule="exact"/>
        <w:ind w:firstLine="432"/>
        <w:jc w:val="both"/>
      </w:pPr>
      <w:r>
        <w:rPr>
          <w:rFonts w:ascii="Times New Roman" w:hAnsi="Times New Roman"/>
          <w:b w:val="0"/>
          <w:i w:val="0"/>
          <w:sz w:val="24"/>
          <w:u w:val="none"/>
        </w:rPr>
        <w:t>The approach taken in MediAssist AI—mapping symptoms and diseases to predefined clinical categories and applying multiplicative confidence penalties for category mismatches—is a novel lightweight alternative to full medical ontology integration. It does not require SNOMED-CT or ICD-10 database access at inference time, making it practical for resource-constrained deployments.</w:t>
      </w:r>
    </w:p>
    <w:p>
      <w:pPr>
        <w:spacing w:before="280" w:after="80" w:line="360" w:lineRule="exact"/>
        <w:jc w:val="left"/>
      </w:pPr>
      <w:r>
        <w:rPr>
          <w:rFonts w:ascii="Times New Roman" w:hAnsi="Times New Roman"/>
          <w:b/>
          <w:i w:val="0"/>
          <w:sz w:val="26"/>
          <w:u w:val="none"/>
        </w:rPr>
        <w:t>2.6  Comparative Summary</w:t>
      </w:r>
    </w:p>
    <w:p>
      <w:pPr>
        <w:spacing w:before="0" w:after="120" w:line="360" w:lineRule="exact"/>
        <w:ind w:firstLine="0"/>
        <w:jc w:val="both"/>
      </w:pPr>
      <w:r>
        <w:rPr>
          <w:rFonts w:ascii="Times New Roman" w:hAnsi="Times New Roman"/>
          <w:b w:val="0"/>
          <w:i w:val="0"/>
          <w:sz w:val="24"/>
          <w:u w:val="none"/>
        </w:rPr>
        <w:t>Table 2.1 summarises the key characteristics of existing approaches in relation to the design requirements of MediAssist AI.</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jc w:val="center"/>
            </w:pPr>
            <w:r>
              <w:rPr>
                <w:rFonts w:ascii="Times New Roman" w:hAnsi="Times New Roman"/>
                <w:b/>
                <w:i w:val="0"/>
                <w:sz w:val="22"/>
                <w:u w:val="none"/>
              </w:rPr>
              <w:t>System Type</w:t>
            </w:r>
          </w:p>
        </w:tc>
        <w:tc>
          <w:tcPr>
            <w:tcW w:type="dxa" w:w="1734"/>
          </w:tcPr>
          <w:p>
            <w:pPr>
              <w:jc w:val="center"/>
            </w:pPr>
            <w:r>
              <w:rPr>
                <w:rFonts w:ascii="Times New Roman" w:hAnsi="Times New Roman"/>
                <w:b/>
                <w:i w:val="0"/>
                <w:sz w:val="22"/>
                <w:u w:val="none"/>
              </w:rPr>
              <w:t>Accuracy</w:t>
            </w:r>
          </w:p>
        </w:tc>
        <w:tc>
          <w:tcPr>
            <w:tcW w:type="dxa" w:w="1734"/>
          </w:tcPr>
          <w:p>
            <w:pPr>
              <w:jc w:val="center"/>
            </w:pPr>
            <w:r>
              <w:rPr>
                <w:rFonts w:ascii="Times New Roman" w:hAnsi="Times New Roman"/>
                <w:b/>
                <w:i w:val="0"/>
                <w:sz w:val="22"/>
                <w:u w:val="none"/>
              </w:rPr>
              <w:t>Uncertainty</w:t>
              <w:br/>
              <w:t>Aware</w:t>
            </w:r>
          </w:p>
        </w:tc>
        <w:tc>
          <w:tcPr>
            <w:tcW w:type="dxa" w:w="1734"/>
          </w:tcPr>
          <w:p>
            <w:pPr>
              <w:jc w:val="center"/>
            </w:pPr>
            <w:r>
              <w:rPr>
                <w:rFonts w:ascii="Times New Roman" w:hAnsi="Times New Roman"/>
                <w:b/>
                <w:i w:val="0"/>
                <w:sz w:val="22"/>
                <w:u w:val="none"/>
              </w:rPr>
              <w:t>Emergency</w:t>
              <w:br/>
              <w:t>Detection</w:t>
            </w:r>
          </w:p>
        </w:tc>
        <w:tc>
          <w:tcPr>
            <w:tcW w:type="dxa" w:w="1734"/>
          </w:tcPr>
          <w:p>
            <w:pPr>
              <w:jc w:val="center"/>
            </w:pPr>
            <w:r>
              <w:rPr>
                <w:rFonts w:ascii="Times New Roman" w:hAnsi="Times New Roman"/>
                <w:b/>
                <w:i w:val="0"/>
                <w:sz w:val="22"/>
                <w:u w:val="none"/>
              </w:rPr>
              <w:t>Lightweight</w:t>
            </w:r>
          </w:p>
        </w:tc>
      </w:tr>
      <w:tr>
        <w:tc>
          <w:tcPr>
            <w:tcW w:type="dxa" w:w="1734"/>
          </w:tcPr>
          <w:p>
            <w:pPr>
              <w:jc w:val="center"/>
            </w:pPr>
            <w:r>
              <w:rPr>
                <w:rFonts w:ascii="Times New Roman" w:hAnsi="Times New Roman"/>
                <w:b w:val="0"/>
                <w:i w:val="0"/>
                <w:sz w:val="22"/>
                <w:u w:val="none"/>
              </w:rPr>
              <w:t>Rule-Based Systems</w:t>
            </w:r>
          </w:p>
        </w:tc>
        <w:tc>
          <w:tcPr>
            <w:tcW w:type="dxa" w:w="1734"/>
          </w:tcPr>
          <w:p>
            <w:pPr>
              <w:jc w:val="center"/>
            </w:pPr>
            <w:r>
              <w:rPr>
                <w:rFonts w:ascii="Times New Roman" w:hAnsi="Times New Roman"/>
                <w:b w:val="0"/>
                <w:i w:val="0"/>
                <w:color w:val="B40000"/>
                <w:sz w:val="22"/>
                <w:u w:val="none"/>
              </w:rPr>
              <w:t>Low</w:t>
            </w:r>
          </w:p>
        </w:tc>
        <w:tc>
          <w:tcPr>
            <w:tcW w:type="dxa" w:w="1734"/>
          </w:tcPr>
          <w:p>
            <w:pPr>
              <w:jc w:val="center"/>
            </w:pPr>
            <w:r>
              <w:rPr>
                <w:rFonts w:ascii="Times New Roman" w:hAnsi="Times New Roman"/>
                <w:b w:val="0"/>
                <w:i w:val="0"/>
                <w:color w:val="B40000"/>
                <w:sz w:val="22"/>
                <w:u w:val="none"/>
              </w:rPr>
              <w:t>No</w:t>
            </w:r>
          </w:p>
        </w:tc>
        <w:tc>
          <w:tcPr>
            <w:tcW w:type="dxa" w:w="1734"/>
          </w:tcPr>
          <w:p>
            <w:pPr>
              <w:jc w:val="center"/>
            </w:pPr>
            <w:r>
              <w:rPr>
                <w:rFonts w:ascii="Times New Roman" w:hAnsi="Times New Roman"/>
                <w:b w:val="0"/>
                <w:i w:val="0"/>
                <w:sz w:val="22"/>
                <w:u w:val="none"/>
              </w:rPr>
              <w:t>Partial</w:t>
            </w:r>
          </w:p>
        </w:tc>
        <w:tc>
          <w:tcPr>
            <w:tcW w:type="dxa" w:w="1734"/>
          </w:tcPr>
          <w:p>
            <w:pPr>
              <w:jc w:val="center"/>
            </w:pPr>
            <w:r>
              <w:rPr>
                <w:rFonts w:ascii="Times New Roman" w:hAnsi="Times New Roman"/>
                <w:b w:val="0"/>
                <w:i w:val="0"/>
                <w:color w:val="007000"/>
                <w:sz w:val="22"/>
                <w:u w:val="none"/>
              </w:rPr>
              <w:t>Yes</w:t>
            </w:r>
          </w:p>
        </w:tc>
      </w:tr>
      <w:tr>
        <w:tc>
          <w:tcPr>
            <w:tcW w:type="dxa" w:w="1734"/>
          </w:tcPr>
          <w:p>
            <w:pPr>
              <w:jc w:val="center"/>
            </w:pPr>
            <w:r>
              <w:rPr>
                <w:rFonts w:ascii="Times New Roman" w:hAnsi="Times New Roman"/>
                <w:b w:val="0"/>
                <w:i w:val="0"/>
                <w:sz w:val="22"/>
                <w:u w:val="none"/>
              </w:rPr>
              <w:t>Naive Bayes / LR (TF-IDF)</w:t>
            </w:r>
          </w:p>
        </w:tc>
        <w:tc>
          <w:tcPr>
            <w:tcW w:type="dxa" w:w="1734"/>
          </w:tcPr>
          <w:p>
            <w:pPr>
              <w:jc w:val="center"/>
            </w:pPr>
            <w:r>
              <w:rPr>
                <w:rFonts w:ascii="Times New Roman" w:hAnsi="Times New Roman"/>
                <w:b w:val="0"/>
                <w:i w:val="0"/>
                <w:sz w:val="22"/>
                <w:u w:val="none"/>
              </w:rPr>
              <w:t>Moderate</w:t>
            </w:r>
          </w:p>
        </w:tc>
        <w:tc>
          <w:tcPr>
            <w:tcW w:type="dxa" w:w="1734"/>
          </w:tcPr>
          <w:p>
            <w:pPr>
              <w:jc w:val="center"/>
            </w:pPr>
            <w:r>
              <w:rPr>
                <w:rFonts w:ascii="Times New Roman" w:hAnsi="Times New Roman"/>
                <w:b w:val="0"/>
                <w:i w:val="0"/>
                <w:sz w:val="22"/>
                <w:u w:val="none"/>
              </w:rPr>
              <w:t>Partial</w:t>
            </w:r>
          </w:p>
        </w:tc>
        <w:tc>
          <w:tcPr>
            <w:tcW w:type="dxa" w:w="1734"/>
          </w:tcPr>
          <w:p>
            <w:pPr>
              <w:jc w:val="center"/>
            </w:pPr>
            <w:r>
              <w:rPr>
                <w:rFonts w:ascii="Times New Roman" w:hAnsi="Times New Roman"/>
                <w:b w:val="0"/>
                <w:i w:val="0"/>
                <w:color w:val="B40000"/>
                <w:sz w:val="22"/>
                <w:u w:val="none"/>
              </w:rPr>
              <w:t>No</w:t>
            </w:r>
          </w:p>
        </w:tc>
        <w:tc>
          <w:tcPr>
            <w:tcW w:type="dxa" w:w="1734"/>
          </w:tcPr>
          <w:p>
            <w:pPr>
              <w:jc w:val="center"/>
            </w:pPr>
            <w:r>
              <w:rPr>
                <w:rFonts w:ascii="Times New Roman" w:hAnsi="Times New Roman"/>
                <w:b w:val="0"/>
                <w:i w:val="0"/>
                <w:color w:val="007000"/>
                <w:sz w:val="22"/>
                <w:u w:val="none"/>
              </w:rPr>
              <w:t>Yes</w:t>
            </w:r>
          </w:p>
        </w:tc>
      </w:tr>
      <w:tr>
        <w:tc>
          <w:tcPr>
            <w:tcW w:type="dxa" w:w="1734"/>
          </w:tcPr>
          <w:p>
            <w:pPr>
              <w:jc w:val="center"/>
            </w:pPr>
            <w:r>
              <w:rPr>
                <w:rFonts w:ascii="Times New Roman" w:hAnsi="Times New Roman"/>
                <w:b w:val="0"/>
                <w:i w:val="0"/>
                <w:sz w:val="22"/>
                <w:u w:val="none"/>
              </w:rPr>
              <w:t>Random Forest / XGBoost</w:t>
            </w:r>
          </w:p>
        </w:tc>
        <w:tc>
          <w:tcPr>
            <w:tcW w:type="dxa" w:w="1734"/>
          </w:tcPr>
          <w:p>
            <w:pPr>
              <w:jc w:val="center"/>
            </w:pPr>
            <w:r>
              <w:rPr>
                <w:rFonts w:ascii="Times New Roman" w:hAnsi="Times New Roman"/>
                <w:b w:val="0"/>
                <w:i w:val="0"/>
                <w:sz w:val="22"/>
                <w:u w:val="none"/>
              </w:rPr>
              <w:t>Moderate</w:t>
            </w:r>
          </w:p>
        </w:tc>
        <w:tc>
          <w:tcPr>
            <w:tcW w:type="dxa" w:w="1734"/>
          </w:tcPr>
          <w:p>
            <w:pPr>
              <w:jc w:val="center"/>
            </w:pPr>
            <w:r>
              <w:rPr>
                <w:rFonts w:ascii="Times New Roman" w:hAnsi="Times New Roman"/>
                <w:b w:val="0"/>
                <w:i w:val="0"/>
                <w:sz w:val="22"/>
                <w:u w:val="none"/>
              </w:rPr>
              <w:t>Partial</w:t>
            </w:r>
          </w:p>
        </w:tc>
        <w:tc>
          <w:tcPr>
            <w:tcW w:type="dxa" w:w="1734"/>
          </w:tcPr>
          <w:p>
            <w:pPr>
              <w:jc w:val="center"/>
            </w:pPr>
            <w:r>
              <w:rPr>
                <w:rFonts w:ascii="Times New Roman" w:hAnsi="Times New Roman"/>
                <w:b w:val="0"/>
                <w:i w:val="0"/>
                <w:color w:val="B40000"/>
                <w:sz w:val="22"/>
                <w:u w:val="none"/>
              </w:rPr>
              <w:t>No</w:t>
            </w:r>
          </w:p>
        </w:tc>
        <w:tc>
          <w:tcPr>
            <w:tcW w:type="dxa" w:w="1734"/>
          </w:tcPr>
          <w:p>
            <w:pPr>
              <w:jc w:val="center"/>
            </w:pPr>
            <w:r>
              <w:rPr>
                <w:rFonts w:ascii="Times New Roman" w:hAnsi="Times New Roman"/>
                <w:b w:val="0"/>
                <w:i w:val="0"/>
                <w:color w:val="B40000"/>
                <w:sz w:val="22"/>
                <w:u w:val="none"/>
              </w:rPr>
              <w:t>No</w:t>
            </w:r>
          </w:p>
        </w:tc>
      </w:tr>
      <w:tr>
        <w:tc>
          <w:tcPr>
            <w:tcW w:type="dxa" w:w="1734"/>
          </w:tcPr>
          <w:p>
            <w:pPr>
              <w:jc w:val="center"/>
            </w:pPr>
            <w:r>
              <w:rPr>
                <w:rFonts w:ascii="Times New Roman" w:hAnsi="Times New Roman"/>
                <w:b w:val="0"/>
                <w:i w:val="0"/>
                <w:sz w:val="22"/>
                <w:u w:val="none"/>
              </w:rPr>
              <w:t>Transformer (BERT/GPT)</w:t>
            </w:r>
          </w:p>
        </w:tc>
        <w:tc>
          <w:tcPr>
            <w:tcW w:type="dxa" w:w="1734"/>
          </w:tcPr>
          <w:p>
            <w:pPr>
              <w:jc w:val="center"/>
            </w:pPr>
            <w:r>
              <w:rPr>
                <w:rFonts w:ascii="Times New Roman" w:hAnsi="Times New Roman"/>
                <w:b w:val="0"/>
                <w:i w:val="0"/>
                <w:color w:val="007000"/>
                <w:sz w:val="22"/>
                <w:u w:val="none"/>
              </w:rPr>
              <w:t>High</w:t>
            </w:r>
          </w:p>
        </w:tc>
        <w:tc>
          <w:tcPr>
            <w:tcW w:type="dxa" w:w="1734"/>
          </w:tcPr>
          <w:p>
            <w:pPr>
              <w:jc w:val="center"/>
            </w:pPr>
            <w:r>
              <w:rPr>
                <w:rFonts w:ascii="Times New Roman" w:hAnsi="Times New Roman"/>
                <w:b w:val="0"/>
                <w:i w:val="0"/>
                <w:sz w:val="22"/>
                <w:u w:val="none"/>
              </w:rPr>
              <w:t>Partial</w:t>
            </w:r>
          </w:p>
        </w:tc>
        <w:tc>
          <w:tcPr>
            <w:tcW w:type="dxa" w:w="1734"/>
          </w:tcPr>
          <w:p>
            <w:pPr>
              <w:jc w:val="center"/>
            </w:pPr>
            <w:r>
              <w:rPr>
                <w:rFonts w:ascii="Times New Roman" w:hAnsi="Times New Roman"/>
                <w:b w:val="0"/>
                <w:i w:val="0"/>
                <w:color w:val="B40000"/>
                <w:sz w:val="22"/>
                <w:u w:val="none"/>
              </w:rPr>
              <w:t>No</w:t>
            </w:r>
          </w:p>
        </w:tc>
        <w:tc>
          <w:tcPr>
            <w:tcW w:type="dxa" w:w="1734"/>
          </w:tcPr>
          <w:p>
            <w:pPr>
              <w:jc w:val="center"/>
            </w:pPr>
            <w:r>
              <w:rPr>
                <w:rFonts w:ascii="Times New Roman" w:hAnsi="Times New Roman"/>
                <w:b w:val="0"/>
                <w:i w:val="0"/>
                <w:color w:val="B40000"/>
                <w:sz w:val="22"/>
                <w:u w:val="none"/>
              </w:rPr>
              <w:t>No</w:t>
            </w:r>
          </w:p>
        </w:tc>
      </w:tr>
      <w:tr>
        <w:tc>
          <w:tcPr>
            <w:tcW w:type="dxa" w:w="1734"/>
          </w:tcPr>
          <w:p>
            <w:pPr>
              <w:jc w:val="center"/>
            </w:pPr>
            <w:r>
              <w:rPr>
                <w:rFonts w:ascii="Times New Roman" w:hAnsi="Times New Roman"/>
                <w:b/>
                <w:i w:val="0"/>
                <w:sz w:val="22"/>
                <w:u w:val="none"/>
              </w:rPr>
              <w:t>MediAssist AI (Proposed)</w:t>
            </w:r>
          </w:p>
        </w:tc>
        <w:tc>
          <w:tcPr>
            <w:tcW w:type="dxa" w:w="1734"/>
          </w:tcPr>
          <w:p>
            <w:pPr>
              <w:jc w:val="center"/>
            </w:pPr>
            <w:r>
              <w:rPr>
                <w:rFonts w:ascii="Times New Roman" w:hAnsi="Times New Roman"/>
                <w:b w:val="0"/>
                <w:i w:val="0"/>
                <w:color w:val="007000"/>
                <w:sz w:val="22"/>
                <w:u w:val="none"/>
              </w:rPr>
              <w:t>High</w:t>
            </w:r>
          </w:p>
        </w:tc>
        <w:tc>
          <w:tcPr>
            <w:tcW w:type="dxa" w:w="1734"/>
          </w:tcPr>
          <w:p>
            <w:pPr>
              <w:jc w:val="center"/>
            </w:pPr>
            <w:r>
              <w:rPr>
                <w:rFonts w:ascii="Times New Roman" w:hAnsi="Times New Roman"/>
                <w:b w:val="0"/>
                <w:i w:val="0"/>
                <w:color w:val="007000"/>
                <w:sz w:val="22"/>
                <w:u w:val="none"/>
              </w:rPr>
              <w:t>Yes</w:t>
            </w:r>
          </w:p>
        </w:tc>
        <w:tc>
          <w:tcPr>
            <w:tcW w:type="dxa" w:w="1734"/>
          </w:tcPr>
          <w:p>
            <w:pPr>
              <w:jc w:val="center"/>
            </w:pPr>
            <w:r>
              <w:rPr>
                <w:rFonts w:ascii="Times New Roman" w:hAnsi="Times New Roman"/>
                <w:b w:val="0"/>
                <w:i w:val="0"/>
                <w:color w:val="007000"/>
                <w:sz w:val="22"/>
                <w:u w:val="none"/>
              </w:rPr>
              <w:t>Yes</w:t>
            </w:r>
          </w:p>
        </w:tc>
        <w:tc>
          <w:tcPr>
            <w:tcW w:type="dxa" w:w="1734"/>
          </w:tcPr>
          <w:p>
            <w:pPr>
              <w:jc w:val="center"/>
            </w:pPr>
            <w:r>
              <w:rPr>
                <w:rFonts w:ascii="Times New Roman" w:hAnsi="Times New Roman"/>
                <w:b w:val="0"/>
                <w:i w:val="0"/>
                <w:color w:val="007000"/>
                <w:sz w:val="22"/>
                <w:u w:val="none"/>
              </w:rPr>
              <w:t>Yes</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2.1 – Comparative Summary of Healthcare AI Approaches</w:t>
      </w:r>
    </w:p>
    <w:p>
      <w:pPr>
        <w:spacing w:before="0" w:after="160" w:line="360" w:lineRule="exact"/>
        <w:ind w:firstLine="432"/>
        <w:jc w:val="both"/>
      </w:pPr>
      <w:r>
        <w:rPr>
          <w:rFonts w:ascii="Times New Roman" w:hAnsi="Times New Roman"/>
          <w:b w:val="0"/>
          <w:i w:val="0"/>
          <w:sz w:val="24"/>
          <w:u w:val="none"/>
        </w:rPr>
        <w:t>As the table shows, MediAssist AI is uniquely positioned as the only approach that simultaneously provides uncertainty awareness, deterministic emergency detection, and lightweight deployability. The trade-off is a reliance on classical ML rather than the highest possible accuracy achievable with large transformer models. This trade-off is a deliberate architectural decision, justified by the safety-first design philosophy of the project.</w:t>
      </w:r>
    </w:p>
    <w:p>
      <w:r>
        <w:br w:type="page"/>
      </w:r>
    </w:p>
    <w:p>
      <w:pPr>
        <w:spacing w:before="0" w:after="120" w:line="400" w:lineRule="exact"/>
        <w:jc w:val="left"/>
      </w:pPr>
      <w:r>
        <w:rPr>
          <w:rFonts w:ascii="Times New Roman" w:hAnsi="Times New Roman"/>
          <w:b/>
          <w:i w:val="0"/>
          <w:sz w:val="32"/>
          <w:u w:val="single"/>
        </w:rPr>
        <w:t>Chapter 3: Problem Statement</w:t>
      </w:r>
    </w:p>
    <w:p>
      <w:pPr>
        <w:pBdr>
          <w:bottom w:val="single" w:sz="6" w:space="1" w:color="4472C4"/>
        </w:pBdr>
      </w:pPr>
    </w:p>
    <w:p>
      <w:pPr>
        <w:spacing w:before="0" w:after="160" w:line="360" w:lineRule="exact"/>
        <w:ind w:firstLine="0"/>
        <w:jc w:val="both"/>
      </w:pPr>
      <w:r>
        <w:rPr>
          <w:rFonts w:ascii="Times New Roman" w:hAnsi="Times New Roman"/>
          <w:b w:val="0"/>
          <w:i w:val="0"/>
          <w:sz w:val="24"/>
          <w:u w:val="none"/>
        </w:rPr>
        <w:t>The central problem addressed by this project can be stated as follows:</w:t>
      </w:r>
    </w:p>
    <w:p>
      <w:pPr>
        <w:spacing w:before="160" w:after="160" w:line="360" w:lineRule="exact"/>
        <w:ind w:left="576" w:right="576"/>
        <w:jc w:val="both"/>
      </w:pPr>
      <w:r>
        <w:rPr>
          <w:rFonts w:ascii="Times New Roman" w:hAnsi="Times New Roman"/>
          <w:b w:val="0"/>
          <w:i/>
          <w:sz w:val="24"/>
          <w:u w:val="none"/>
        </w:rPr>
        <w:t>"Purely probabilistic machine learning systems, when applied to symptom-based healthcare triage, may produce medically unsafe outputs. Specifically, statistical models trained to maximise aggregate accuracy over a large, imbalanced disease dataset lack any mechanism to prioritise the detection of low-frequency but life-threatening emergency presentations. The resulting system may assign high confidence to benign diagnoses even when the user's symptoms are indicative of a critical medical condition, leading to delayed or absent escalation to professional care."</w:t>
      </w:r>
    </w:p>
    <w:p>
      <w:pPr>
        <w:spacing w:before="0" w:after="160" w:line="360" w:lineRule="exact"/>
        <w:ind w:firstLine="432"/>
        <w:jc w:val="both"/>
      </w:pPr>
      <w:r>
        <w:rPr>
          <w:rFonts w:ascii="Times New Roman" w:hAnsi="Times New Roman"/>
          <w:b w:val="0"/>
          <w:i w:val="0"/>
          <w:sz w:val="24"/>
          <w:u w:val="none"/>
        </w:rPr>
        <w:t>This problem manifests in four specific failure modes, each observed during the preliminary validation phase of this project:</w:t>
      </w:r>
    </w:p>
    <w:p>
      <w:pPr>
        <w:spacing w:before="240" w:after="60" w:line="360" w:lineRule="exact"/>
        <w:jc w:val="left"/>
      </w:pPr>
      <w:r>
        <w:rPr>
          <w:rFonts w:ascii="Times New Roman" w:hAnsi="Times New Roman"/>
          <w:b/>
          <w:i/>
          <w:sz w:val="24"/>
          <w:u w:val="none"/>
        </w:rPr>
        <w:t>3.1  Failure Mode 1: Emergency Symptom Misclassification</w:t>
      </w:r>
    </w:p>
    <w:p>
      <w:pPr>
        <w:spacing w:before="0" w:after="160" w:line="360" w:lineRule="exact"/>
        <w:ind w:firstLine="432"/>
        <w:jc w:val="both"/>
      </w:pPr>
      <w:r>
        <w:rPr>
          <w:rFonts w:ascii="Times New Roman" w:hAnsi="Times New Roman"/>
          <w:b w:val="0"/>
          <w:i w:val="0"/>
          <w:sz w:val="24"/>
          <w:u w:val="none"/>
        </w:rPr>
        <w:t>Symptoms that are diagnostic indicators of life-threatening conditions—such as facial drooping combined with slurred speech (stroke), or coughing blood with acute respiratory distress (pulmonary emergency)—may share overlapping vocabulary features with more common, benign conditions in the training corpus. A TF-IDF model, operating on term frequency alone, will assign probability proportional to term co-occurrence statistics and may therefore rank a benign diagnosis above the correct emergency condition.</w:t>
      </w:r>
    </w:p>
    <w:p>
      <w:pPr>
        <w:spacing w:before="240" w:after="60" w:line="360" w:lineRule="exact"/>
        <w:jc w:val="left"/>
      </w:pPr>
      <w:r>
        <w:rPr>
          <w:rFonts w:ascii="Times New Roman" w:hAnsi="Times New Roman"/>
          <w:b/>
          <w:i/>
          <w:sz w:val="24"/>
          <w:u w:val="none"/>
        </w:rPr>
        <w:t>3.2  Failure Mode 2: Symptom Overlap in High-Dimensional Sparse Space</w:t>
      </w:r>
    </w:p>
    <w:p>
      <w:pPr>
        <w:spacing w:before="0" w:after="160" w:line="360" w:lineRule="exact"/>
        <w:ind w:firstLine="432"/>
        <w:jc w:val="both"/>
      </w:pPr>
      <w:r>
        <w:rPr>
          <w:rFonts w:ascii="Times New Roman" w:hAnsi="Times New Roman"/>
          <w:b w:val="0"/>
          <w:i w:val="0"/>
          <w:sz w:val="24"/>
          <w:u w:val="none"/>
        </w:rPr>
        <w:t>Medical symptoms are described using natural language, and many disease categories share considerable vocabulary. Conditions involving fever, fatigue, and pain—the most common symptom descriptors—span hundreds of disease classes. In a sparse TF-IDF feature space, this overlap creates decision boundaries that are difficult to learn reliably, particularly for rare or emergency conditions that are underrepresented in typical training datasets.</w:t>
      </w:r>
    </w:p>
    <w:p>
      <w:pPr>
        <w:spacing w:before="240" w:after="60" w:line="360" w:lineRule="exact"/>
        <w:jc w:val="left"/>
      </w:pPr>
      <w:r>
        <w:rPr>
          <w:rFonts w:ascii="Times New Roman" w:hAnsi="Times New Roman"/>
          <w:b/>
          <w:i/>
          <w:sz w:val="24"/>
          <w:u w:val="none"/>
        </w:rPr>
        <w:t>3.3  Failure Mode 3: Absence of Medical Plausibility Checking</w:t>
      </w:r>
    </w:p>
    <w:p>
      <w:pPr>
        <w:spacing w:before="0" w:after="160" w:line="360" w:lineRule="exact"/>
        <w:ind w:firstLine="432"/>
        <w:jc w:val="both"/>
      </w:pPr>
      <w:r>
        <w:rPr>
          <w:rFonts w:ascii="Times New Roman" w:hAnsi="Times New Roman"/>
          <w:b w:val="0"/>
          <w:i w:val="0"/>
          <w:sz w:val="24"/>
          <w:u w:val="none"/>
        </w:rPr>
        <w:t>Standard classification pipelines produce outputs ranked solely by posterior probability, with no mechanism to reject or penalise predictions that are clinically implausible given the stated symptoms. For example, predicting an eye condition for a patient reporting exclusively gastrointestinal symptoms, or a skin disorder for a patient describing chest pain, represents a failure of medical reasoning that pure ML systems cannot detect or correct.</w:t>
      </w:r>
    </w:p>
    <w:p>
      <w:pPr>
        <w:spacing w:before="240" w:after="60" w:line="360" w:lineRule="exact"/>
        <w:jc w:val="left"/>
      </w:pPr>
      <w:r>
        <w:rPr>
          <w:rFonts w:ascii="Times New Roman" w:hAnsi="Times New Roman"/>
          <w:b/>
          <w:i/>
          <w:sz w:val="24"/>
          <w:u w:val="none"/>
        </w:rPr>
        <w:t>3.4  Failure Mode 4: Overconfident Single-Label Outputs</w:t>
      </w:r>
    </w:p>
    <w:p>
      <w:pPr>
        <w:spacing w:before="0" w:after="160" w:line="360" w:lineRule="exact"/>
        <w:ind w:firstLine="432"/>
        <w:jc w:val="both"/>
      </w:pPr>
      <w:r>
        <w:rPr>
          <w:rFonts w:ascii="Times New Roman" w:hAnsi="Times New Roman"/>
          <w:b w:val="0"/>
          <w:i w:val="0"/>
          <w:sz w:val="24"/>
          <w:u w:val="none"/>
        </w:rPr>
        <w:t>In multi-class disease prediction, returning only the top-1 prediction with a softmax probability score creates an illusion of certainty. When symptom descriptions are ambiguous—as they frequently are in natural patient language—the difference in probability between the first and second ranked diseases may be negligible, yet the user sees only a single confident answer. This is both misleading and clinically dangerous.</w:t>
      </w:r>
    </w:p>
    <w:p>
      <w:pPr>
        <w:spacing w:before="280" w:after="80" w:line="360" w:lineRule="exact"/>
        <w:jc w:val="left"/>
      </w:pPr>
      <w:r>
        <w:rPr>
          <w:rFonts w:ascii="Times New Roman" w:hAnsi="Times New Roman"/>
          <w:b/>
          <w:i w:val="0"/>
          <w:sz w:val="26"/>
          <w:u w:val="none"/>
        </w:rPr>
        <w:t>3.5  Quantified Scope of the Problem</w:t>
      </w:r>
    </w:p>
    <w:p>
      <w:pPr>
        <w:spacing w:before="0" w:after="160" w:line="360" w:lineRule="exact"/>
        <w:ind w:firstLine="432"/>
        <w:jc w:val="both"/>
      </w:pPr>
      <w:r>
        <w:rPr>
          <w:rFonts w:ascii="Times New Roman" w:hAnsi="Times New Roman"/>
          <w:b w:val="0"/>
          <w:i w:val="0"/>
          <w:sz w:val="24"/>
          <w:u w:val="none"/>
        </w:rPr>
        <w:t>To validate that these failure modes were genuine and reproducible—not merely theoretical—a preliminary validation was conducted using 480 test cases drawn from five categories: common symptoms, ambiguous multi-symptom presentations, emergency symptom combinations, noisy natural language inputs, and adversarial cases designed to probe model boundaries. The results are documented in detail in Chapter 10 and summarised in Table 3.1.</w:t>
      </w:r>
    </w:p>
    <w:tbl>
      <w:tblPr>
        <w:tblStyle w:val="TableGrid"/>
        <w:tblW w:type="auto" w:w="0"/>
        <w:tblLook w:firstColumn="1" w:firstRow="1" w:lastColumn="0" w:lastRow="0" w:noHBand="0" w:noVBand="1" w:val="04A0"/>
      </w:tblPr>
      <w:tblGrid>
        <w:gridCol w:w="2890"/>
        <w:gridCol w:w="2890"/>
        <w:gridCol w:w="2890"/>
      </w:tblGrid>
      <w:tr>
        <w:tc>
          <w:tcPr>
            <w:tcW w:type="dxa" w:w="2890"/>
          </w:tcPr>
          <w:p>
            <w:pPr>
              <w:jc w:val="center"/>
            </w:pPr>
            <w:r>
              <w:rPr>
                <w:rFonts w:ascii="Times New Roman" w:hAnsi="Times New Roman"/>
                <w:b/>
                <w:i w:val="0"/>
                <w:sz w:val="22"/>
                <w:u w:val="none"/>
              </w:rPr>
              <w:t>Failure Mode</w:t>
            </w:r>
          </w:p>
        </w:tc>
        <w:tc>
          <w:tcPr>
            <w:tcW w:type="dxa" w:w="2890"/>
          </w:tcPr>
          <w:p>
            <w:pPr>
              <w:jc w:val="center"/>
            </w:pPr>
            <w:r>
              <w:rPr>
                <w:rFonts w:ascii="Times New Roman" w:hAnsi="Times New Roman"/>
                <w:b/>
                <w:i w:val="0"/>
                <w:sz w:val="22"/>
                <w:u w:val="none"/>
              </w:rPr>
              <w:t>Inputs Tested</w:t>
            </w:r>
          </w:p>
        </w:tc>
        <w:tc>
          <w:tcPr>
            <w:tcW w:type="dxa" w:w="2890"/>
          </w:tcPr>
          <w:p>
            <w:pPr>
              <w:jc w:val="center"/>
            </w:pPr>
            <w:r>
              <w:rPr>
                <w:rFonts w:ascii="Times New Roman" w:hAnsi="Times New Roman"/>
                <w:b/>
                <w:i w:val="0"/>
                <w:sz w:val="22"/>
                <w:u w:val="none"/>
              </w:rPr>
              <w:t>Failure Rate (Before Fix)</w:t>
            </w:r>
          </w:p>
        </w:tc>
      </w:tr>
      <w:tr>
        <w:tc>
          <w:tcPr>
            <w:tcW w:type="dxa" w:w="2890"/>
          </w:tcPr>
          <w:p>
            <w:pPr>
              <w:jc w:val="center"/>
            </w:pPr>
            <w:r>
              <w:rPr>
                <w:rFonts w:ascii="Times New Roman" w:hAnsi="Times New Roman"/>
                <w:b w:val="0"/>
                <w:i w:val="0"/>
                <w:sz w:val="22"/>
                <w:u w:val="none"/>
              </w:rPr>
              <w:t>Emergency Symptom Misclassification</w:t>
            </w:r>
          </w:p>
        </w:tc>
        <w:tc>
          <w:tcPr>
            <w:tcW w:type="dxa" w:w="2890"/>
          </w:tcPr>
          <w:p>
            <w:pPr>
              <w:jc w:val="center"/>
            </w:pPr>
            <w:r>
              <w:rPr>
                <w:rFonts w:ascii="Times New Roman" w:hAnsi="Times New Roman"/>
                <w:b w:val="0"/>
                <w:i w:val="0"/>
                <w:sz w:val="22"/>
                <w:u w:val="none"/>
              </w:rPr>
              <w:t>100</w:t>
            </w:r>
          </w:p>
        </w:tc>
        <w:tc>
          <w:tcPr>
            <w:tcW w:type="dxa" w:w="2890"/>
          </w:tcPr>
          <w:p>
            <w:pPr>
              <w:jc w:val="center"/>
            </w:pPr>
            <w:r>
              <w:rPr>
                <w:rFonts w:ascii="Times New Roman" w:hAnsi="Times New Roman"/>
                <w:b w:val="0"/>
                <w:i w:val="0"/>
                <w:color w:val="B40000"/>
                <w:sz w:val="22"/>
                <w:u w:val="none"/>
              </w:rPr>
              <w:t>~34%</w:t>
            </w:r>
          </w:p>
        </w:tc>
      </w:tr>
      <w:tr>
        <w:tc>
          <w:tcPr>
            <w:tcW w:type="dxa" w:w="2890"/>
          </w:tcPr>
          <w:p>
            <w:pPr>
              <w:jc w:val="center"/>
            </w:pPr>
            <w:r>
              <w:rPr>
                <w:rFonts w:ascii="Times New Roman" w:hAnsi="Times New Roman"/>
                <w:b w:val="0"/>
                <w:i w:val="0"/>
                <w:sz w:val="22"/>
                <w:u w:val="none"/>
              </w:rPr>
              <w:t>Medically Implausible Top-1 Prediction</w:t>
            </w:r>
          </w:p>
        </w:tc>
        <w:tc>
          <w:tcPr>
            <w:tcW w:type="dxa" w:w="2890"/>
          </w:tcPr>
          <w:p>
            <w:pPr>
              <w:jc w:val="center"/>
            </w:pPr>
            <w:r>
              <w:rPr>
                <w:rFonts w:ascii="Times New Roman" w:hAnsi="Times New Roman"/>
                <w:b w:val="0"/>
                <w:i w:val="0"/>
                <w:sz w:val="22"/>
                <w:u w:val="none"/>
              </w:rPr>
              <w:t>99</w:t>
            </w:r>
          </w:p>
        </w:tc>
        <w:tc>
          <w:tcPr>
            <w:tcW w:type="dxa" w:w="2890"/>
          </w:tcPr>
          <w:p>
            <w:pPr>
              <w:jc w:val="center"/>
            </w:pPr>
            <w:r>
              <w:rPr>
                <w:rFonts w:ascii="Times New Roman" w:hAnsi="Times New Roman"/>
                <w:b w:val="0"/>
                <w:i w:val="0"/>
                <w:color w:val="B40000"/>
                <w:sz w:val="22"/>
                <w:u w:val="none"/>
              </w:rPr>
              <w:t>~28%</w:t>
            </w:r>
          </w:p>
        </w:tc>
      </w:tr>
      <w:tr>
        <w:tc>
          <w:tcPr>
            <w:tcW w:type="dxa" w:w="2890"/>
          </w:tcPr>
          <w:p>
            <w:pPr>
              <w:jc w:val="center"/>
            </w:pPr>
            <w:r>
              <w:rPr>
                <w:rFonts w:ascii="Times New Roman" w:hAnsi="Times New Roman"/>
                <w:b w:val="0"/>
                <w:i w:val="0"/>
                <w:sz w:val="22"/>
                <w:u w:val="none"/>
              </w:rPr>
              <w:t>Overconfident Incorrect Output (UPR Proxy)</w:t>
            </w:r>
          </w:p>
        </w:tc>
        <w:tc>
          <w:tcPr>
            <w:tcW w:type="dxa" w:w="2890"/>
          </w:tcPr>
          <w:p>
            <w:pPr>
              <w:jc w:val="center"/>
            </w:pPr>
            <w:r>
              <w:rPr>
                <w:rFonts w:ascii="Times New Roman" w:hAnsi="Times New Roman"/>
                <w:b w:val="0"/>
                <w:i w:val="0"/>
                <w:sz w:val="22"/>
                <w:u w:val="none"/>
              </w:rPr>
              <w:t>301</w:t>
            </w:r>
          </w:p>
        </w:tc>
        <w:tc>
          <w:tcPr>
            <w:tcW w:type="dxa" w:w="2890"/>
          </w:tcPr>
          <w:p>
            <w:pPr>
              <w:jc w:val="center"/>
            </w:pPr>
            <w:r>
              <w:rPr>
                <w:rFonts w:ascii="Times New Roman" w:hAnsi="Times New Roman"/>
                <w:b w:val="0"/>
                <w:i w:val="0"/>
                <w:sz w:val="22"/>
                <w:u w:val="none"/>
              </w:rPr>
              <w:t>~12.5%</w:t>
            </w:r>
          </w:p>
        </w:tc>
      </w:tr>
      <w:tr>
        <w:tc>
          <w:tcPr>
            <w:tcW w:type="dxa" w:w="2890"/>
          </w:tcPr>
          <w:p>
            <w:pPr>
              <w:jc w:val="center"/>
            </w:pPr>
            <w:r>
              <w:rPr>
                <w:rFonts w:ascii="Times New Roman" w:hAnsi="Times New Roman"/>
                <w:b w:val="0"/>
                <w:i w:val="0"/>
                <w:sz w:val="22"/>
                <w:u w:val="none"/>
              </w:rPr>
              <w:t>Missed Emergency Escalation (MER)</w:t>
            </w:r>
          </w:p>
        </w:tc>
        <w:tc>
          <w:tcPr>
            <w:tcW w:type="dxa" w:w="2890"/>
          </w:tcPr>
          <w:p>
            <w:pPr>
              <w:jc w:val="center"/>
            </w:pPr>
            <w:r>
              <w:rPr>
                <w:rFonts w:ascii="Times New Roman" w:hAnsi="Times New Roman"/>
                <w:b w:val="0"/>
                <w:i w:val="0"/>
                <w:sz w:val="22"/>
                <w:u w:val="none"/>
              </w:rPr>
              <w:t>100</w:t>
            </w:r>
          </w:p>
        </w:tc>
        <w:tc>
          <w:tcPr>
            <w:tcW w:type="dxa" w:w="2890"/>
          </w:tcPr>
          <w:p>
            <w:pPr>
              <w:jc w:val="center"/>
            </w:pPr>
            <w:r>
              <w:rPr>
                <w:rFonts w:ascii="Times New Roman" w:hAnsi="Times New Roman"/>
                <w:b w:val="0"/>
                <w:i w:val="0"/>
                <w:color w:val="B40000"/>
                <w:sz w:val="22"/>
                <w:u w:val="none"/>
              </w:rPr>
              <w:t>~34%</w:t>
            </w:r>
          </w:p>
        </w:tc>
      </w:tr>
    </w:tbl>
    <w:p>
      <w:pPr>
        <w:spacing w:before="0" w:after="40" w:line="360" w:lineRule="exact"/>
        <w:ind w:firstLine="0"/>
        <w:jc w:val="both"/>
      </w:pPr>
    </w:p>
    <w:p>
      <w:pPr>
        <w:spacing w:before="80" w:after="240"/>
        <w:jc w:val="center"/>
      </w:pPr>
      <w:r>
        <w:rPr>
          <w:rFonts w:ascii="Times New Roman" w:hAnsi="Times New Roman"/>
          <w:b w:val="0"/>
          <w:i/>
          <w:sz w:val="22"/>
          <w:u w:val="none"/>
        </w:rPr>
        <w:t>Table 3.1 – Preliminary Failure Rates Before Safety Architecture Implementation</w:t>
      </w:r>
    </w:p>
    <w:p>
      <w:pPr>
        <w:spacing w:before="0" w:after="160" w:line="360" w:lineRule="exact"/>
        <w:ind w:firstLine="432"/>
        <w:jc w:val="both"/>
      </w:pPr>
      <w:r>
        <w:rPr>
          <w:rFonts w:ascii="Times New Roman" w:hAnsi="Times New Roman"/>
          <w:b w:val="0"/>
          <w:i w:val="0"/>
          <w:sz w:val="24"/>
          <w:u w:val="none"/>
        </w:rPr>
        <w:t>These results confirm that the problems are systematic and quantifiable. The emergency misclassification rate of approximately 34%—meaning roughly one in three emergency symptom inputs was not escalated by the baseline ML system—is clinically unacceptable. This figure directly motivated the Emergency Safety Override Layer described in Chapter 7.</w:t>
      </w:r>
    </w:p>
    <w:p>
      <w:pPr>
        <w:spacing w:before="0" w:after="160" w:line="360" w:lineRule="exact"/>
        <w:ind w:firstLine="432"/>
        <w:jc w:val="both"/>
      </w:pPr>
      <w:r>
        <w:rPr>
          <w:rFonts w:ascii="Times New Roman" w:hAnsi="Times New Roman"/>
          <w:b w:val="0"/>
          <w:i w:val="0"/>
          <w:sz w:val="24"/>
          <w:u w:val="none"/>
        </w:rPr>
        <w:t>It is worth noting that this is not a failure of the machine learning model per se. The Logistic Regression classifier achieves 84.36% top-1 accuracy overall, which is competitive for the task. The problem is architectural: a system optimised for aggregate accuracy will inevitably underperform on the rare, high-stakes cases that matter most in a healthcare context. This is the core design motivation for MediAssist AI's hybrid, defence-in-depth approach.</w:t>
      </w:r>
    </w:p>
    <w:sectPr w:rsidR="00FC693F" w:rsidRPr="0006063C" w:rsidSect="00034616">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