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jc w:val="left"/>
      </w:pPr>
      <w:r>
        <w:rPr>
          <w:rFonts w:ascii="Times New Roman" w:hAnsi="Times New Roman"/>
          <w:b/>
          <w:i w:val="0"/>
          <w:sz w:val="32"/>
          <w:u w:val="single"/>
        </w:rPr>
        <w:t>Chapter 6: Methodology</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details every algorithmic and engineering decision made during the development of MediAssist AI, including the choice of feature representation, classifier selection, prediction strategy, and uncertainty quantification. Where relevant, formulas and pseudocode are provided to support reproducibility.</w:t>
      </w:r>
    </w:p>
    <w:p>
      <w:pPr>
        <w:spacing w:before="280" w:after="80" w:line="360" w:lineRule="exact"/>
        <w:jc w:val="left"/>
      </w:pPr>
      <w:r>
        <w:rPr>
          <w:rFonts w:ascii="Times New Roman" w:hAnsi="Times New Roman"/>
          <w:b/>
          <w:i w:val="0"/>
          <w:sz w:val="26"/>
          <w:u w:val="none"/>
        </w:rPr>
        <w:t>6.1  TF-IDF Feature Representation</w:t>
      </w:r>
    </w:p>
    <w:p>
      <w:pPr>
        <w:spacing w:before="0" w:after="160" w:line="360" w:lineRule="exact"/>
        <w:ind w:firstLine="432"/>
        <w:jc w:val="both"/>
      </w:pPr>
      <w:r>
        <w:rPr>
          <w:rFonts w:ascii="Times New Roman" w:hAnsi="Times New Roman"/>
          <w:b w:val="0"/>
          <w:i w:val="0"/>
          <w:sz w:val="24"/>
          <w:u w:val="none"/>
        </w:rPr>
        <w:t>Term Frequency–Inverse Document Frequency (TF-IDF) was selected as the primary feature representation for symptom text. Given a corpus of N documents, the TF-IDF weight for term t in document d is defined as:</w:t>
      </w:r>
    </w:p>
    <w:p>
      <w:pPr>
        <w:spacing w:before="80" w:after="80"/>
        <w:ind w:left="576"/>
      </w:pPr>
      <w:r>
        <w:rPr>
          <w:rFonts w:ascii="Courier New" w:hAnsi="Courier New"/>
          <w:sz w:val="19"/>
        </w:rPr>
        <w:t>TF-IDF(t, d) = TF(t, d) × log(N / (1 + df(t)))</w:t>
      </w:r>
    </w:p>
    <w:p>
      <w:pPr>
        <w:spacing w:before="0" w:after="160" w:line="360" w:lineRule="exact"/>
        <w:ind w:firstLine="432"/>
        <w:jc w:val="both"/>
      </w:pPr>
      <w:r>
        <w:rPr>
          <w:rFonts w:ascii="Times New Roman" w:hAnsi="Times New Roman"/>
          <w:b w:val="0"/>
          <w:i w:val="0"/>
          <w:sz w:val="24"/>
          <w:u w:val="none"/>
        </w:rPr>
        <w:t>where TF(t, d) is the frequency of term t in document d, and df(t) is the number of documents containing term t. The log-damped IDF term penalises words that appear in many documents—in medical text, generic words like 'feel', 'pain', and 'have' receive low IDF weights, while specific clinical terms like 'hemoptysis', 'dyspnea', and 'paresthesia' receive high weights.</w:t>
      </w:r>
    </w:p>
    <w:p>
      <w:pPr>
        <w:spacing w:before="0" w:after="160" w:line="360" w:lineRule="exact"/>
        <w:ind w:firstLine="432"/>
        <w:jc w:val="both"/>
      </w:pPr>
      <w:r>
        <w:rPr>
          <w:rFonts w:ascii="Times New Roman" w:hAnsi="Times New Roman"/>
          <w:b w:val="0"/>
          <w:i w:val="0"/>
          <w:sz w:val="24"/>
          <w:u w:val="none"/>
        </w:rPr>
        <w:t>The vectoriser was configured with the following parameters after grid-search cross-validation:</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Parameter</w:t>
            </w:r>
          </w:p>
        </w:tc>
        <w:tc>
          <w:tcPr>
            <w:tcW w:type="dxa" w:w="2890"/>
          </w:tcPr>
          <w:p>
            <w:pPr>
              <w:jc w:val="center"/>
            </w:pPr>
            <w:r>
              <w:rPr>
                <w:rFonts w:ascii="Times New Roman" w:hAnsi="Times New Roman"/>
                <w:b/>
                <w:i w:val="0"/>
                <w:sz w:val="22"/>
                <w:u w:val="none"/>
              </w:rPr>
              <w:t>Value</w:t>
            </w:r>
          </w:p>
        </w:tc>
        <w:tc>
          <w:tcPr>
            <w:tcW w:type="dxa" w:w="2890"/>
          </w:tcPr>
          <w:p>
            <w:pPr>
              <w:jc w:val="center"/>
            </w:pPr>
            <w:r>
              <w:rPr>
                <w:rFonts w:ascii="Times New Roman" w:hAnsi="Times New Roman"/>
                <w:b/>
                <w:i w:val="0"/>
                <w:sz w:val="22"/>
                <w:u w:val="none"/>
              </w:rPr>
              <w:t>Rationale</w:t>
            </w:r>
          </w:p>
        </w:tc>
      </w:tr>
      <w:tr>
        <w:tc>
          <w:tcPr>
            <w:tcW w:type="dxa" w:w="2890"/>
          </w:tcPr>
          <w:p>
            <w:pPr>
              <w:jc w:val="center"/>
            </w:pPr>
            <w:r>
              <w:rPr>
                <w:rFonts w:ascii="Times New Roman" w:hAnsi="Times New Roman"/>
                <w:b w:val="0"/>
                <w:i w:val="0"/>
                <w:sz w:val="22"/>
                <w:u w:val="none"/>
              </w:rPr>
              <w:t>ngram_range</w:t>
            </w:r>
          </w:p>
        </w:tc>
        <w:tc>
          <w:tcPr>
            <w:tcW w:type="dxa" w:w="2890"/>
          </w:tcPr>
          <w:p>
            <w:pPr>
              <w:jc w:val="center"/>
            </w:pPr>
            <w:r>
              <w:rPr>
                <w:rFonts w:ascii="Times New Roman" w:hAnsi="Times New Roman"/>
                <w:b w:val="0"/>
                <w:i w:val="0"/>
                <w:sz w:val="22"/>
                <w:u w:val="none"/>
              </w:rPr>
              <w:t>(1, 2)</w:t>
            </w:r>
          </w:p>
        </w:tc>
        <w:tc>
          <w:tcPr>
            <w:tcW w:type="dxa" w:w="2890"/>
          </w:tcPr>
          <w:p>
            <w:pPr>
              <w:jc w:val="center"/>
            </w:pPr>
            <w:r>
              <w:rPr>
                <w:rFonts w:ascii="Times New Roman" w:hAnsi="Times New Roman"/>
                <w:b w:val="0"/>
                <w:i w:val="0"/>
                <w:sz w:val="22"/>
                <w:u w:val="none"/>
              </w:rPr>
              <w:t>Captures two-word clinical phrases (e.g. 'chest pain')</w:t>
            </w:r>
          </w:p>
        </w:tc>
      </w:tr>
      <w:tr>
        <w:tc>
          <w:tcPr>
            <w:tcW w:type="dxa" w:w="2890"/>
          </w:tcPr>
          <w:p>
            <w:pPr>
              <w:jc w:val="center"/>
            </w:pPr>
            <w:r>
              <w:rPr>
                <w:rFonts w:ascii="Times New Roman" w:hAnsi="Times New Roman"/>
                <w:b w:val="0"/>
                <w:i w:val="0"/>
                <w:sz w:val="22"/>
                <w:u w:val="none"/>
              </w:rPr>
              <w:t>min_df</w:t>
            </w:r>
          </w:p>
        </w:tc>
        <w:tc>
          <w:tcPr>
            <w:tcW w:type="dxa" w:w="2890"/>
          </w:tcPr>
          <w:p>
            <w:pPr>
              <w:jc w:val="center"/>
            </w:pPr>
            <w:r>
              <w:rPr>
                <w:rFonts w:ascii="Times New Roman" w:hAnsi="Times New Roman"/>
                <w:b w:val="0"/>
                <w:i w:val="0"/>
                <w:sz w:val="22"/>
                <w:u w:val="none"/>
              </w:rPr>
              <w:t>2</w:t>
            </w:r>
          </w:p>
        </w:tc>
        <w:tc>
          <w:tcPr>
            <w:tcW w:type="dxa" w:w="2890"/>
          </w:tcPr>
          <w:p>
            <w:pPr>
              <w:jc w:val="center"/>
            </w:pPr>
            <w:r>
              <w:rPr>
                <w:rFonts w:ascii="Times New Roman" w:hAnsi="Times New Roman"/>
                <w:b w:val="0"/>
                <w:i w:val="0"/>
                <w:sz w:val="22"/>
                <w:u w:val="none"/>
              </w:rPr>
              <w:t>Removes terms seen in fewer than 2 documents</w:t>
            </w:r>
          </w:p>
        </w:tc>
      </w:tr>
      <w:tr>
        <w:tc>
          <w:tcPr>
            <w:tcW w:type="dxa" w:w="2890"/>
          </w:tcPr>
          <w:p>
            <w:pPr>
              <w:jc w:val="center"/>
            </w:pPr>
            <w:r>
              <w:rPr>
                <w:rFonts w:ascii="Times New Roman" w:hAnsi="Times New Roman"/>
                <w:b w:val="0"/>
                <w:i w:val="0"/>
                <w:sz w:val="22"/>
                <w:u w:val="none"/>
              </w:rPr>
              <w:t>max_df</w:t>
            </w:r>
          </w:p>
        </w:tc>
        <w:tc>
          <w:tcPr>
            <w:tcW w:type="dxa" w:w="2890"/>
          </w:tcPr>
          <w:p>
            <w:pPr>
              <w:jc w:val="center"/>
            </w:pPr>
            <w:r>
              <w:rPr>
                <w:rFonts w:ascii="Times New Roman" w:hAnsi="Times New Roman"/>
                <w:b w:val="0"/>
                <w:i w:val="0"/>
                <w:sz w:val="22"/>
                <w:u w:val="none"/>
              </w:rPr>
              <w:t>0.90</w:t>
            </w:r>
          </w:p>
        </w:tc>
        <w:tc>
          <w:tcPr>
            <w:tcW w:type="dxa" w:w="2890"/>
          </w:tcPr>
          <w:p>
            <w:pPr>
              <w:jc w:val="center"/>
            </w:pPr>
            <w:r>
              <w:rPr>
                <w:rFonts w:ascii="Times New Roman" w:hAnsi="Times New Roman"/>
                <w:b w:val="0"/>
                <w:i w:val="0"/>
                <w:sz w:val="22"/>
                <w:u w:val="none"/>
              </w:rPr>
              <w:t>Removes terms present in &gt;90% of documents</w:t>
            </w:r>
          </w:p>
        </w:tc>
      </w:tr>
      <w:tr>
        <w:tc>
          <w:tcPr>
            <w:tcW w:type="dxa" w:w="2890"/>
          </w:tcPr>
          <w:p>
            <w:pPr>
              <w:jc w:val="center"/>
            </w:pPr>
            <w:r>
              <w:rPr>
                <w:rFonts w:ascii="Times New Roman" w:hAnsi="Times New Roman"/>
                <w:b w:val="0"/>
                <w:i w:val="0"/>
                <w:sz w:val="22"/>
                <w:u w:val="none"/>
              </w:rPr>
              <w:t>sublinear_tf</w:t>
            </w:r>
          </w:p>
        </w:tc>
        <w:tc>
          <w:tcPr>
            <w:tcW w:type="dxa" w:w="2890"/>
          </w:tcPr>
          <w:p>
            <w:pPr>
              <w:jc w:val="center"/>
            </w:pPr>
            <w:r>
              <w:rPr>
                <w:rFonts w:ascii="Times New Roman" w:hAnsi="Times New Roman"/>
                <w:b w:val="0"/>
                <w:i w:val="0"/>
                <w:sz w:val="22"/>
                <w:u w:val="none"/>
              </w:rPr>
              <w:t>True</w:t>
            </w:r>
          </w:p>
        </w:tc>
        <w:tc>
          <w:tcPr>
            <w:tcW w:type="dxa" w:w="2890"/>
          </w:tcPr>
          <w:p>
            <w:pPr>
              <w:jc w:val="center"/>
            </w:pPr>
            <w:r>
              <w:rPr>
                <w:rFonts w:ascii="Times New Roman" w:hAnsi="Times New Roman"/>
                <w:b w:val="0"/>
                <w:i w:val="0"/>
                <w:sz w:val="22"/>
                <w:u w:val="none"/>
              </w:rPr>
              <w:t>Log-scale TF suppresses high-frequency term dominance</w:t>
            </w:r>
          </w:p>
        </w:tc>
      </w:tr>
      <w:tr>
        <w:tc>
          <w:tcPr>
            <w:tcW w:type="dxa" w:w="2890"/>
          </w:tcPr>
          <w:p>
            <w:pPr>
              <w:jc w:val="center"/>
            </w:pPr>
            <w:r>
              <w:rPr>
                <w:rFonts w:ascii="Times New Roman" w:hAnsi="Times New Roman"/>
                <w:b w:val="0"/>
                <w:i w:val="0"/>
                <w:sz w:val="22"/>
                <w:u w:val="none"/>
              </w:rPr>
              <w:t>analyzer</w:t>
            </w:r>
          </w:p>
        </w:tc>
        <w:tc>
          <w:tcPr>
            <w:tcW w:type="dxa" w:w="2890"/>
          </w:tcPr>
          <w:p>
            <w:pPr>
              <w:jc w:val="center"/>
            </w:pPr>
            <w:r>
              <w:rPr>
                <w:rFonts w:ascii="Times New Roman" w:hAnsi="Times New Roman"/>
                <w:b w:val="0"/>
                <w:i w:val="0"/>
                <w:sz w:val="22"/>
                <w:u w:val="none"/>
              </w:rPr>
              <w:t>'word'</w:t>
            </w:r>
          </w:p>
        </w:tc>
        <w:tc>
          <w:tcPr>
            <w:tcW w:type="dxa" w:w="2890"/>
          </w:tcPr>
          <w:p>
            <w:pPr>
              <w:jc w:val="center"/>
            </w:pPr>
            <w:r>
              <w:rPr>
                <w:rFonts w:ascii="Times New Roman" w:hAnsi="Times New Roman"/>
                <w:b w:val="0"/>
                <w:i w:val="0"/>
                <w:sz w:val="22"/>
                <w:u w:val="none"/>
              </w:rPr>
              <w:t>Word-level tokenisation appropriate for clinical text</w:t>
            </w:r>
          </w:p>
        </w:tc>
      </w:tr>
      <w:tr>
        <w:tc>
          <w:tcPr>
            <w:tcW w:type="dxa" w:w="2890"/>
          </w:tcPr>
          <w:p>
            <w:pPr>
              <w:jc w:val="center"/>
            </w:pPr>
            <w:r>
              <w:rPr>
                <w:rFonts w:ascii="Times New Roman" w:hAnsi="Times New Roman"/>
                <w:b w:val="0"/>
                <w:i w:val="0"/>
                <w:sz w:val="22"/>
                <w:u w:val="none"/>
              </w:rPr>
              <w:t>Vocabulary size</w:t>
            </w:r>
          </w:p>
        </w:tc>
        <w:tc>
          <w:tcPr>
            <w:tcW w:type="dxa" w:w="2890"/>
          </w:tcPr>
          <w:p>
            <w:pPr>
              <w:jc w:val="center"/>
            </w:pPr>
            <w:r>
              <w:rPr>
                <w:rFonts w:ascii="Times New Roman" w:hAnsi="Times New Roman"/>
                <w:b w:val="0"/>
                <w:i w:val="0"/>
                <w:sz w:val="22"/>
                <w:u w:val="none"/>
              </w:rPr>
              <w:t>~47,000</w:t>
            </w:r>
          </w:p>
        </w:tc>
        <w:tc>
          <w:tcPr>
            <w:tcW w:type="dxa" w:w="2890"/>
          </w:tcPr>
          <w:p>
            <w:pPr>
              <w:jc w:val="center"/>
            </w:pPr>
            <w:r>
              <w:rPr>
                <w:rFonts w:ascii="Times New Roman" w:hAnsi="Times New Roman"/>
                <w:b w:val="0"/>
                <w:i w:val="0"/>
                <w:sz w:val="22"/>
                <w:u w:val="none"/>
              </w:rPr>
              <w:t>Tokens retained after min/max df filtering</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6.1 – TF-IDF Vectoriser Configuration Parameters</w:t>
      </w:r>
    </w:p>
    <w:p>
      <w:pPr>
        <w:spacing w:before="0" w:after="160" w:line="360" w:lineRule="exact"/>
        <w:ind w:firstLine="432"/>
        <w:jc w:val="both"/>
      </w:pPr>
      <w:r>
        <w:rPr>
          <w:rFonts w:ascii="Times New Roman" w:hAnsi="Times New Roman"/>
          <w:b w:val="0"/>
          <w:i w:val="0"/>
          <w:sz w:val="24"/>
          <w:u w:val="none"/>
        </w:rPr>
        <w:t>One design choice worth explaining is the use of bigrams (ngram_range=(1,2)). Initial experiments with unigrams only produced noticeably worse results for symptom combinations. The phrase 'high fever' is far more discriminative than the individual tokens 'high' and 'fever' appearing separately, because 'high' alone appears across hundreds of unrelated contexts. Adding bigrams increased Top-3 accuracy by approximately 2.1 percentage points on the validation set.</w:t>
      </w:r>
    </w:p>
    <w:p>
      <w:pPr>
        <w:spacing w:before="280" w:after="80" w:line="360" w:lineRule="exact"/>
        <w:jc w:val="left"/>
      </w:pPr>
      <w:r>
        <w:rPr>
          <w:rFonts w:ascii="Times New Roman" w:hAnsi="Times New Roman"/>
          <w:b/>
          <w:i w:val="0"/>
          <w:sz w:val="26"/>
          <w:u w:val="none"/>
        </w:rPr>
        <w:t>6.2  Classifier Selection and Training</w:t>
      </w:r>
    </w:p>
    <w:p>
      <w:pPr>
        <w:spacing w:before="200" w:after="60" w:line="360" w:lineRule="exact"/>
        <w:jc w:val="left"/>
      </w:pPr>
      <w:r>
        <w:rPr>
          <w:rFonts w:ascii="Times New Roman" w:hAnsi="Times New Roman"/>
          <w:b/>
          <w:i/>
          <w:sz w:val="24"/>
          <w:u w:val="none"/>
        </w:rPr>
        <w:t>6.2.1  Logistic Regression</w:t>
      </w:r>
    </w:p>
    <w:p>
      <w:pPr>
        <w:spacing w:before="0" w:after="160" w:line="360" w:lineRule="exact"/>
        <w:ind w:firstLine="432"/>
        <w:jc w:val="both"/>
      </w:pPr>
      <w:r>
        <w:rPr>
          <w:rFonts w:ascii="Times New Roman" w:hAnsi="Times New Roman"/>
          <w:b w:val="0"/>
          <w:i w:val="0"/>
          <w:sz w:val="24"/>
          <w:u w:val="none"/>
        </w:rPr>
        <w:t>Logistic Regression was selected as the primary classifier after comparative evaluation against four alternatives. For a K-class problem, the softmax extension of Logistic Regression models the posterior probability of class k given feature vector x as:</w:t>
      </w:r>
    </w:p>
    <w:p>
      <w:pPr>
        <w:spacing w:before="80" w:after="80"/>
        <w:ind w:left="576"/>
      </w:pPr>
      <w:r>
        <w:rPr>
          <w:rFonts w:ascii="Courier New" w:hAnsi="Courier New"/>
          <w:sz w:val="19"/>
        </w:rPr>
        <w:t>P(y=k | x) = exp(w_k · x + b_k) / Σ_j exp(w_j · x + b_j)</w:t>
      </w:r>
    </w:p>
    <w:p>
      <w:pPr>
        <w:spacing w:before="0" w:after="160" w:line="360" w:lineRule="exact"/>
        <w:ind w:firstLine="432"/>
        <w:jc w:val="both"/>
      </w:pPr>
      <w:r>
        <w:rPr>
          <w:rFonts w:ascii="Times New Roman" w:hAnsi="Times New Roman"/>
          <w:b w:val="0"/>
          <w:i w:val="0"/>
          <w:sz w:val="24"/>
          <w:u w:val="none"/>
        </w:rPr>
        <w:t>Training minimises the cross-entropy loss with L2 regularisation (C=1.0, determined by cross-validation). The solver was set to 'lbfgs' with max_iter=1000. On sparse TF-IDF vectors, Logistic Regression has a well-known geometric advantage: the decision boundaries it learns are linear in the high-dimensional TF-IDF space, and because sparse features tend to be nearly orthogonal, linear separability is more readily achieved than in dense embedding spaces. This is consistent with findings by Wang and Manning (2012), and was confirmed empirically in our evaluation.</w:t>
      </w:r>
    </w:p>
    <w:p>
      <w:pPr>
        <w:spacing w:before="200" w:after="60" w:line="360" w:lineRule="exact"/>
        <w:jc w:val="left"/>
      </w:pPr>
      <w:r>
        <w:rPr>
          <w:rFonts w:ascii="Times New Roman" w:hAnsi="Times New Roman"/>
          <w:b/>
          <w:i/>
          <w:sz w:val="24"/>
          <w:u w:val="none"/>
        </w:rPr>
        <w:t>6.2.2  Naive Bayes</w:t>
      </w:r>
    </w:p>
    <w:p>
      <w:pPr>
        <w:spacing w:before="0" w:after="160" w:line="360" w:lineRule="exact"/>
        <w:ind w:firstLine="432"/>
        <w:jc w:val="both"/>
      </w:pPr>
      <w:r>
        <w:rPr>
          <w:rFonts w:ascii="Times New Roman" w:hAnsi="Times New Roman"/>
          <w:b w:val="0"/>
          <w:i w:val="0"/>
          <w:sz w:val="24"/>
          <w:u w:val="none"/>
        </w:rPr>
        <w:t>Multinomial Naive Bayes was trained as a secondary classifier for comparison. Despite its conditional independence assumption, which is clearly violated in clinical text where symptoms co-occur in structured patterns, Naive Bayes performed competitively at 80.51% Top-1 accuracy. Its primary advantage is inference speed—it is the fastest classifier evaluated, with a per-sample latency of approximately 4.7 microseconds.</w:t>
      </w:r>
    </w:p>
    <w:p>
      <w:pPr>
        <w:spacing w:before="200" w:after="60" w:line="360" w:lineRule="exact"/>
        <w:jc w:val="left"/>
      </w:pPr>
      <w:r>
        <w:rPr>
          <w:rFonts w:ascii="Times New Roman" w:hAnsi="Times New Roman"/>
          <w:b/>
          <w:i/>
          <w:sz w:val="24"/>
          <w:u w:val="none"/>
        </w:rPr>
        <w:t>6.2.3  Why Decision Tree and XGBoost Underperformed</w:t>
      </w:r>
    </w:p>
    <w:p>
      <w:pPr>
        <w:spacing w:before="0" w:after="160" w:line="360" w:lineRule="exact"/>
        <w:ind w:firstLine="432"/>
        <w:jc w:val="both"/>
      </w:pPr>
      <w:r>
        <w:rPr>
          <w:rFonts w:ascii="Times New Roman" w:hAnsi="Times New Roman"/>
          <w:b w:val="0"/>
          <w:i w:val="0"/>
          <w:sz w:val="24"/>
          <w:u w:val="none"/>
        </w:rPr>
        <w:t>Decision Trees achieved only 15.27% Top-1 accuracy, and XGBoost fared even worse at 7.15%. This result initially seemed surprising given XGBoost's strong track record on tabular data. After analysis, the reason became clear: both tree-based models perform poorly on high-dimensional sparse feature spaces.</w:t>
      </w:r>
    </w:p>
    <w:p>
      <w:pPr>
        <w:spacing w:before="0" w:after="160" w:line="360" w:lineRule="exact"/>
        <w:ind w:firstLine="432"/>
        <w:jc w:val="both"/>
      </w:pPr>
      <w:r>
        <w:rPr>
          <w:rFonts w:ascii="Times New Roman" w:hAnsi="Times New Roman"/>
          <w:b w:val="0"/>
          <w:i w:val="0"/>
          <w:sz w:val="24"/>
          <w:u w:val="none"/>
        </w:rPr>
        <w:t>At each tree node, a Decision Tree evaluates splits over a random subset of features. In a 47,000-dimensional TF-IDF space where the average document has non-zero values in only a few hundred dimensions, the probability that any given random feature subset contains discriminative terms for a specific disease is very low. The resulting trees are shallow and poorly calibrated. XGBoost compounds this problem through its gradient-boosting procedure, which iteratively fits residuals on already-poor trees—a case of boosting noise rather than signal. This failure is well-documented in the NLP literature and confirms that sparse text features require linear models or kernel methods, not tree ensembles.</w:t>
      </w:r>
    </w:p>
    <w:p>
      <w:pPr>
        <w:spacing w:before="120" w:after="40"/>
        <w:jc w:val="center"/>
      </w:pPr>
      <w:r>
        <w:drawing>
          <wp:inline xmlns:a="http://schemas.openxmlformats.org/drawingml/2006/main" xmlns:pic="http://schemas.openxmlformats.org/drawingml/2006/picture">
            <wp:extent cx="4754880" cy="2852928"/>
            <wp:docPr id="1" name="Picture 1"/>
            <wp:cNvGraphicFramePr>
              <a:graphicFrameLocks noChangeAspect="1"/>
            </wp:cNvGraphicFramePr>
            <a:graphic>
              <a:graphicData uri="http://schemas.openxmlformats.org/drawingml/2006/picture">
                <pic:pic>
                  <pic:nvPicPr>
                    <pic:cNvPr id="0" name="model_f1_comparison.png"/>
                    <pic:cNvPicPr/>
                  </pic:nvPicPr>
                  <pic:blipFill>
                    <a:blip r:embed="rId9"/>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6.1 – F1-Score Comparison Across All Evaluated Classifiers</w:t>
      </w:r>
    </w:p>
    <w:p>
      <w:pPr>
        <w:spacing w:before="280" w:after="80" w:line="360" w:lineRule="exact"/>
        <w:jc w:val="left"/>
      </w:pPr>
      <w:r>
        <w:rPr>
          <w:rFonts w:ascii="Times New Roman" w:hAnsi="Times New Roman"/>
          <w:b/>
          <w:i w:val="0"/>
          <w:sz w:val="26"/>
          <w:u w:val="none"/>
        </w:rPr>
        <w:t>6.3  Top-K Prediction Strategy</w:t>
      </w:r>
    </w:p>
    <w:p>
      <w:pPr>
        <w:spacing w:before="0" w:after="160" w:line="360" w:lineRule="exact"/>
        <w:ind w:firstLine="432"/>
        <w:jc w:val="both"/>
      </w:pPr>
      <w:r>
        <w:rPr>
          <w:rFonts w:ascii="Times New Roman" w:hAnsi="Times New Roman"/>
          <w:b w:val="0"/>
          <w:i w:val="0"/>
          <w:sz w:val="24"/>
          <w:u w:val="none"/>
        </w:rPr>
        <w:t>Rather than returning a single top-1 prediction, MediAssist AI extracts the top-K classes by posterior probability (default K=3). This addresses two clinical realities: first, many symptom descriptions are genuinely ambiguous and correspond plausibly to multiple conditions; second, the top-1 prediction for a model with 84% accuracy will be wrong approximately 1 in 6 times. Providing the top-3 predictions raises the probability that the correct condition appears in the displayed results from 84.36% to 95.78%—a clinically meaningful improvement.</w:t>
      </w:r>
    </w:p>
    <w:p>
      <w:pPr>
        <w:spacing w:before="0" w:after="160" w:line="360" w:lineRule="exact"/>
        <w:ind w:firstLine="432"/>
        <w:jc w:val="both"/>
      </w:pPr>
      <w:r>
        <w:rPr>
          <w:rFonts w:ascii="Times New Roman" w:hAnsi="Times New Roman"/>
          <w:b w:val="0"/>
          <w:i w:val="0"/>
          <w:sz w:val="24"/>
          <w:u w:val="none"/>
        </w:rPr>
        <w:t>The confidence scores displayed to the user are normalised so that the sum of the top-K displayed predictions equals 1.0. This prevents the misleading situation where a user sees three predictions each with a raw softmax score below 0.10, which could falsely suggest the model is highly uncertain overall when in fact it may simply be distributing probability across many plausible classes.</w:t>
      </w:r>
    </w:p>
    <w:p>
      <w:pPr>
        <w:spacing w:before="280" w:after="80" w:line="360" w:lineRule="exact"/>
        <w:jc w:val="left"/>
      </w:pPr>
      <w:r>
        <w:rPr>
          <w:rFonts w:ascii="Times New Roman" w:hAnsi="Times New Roman"/>
          <w:b/>
          <w:i w:val="0"/>
          <w:sz w:val="26"/>
          <w:u w:val="none"/>
        </w:rPr>
        <w:t>6.4  Uncertainty Estimation</w:t>
      </w:r>
    </w:p>
    <w:p>
      <w:pPr>
        <w:spacing w:before="0" w:after="160" w:line="360" w:lineRule="exact"/>
        <w:ind w:firstLine="432"/>
        <w:jc w:val="both"/>
      </w:pPr>
      <w:r>
        <w:rPr>
          <w:rFonts w:ascii="Times New Roman" w:hAnsi="Times New Roman"/>
          <w:b w:val="0"/>
          <w:i w:val="0"/>
          <w:sz w:val="24"/>
          <w:u w:val="none"/>
        </w:rPr>
        <w:t>Two uncertainty signals are computed and used to trigger the uncertainty warning display mode:</w:t>
      </w:r>
    </w:p>
    <w:p>
      <w:pPr>
        <w:spacing w:before="0" w:after="160" w:line="360" w:lineRule="exact"/>
        <w:ind w:firstLine="432"/>
        <w:jc w:val="both"/>
      </w:pPr>
      <w:r>
        <w:rPr>
          <w:rFonts w:ascii="Times New Roman" w:hAnsi="Times New Roman"/>
          <w:b w:val="0"/>
          <w:i w:val="0"/>
          <w:sz w:val="24"/>
          <w:u w:val="none"/>
        </w:rPr>
        <w:t>Shannon Entropy of the softmax distribution quantifies the overall spread of probability mass across all classes:</w:t>
      </w:r>
    </w:p>
    <w:p>
      <w:pPr>
        <w:spacing w:before="80" w:after="80"/>
        <w:ind w:left="576"/>
      </w:pPr>
      <w:r>
        <w:rPr>
          <w:rFonts w:ascii="Courier New" w:hAnsi="Courier New"/>
          <w:sz w:val="19"/>
        </w:rPr>
        <w:t>H = -Σ_k P(y=k|x) · log₂(P(y=k|x))</w:t>
      </w:r>
    </w:p>
    <w:p>
      <w:pPr>
        <w:spacing w:before="0" w:after="160" w:line="360" w:lineRule="exact"/>
        <w:ind w:firstLine="432"/>
        <w:jc w:val="both"/>
      </w:pPr>
      <w:r>
        <w:rPr>
          <w:rFonts w:ascii="Times New Roman" w:hAnsi="Times New Roman"/>
          <w:b w:val="0"/>
          <w:i w:val="0"/>
          <w:sz w:val="24"/>
          <w:u w:val="none"/>
        </w:rPr>
        <w:t>A high entropy value indicates the model assigns non-negligible probability to many classes simultaneously—a signal of genuine ambiguity in the input. In practice, entropy values above 3.5 bits (on a ~260-class problem) reliably identify inputs where the top-1 prediction is likely unreliable.</w:t>
      </w:r>
    </w:p>
    <w:p>
      <w:pPr>
        <w:spacing w:before="0" w:after="160" w:line="360" w:lineRule="exact"/>
        <w:ind w:firstLine="432"/>
        <w:jc w:val="both"/>
      </w:pPr>
      <w:r>
        <w:rPr>
          <w:rFonts w:ascii="Times New Roman" w:hAnsi="Times New Roman"/>
          <w:b w:val="0"/>
          <w:i w:val="0"/>
          <w:sz w:val="24"/>
          <w:u w:val="none"/>
        </w:rPr>
        <w:t>Confidence Gap between the top-1 and top-2 predictions provides a more localised uncertainty signal. A gap below 0.15 indicates that two diseases are nearly equally probable, meaning small perturbations in wording could reverse the ranking. This threshold was selected empirically by examining the validation set and identifying the gap value below which top-1 error rate exceeded 25%.</w:t>
      </w:r>
    </w:p>
    <w:p>
      <w:pPr>
        <w:spacing w:before="0" w:after="160" w:line="360" w:lineRule="exact"/>
        <w:ind w:firstLine="432"/>
        <w:jc w:val="both"/>
      </w:pPr>
      <w:r>
        <w:rPr>
          <w:rFonts w:ascii="Times New Roman" w:hAnsi="Times New Roman"/>
          <w:b w:val="0"/>
          <w:i w:val="0"/>
          <w:sz w:val="24"/>
          <w:u w:val="none"/>
        </w:rPr>
        <w:t>When either uncertainty condition is triggered, the system appends a structured warning to the UI response and logs the uncertainty metrics alongside the prediction in the session state. This gives the user clear contextual information without suppressing the prediction output.</w:t>
      </w:r>
    </w:p>
    <w:p>
      <w:r>
        <w:br w:type="page"/>
      </w:r>
    </w:p>
    <w:p>
      <w:pPr>
        <w:spacing w:before="0" w:after="120" w:line="400" w:lineRule="exact"/>
        <w:jc w:val="left"/>
      </w:pPr>
      <w:r>
        <w:rPr>
          <w:rFonts w:ascii="Times New Roman" w:hAnsi="Times New Roman"/>
          <w:b/>
          <w:i w:val="0"/>
          <w:sz w:val="32"/>
          <w:u w:val="single"/>
        </w:rPr>
        <w:t>Chapter 7: Safety Architecture</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provides a detailed technical account of the safety mechanisms implemented in MediAssist AI. It describes the Emergency Safety Override Layer, the Medical Consistency Validator's penalty scheme, the healthcare-specific evaluation metrics used to quantify safety performance, and a before-vs-after comparison demonstrating the impact of the safety architecture.</w:t>
      </w:r>
    </w:p>
    <w:p>
      <w:pPr>
        <w:spacing w:before="280" w:after="80" w:line="360" w:lineRule="exact"/>
        <w:jc w:val="left"/>
      </w:pPr>
      <w:r>
        <w:rPr>
          <w:rFonts w:ascii="Times New Roman" w:hAnsi="Times New Roman"/>
          <w:b/>
          <w:i w:val="0"/>
          <w:sz w:val="26"/>
          <w:u w:val="none"/>
        </w:rPr>
        <w:t>7.1  Emergency Safety Override Layer – Technical Design</w:t>
      </w:r>
    </w:p>
    <w:p>
      <w:pPr>
        <w:spacing w:before="0" w:after="160" w:line="360" w:lineRule="exact"/>
        <w:ind w:firstLine="432"/>
        <w:jc w:val="both"/>
      </w:pPr>
      <w:r>
        <w:rPr>
          <w:rFonts w:ascii="Times New Roman" w:hAnsi="Times New Roman"/>
          <w:b w:val="0"/>
          <w:i w:val="0"/>
          <w:sz w:val="24"/>
          <w:u w:val="none"/>
        </w:rPr>
        <w:t>The EmergencyRuleEngine (src/safety/emergency_rules.py) is instantiated once at application startup and remains stateless across requests. Its check_for_emergency(text) method is the first function called on every user input. The implementation is deliberately simple by design—complexity in a safety-critical component introduces risk. The core logic is:</w:t>
      </w:r>
    </w:p>
    <w:p>
      <w:pPr>
        <w:spacing w:before="80" w:after="80"/>
        <w:ind w:left="576"/>
      </w:pPr>
      <w:r>
        <w:rPr>
          <w:rFonts w:ascii="Courier New" w:hAnsi="Courier New"/>
          <w:sz w:val="19"/>
        </w:rPr>
        <w:t>def check_for_emergency(self, text: str) -&gt; dict:</w:t>
        <w:br/>
        <w:t xml:space="preserve">    text_lower = text.lower()</w:t>
        <w:br/>
        <w:t xml:space="preserve">    for category, phrases in self.EMERGENCY_KEYWORDS.items():</w:t>
        <w:br/>
        <w:t xml:space="preserve">        for phrase in phrases:</w:t>
        <w:br/>
        <w:t xml:space="preserve">            if phrase in text_lower:</w:t>
        <w:br/>
        <w:t xml:space="preserve">                self._log_override(text, category, phrase)</w:t>
        <w:br/>
        <w:t xml:space="preserve">                return {</w:t>
        <w:br/>
        <w:t xml:space="preserve">                    "is_emergency": True,</w:t>
        <w:br/>
        <w:t xml:space="preserve">                    "category": category,</w:t>
        <w:br/>
        <w:t xml:space="preserve">                    "triggered_by": phrase,</w:t>
        <w:br/>
        <w:t xml:space="preserve">                    "escalation_message": ESCALATION_TEXT</w:t>
        <w:br/>
        <w:t xml:space="preserve">                }</w:t>
        <w:br/>
        <w:t xml:space="preserve">    return {"is_emergency": False}</w:t>
      </w:r>
    </w:p>
    <w:p>
      <w:pPr>
        <w:spacing w:before="0" w:after="160" w:line="360" w:lineRule="exact"/>
        <w:ind w:firstLine="432"/>
        <w:jc w:val="both"/>
      </w:pPr>
      <w:r>
        <w:rPr>
          <w:rFonts w:ascii="Times New Roman" w:hAnsi="Times New Roman"/>
          <w:b w:val="0"/>
          <w:i w:val="0"/>
          <w:sz w:val="24"/>
          <w:u w:val="none"/>
        </w:rPr>
        <w:t>The choice of substring matching over regex or ML-based detection is intentional. Regex patterns introduce maintenance complexity and can fail silently on edge cases. ML-based emergency detection would reintroduce the exact vulnerability the layer is designed to guard against—if a model is used for emergency detection, it can be wrong. Substring matching on a carefully curated phrase list provides deterministic, auditable, testable behaviour. The trade-off is that phrases must be explicitly enumerated, but in the domain of emergency medical symptoms, the critical presentations are well-defined and finite.</w:t>
      </w:r>
    </w:p>
    <w:p>
      <w:pPr>
        <w:spacing w:before="0" w:after="160" w:line="360" w:lineRule="exact"/>
        <w:ind w:firstLine="432"/>
        <w:jc w:val="both"/>
      </w:pPr>
      <w:r>
        <w:rPr>
          <w:rFonts w:ascii="Times New Roman" w:hAnsi="Times New Roman"/>
          <w:b w:val="0"/>
          <w:i w:val="0"/>
          <w:sz w:val="24"/>
          <w:u w:val="none"/>
        </w:rPr>
        <w:t>Every emergency override is recorded as a structured JSON log entry written to logs/safety/emergency_overrides.log. Each entry captures the timestamp, input text, detected category, triggering phrase, and escalation message. This log enables post-hoc audit of all escalation decisions and supports the explainability requirements of responsible healthcare AI deployment.</w:t>
      </w:r>
    </w:p>
    <w:p>
      <w:pPr>
        <w:spacing w:before="280" w:after="80" w:line="360" w:lineRule="exact"/>
        <w:jc w:val="left"/>
      </w:pPr>
      <w:r>
        <w:rPr>
          <w:rFonts w:ascii="Times New Roman" w:hAnsi="Times New Roman"/>
          <w:b/>
          <w:i w:val="0"/>
          <w:sz w:val="26"/>
          <w:u w:val="none"/>
        </w:rPr>
        <w:t>7.2  Medical Consistency Validation – Penalty Scheme</w:t>
      </w:r>
    </w:p>
    <w:p>
      <w:pPr>
        <w:spacing w:before="0" w:after="160" w:line="360" w:lineRule="exact"/>
        <w:ind w:firstLine="432"/>
        <w:jc w:val="both"/>
      </w:pPr>
      <w:r>
        <w:rPr>
          <w:rFonts w:ascii="Times New Roman" w:hAnsi="Times New Roman"/>
          <w:b w:val="0"/>
          <w:i w:val="0"/>
          <w:sz w:val="24"/>
          <w:u w:val="none"/>
        </w:rPr>
        <w:t>After ML inference, the MedicalConsistencyValidator applies the following three-tier penalty scheme based on the overlap between the user's input symptom categories and the predicted disease's clinical categories: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2"/>
                <w:u w:val="none"/>
              </w:rPr>
              <w:t>Consistency Level</w:t>
            </w:r>
          </w:p>
        </w:tc>
        <w:tc>
          <w:tcPr>
            <w:tcW w:type="dxa" w:w="2167"/>
          </w:tcPr>
          <w:p>
            <w:pPr>
              <w:jc w:val="center"/>
            </w:pPr>
            <w:r>
              <w:rPr>
                <w:rFonts w:ascii="Times New Roman" w:hAnsi="Times New Roman"/>
                <w:b/>
                <w:i w:val="0"/>
                <w:sz w:val="22"/>
                <w:u w:val="none"/>
              </w:rPr>
              <w:t>Condition</w:t>
            </w:r>
          </w:p>
        </w:tc>
        <w:tc>
          <w:tcPr>
            <w:tcW w:type="dxa" w:w="2167"/>
          </w:tcPr>
          <w:p>
            <w:pPr>
              <w:jc w:val="center"/>
            </w:pPr>
            <w:r>
              <w:rPr>
                <w:rFonts w:ascii="Times New Roman" w:hAnsi="Times New Roman"/>
                <w:b/>
                <w:i w:val="0"/>
                <w:sz w:val="22"/>
                <w:u w:val="none"/>
              </w:rPr>
              <w:t>Penalty Multiplier</w:t>
            </w:r>
          </w:p>
        </w:tc>
        <w:tc>
          <w:tcPr>
            <w:tcW w:type="dxa" w:w="2167"/>
          </w:tcPr>
          <w:p>
            <w:pPr>
              <w:jc w:val="center"/>
            </w:pPr>
            <w:r>
              <w:rPr>
                <w:rFonts w:ascii="Times New Roman" w:hAnsi="Times New Roman"/>
                <w:b/>
                <w:i w:val="0"/>
                <w:sz w:val="22"/>
                <w:u w:val="none"/>
              </w:rPr>
              <w:t>Effect</w:t>
            </w:r>
          </w:p>
        </w:tc>
      </w:tr>
      <w:tr>
        <w:tc>
          <w:tcPr>
            <w:tcW w:type="dxa" w:w="2167"/>
          </w:tcPr>
          <w:p>
            <w:pPr>
              <w:jc w:val="center"/>
            </w:pPr>
            <w:r>
              <w:rPr>
                <w:rFonts w:ascii="Times New Roman" w:hAnsi="Times New Roman"/>
                <w:b w:val="0"/>
                <w:i w:val="0"/>
                <w:sz w:val="22"/>
                <w:u w:val="none"/>
              </w:rPr>
              <w:t>HIGH</w:t>
            </w:r>
          </w:p>
        </w:tc>
        <w:tc>
          <w:tcPr>
            <w:tcW w:type="dxa" w:w="2167"/>
          </w:tcPr>
          <w:p>
            <w:pPr>
              <w:jc w:val="center"/>
            </w:pPr>
            <w:r>
              <w:rPr>
                <w:rFonts w:ascii="Times New Roman" w:hAnsi="Times New Roman"/>
                <w:b w:val="0"/>
                <w:i w:val="0"/>
                <w:sz w:val="22"/>
                <w:u w:val="none"/>
              </w:rPr>
              <w:t>Input categories ∩ Disease categories ≠ ∅</w:t>
            </w:r>
          </w:p>
        </w:tc>
        <w:tc>
          <w:tcPr>
            <w:tcW w:type="dxa" w:w="2167"/>
          </w:tcPr>
          <w:p>
            <w:pPr>
              <w:jc w:val="center"/>
            </w:pPr>
            <w:r>
              <w:rPr>
                <w:rFonts w:ascii="Times New Roman" w:hAnsi="Times New Roman"/>
                <w:b w:val="0"/>
                <w:i w:val="0"/>
                <w:sz w:val="22"/>
                <w:u w:val="none"/>
              </w:rPr>
              <w:t>1.0x</w:t>
            </w:r>
          </w:p>
        </w:tc>
        <w:tc>
          <w:tcPr>
            <w:tcW w:type="dxa" w:w="2167"/>
          </w:tcPr>
          <w:p>
            <w:pPr>
              <w:jc w:val="center"/>
            </w:pPr>
            <w:r>
              <w:rPr>
                <w:rFonts w:ascii="Times New Roman" w:hAnsi="Times New Roman"/>
                <w:b w:val="0"/>
                <w:i w:val="0"/>
                <w:sz w:val="22"/>
                <w:u w:val="none"/>
              </w:rPr>
              <w:t>Confidence unchanged</w:t>
            </w:r>
          </w:p>
        </w:tc>
      </w:tr>
      <w:tr>
        <w:tc>
          <w:tcPr>
            <w:tcW w:type="dxa" w:w="2167"/>
          </w:tcPr>
          <w:p>
            <w:pPr>
              <w:jc w:val="center"/>
            </w:pPr>
            <w:r>
              <w:rPr>
                <w:rFonts w:ascii="Times New Roman" w:hAnsi="Times New Roman"/>
                <w:b w:val="0"/>
                <w:i w:val="0"/>
                <w:sz w:val="22"/>
                <w:u w:val="none"/>
              </w:rPr>
              <w:t>LOW</w:t>
            </w:r>
          </w:p>
        </w:tc>
        <w:tc>
          <w:tcPr>
            <w:tcW w:type="dxa" w:w="2167"/>
          </w:tcPr>
          <w:p>
            <w:pPr>
              <w:jc w:val="center"/>
            </w:pPr>
            <w:r>
              <w:rPr>
                <w:rFonts w:ascii="Times New Roman" w:hAnsi="Times New Roman"/>
                <w:b w:val="0"/>
                <w:i w:val="0"/>
                <w:sz w:val="22"/>
                <w:u w:val="none"/>
              </w:rPr>
              <w:t>Input categories ∩ Disease categories = ∅</w:t>
              <w:br/>
              <w:t>(disease has known categories)</w:t>
            </w:r>
          </w:p>
        </w:tc>
        <w:tc>
          <w:tcPr>
            <w:tcW w:type="dxa" w:w="2167"/>
          </w:tcPr>
          <w:p>
            <w:pPr>
              <w:jc w:val="center"/>
            </w:pPr>
            <w:r>
              <w:rPr>
                <w:rFonts w:ascii="Times New Roman" w:hAnsi="Times New Roman"/>
                <w:b w:val="0"/>
                <w:i w:val="0"/>
                <w:sz w:val="22"/>
                <w:u w:val="none"/>
              </w:rPr>
              <w:t>0.1x</w:t>
            </w:r>
          </w:p>
        </w:tc>
        <w:tc>
          <w:tcPr>
            <w:tcW w:type="dxa" w:w="2167"/>
          </w:tcPr>
          <w:p>
            <w:pPr>
              <w:jc w:val="center"/>
            </w:pPr>
            <w:r>
              <w:rPr>
                <w:rFonts w:ascii="Times New Roman" w:hAnsi="Times New Roman"/>
                <w:b w:val="0"/>
                <w:i w:val="0"/>
                <w:sz w:val="22"/>
                <w:u w:val="none"/>
              </w:rPr>
              <w:t>Confidence reduced by 90%</w:t>
            </w:r>
          </w:p>
        </w:tc>
      </w:tr>
      <w:tr>
        <w:tc>
          <w:tcPr>
            <w:tcW w:type="dxa" w:w="2167"/>
          </w:tcPr>
          <w:p>
            <w:pPr>
              <w:jc w:val="center"/>
            </w:pPr>
            <w:r>
              <w:rPr>
                <w:rFonts w:ascii="Times New Roman" w:hAnsi="Times New Roman"/>
                <w:b w:val="0"/>
                <w:i w:val="0"/>
                <w:sz w:val="22"/>
                <w:u w:val="none"/>
              </w:rPr>
              <w:t>UNKNOWN</w:t>
            </w:r>
          </w:p>
        </w:tc>
        <w:tc>
          <w:tcPr>
            <w:tcW w:type="dxa" w:w="2167"/>
          </w:tcPr>
          <w:p>
            <w:pPr>
              <w:jc w:val="center"/>
            </w:pPr>
            <w:r>
              <w:rPr>
                <w:rFonts w:ascii="Times New Roman" w:hAnsi="Times New Roman"/>
                <w:b w:val="0"/>
                <w:i w:val="0"/>
                <w:sz w:val="22"/>
                <w:u w:val="none"/>
              </w:rPr>
              <w:t>Disease has no category mapping in knowledge base</w:t>
            </w:r>
          </w:p>
        </w:tc>
        <w:tc>
          <w:tcPr>
            <w:tcW w:type="dxa" w:w="2167"/>
          </w:tcPr>
          <w:p>
            <w:pPr>
              <w:jc w:val="center"/>
            </w:pPr>
            <w:r>
              <w:rPr>
                <w:rFonts w:ascii="Times New Roman" w:hAnsi="Times New Roman"/>
                <w:b w:val="0"/>
                <w:i w:val="0"/>
                <w:sz w:val="22"/>
                <w:u w:val="none"/>
              </w:rPr>
              <w:t>0.9x</w:t>
            </w:r>
          </w:p>
        </w:tc>
        <w:tc>
          <w:tcPr>
            <w:tcW w:type="dxa" w:w="2167"/>
          </w:tcPr>
          <w:p>
            <w:pPr>
              <w:jc w:val="center"/>
            </w:pPr>
            <w:r>
              <w:rPr>
                <w:rFonts w:ascii="Times New Roman" w:hAnsi="Times New Roman"/>
                <w:b w:val="0"/>
                <w:i w:val="0"/>
                <w:sz w:val="22"/>
                <w:u w:val="none"/>
              </w:rPr>
              <w:t>Mild confidence reduction</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7.1 – Medical Consistency Penalty Scheme</w:t>
      </w:r>
    </w:p>
    <w:p>
      <w:pPr>
        <w:spacing w:before="0" w:after="160" w:line="360" w:lineRule="exact"/>
        <w:ind w:firstLine="432"/>
        <w:jc w:val="both"/>
      </w:pPr>
      <w:r>
        <w:rPr>
          <w:rFonts w:ascii="Times New Roman" w:hAnsi="Times New Roman"/>
          <w:b w:val="0"/>
          <w:i w:val="0"/>
          <w:sz w:val="24"/>
          <w:u w:val="none"/>
        </w:rPr>
        <w:t>The 0.1x multiplier for LOW consistency predictions is deliberately aggressive. A prediction that has no category overlap with the user's symptoms—for example, predicting an eye condition when the user reports exclusively gastrointestinal symptoms—is almost certainly wrong, and displaying it at its raw ML confidence score would mislead the user. The 90% penalty effectively suppresses such predictions in the displayed Top-K results without completely removing them from the ranked list, preserving the possibility of an edge case where the model's cross-category prediction is actually correct.</w:t>
      </w:r>
    </w:p>
    <w:p>
      <w:pPr>
        <w:spacing w:before="0" w:after="160" w:line="360" w:lineRule="exact"/>
        <w:ind w:firstLine="432"/>
        <w:jc w:val="both"/>
      </w:pPr>
      <w:r>
        <w:rPr>
          <w:rFonts w:ascii="Times New Roman" w:hAnsi="Times New Roman"/>
          <w:b w:val="0"/>
          <w:i w:val="0"/>
          <w:sz w:val="24"/>
          <w:u w:val="none"/>
        </w:rPr>
        <w:t>After penalty application, predictions are re-sorted by adjusted confidence score. Re-ranking changes are logged to support transparency. In the 500-case validation suite, meaningful re-ranking occurred in approximately 18% of non-emergency cases, indicating that the validator is actively correcting the ML model's output in a significant proportion of interactions.</w:t>
      </w:r>
    </w:p>
    <w:p>
      <w:pPr>
        <w:spacing w:before="280" w:after="80" w:line="360" w:lineRule="exact"/>
        <w:jc w:val="left"/>
      </w:pPr>
      <w:r>
        <w:rPr>
          <w:rFonts w:ascii="Times New Roman" w:hAnsi="Times New Roman"/>
          <w:b/>
          <w:i w:val="0"/>
          <w:sz w:val="26"/>
          <w:u w:val="none"/>
        </w:rPr>
        <w:t>7.3  Healthcare Safety Metrics</w:t>
      </w:r>
    </w:p>
    <w:p>
      <w:pPr>
        <w:spacing w:before="0" w:after="160" w:line="360" w:lineRule="exact"/>
        <w:ind w:firstLine="432"/>
        <w:jc w:val="both"/>
      </w:pPr>
      <w:r>
        <w:rPr>
          <w:rFonts w:ascii="Times New Roman" w:hAnsi="Times New Roman"/>
          <w:b w:val="0"/>
          <w:i w:val="0"/>
          <w:sz w:val="24"/>
          <w:u w:val="none"/>
        </w:rPr>
        <w:t>Standard machine learning evaluation metrics such as accuracy, precision, recall, and F1-score are insufficient for evaluating the safety of a healthcare triage system. A model that achieves 95% overall accuracy but fails on 5% of emergency cases has a clinically unacceptable safety profile. MediAssist AI therefore introduces three healthcare-specific metrics: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Metric</w:t>
            </w:r>
          </w:p>
        </w:tc>
        <w:tc>
          <w:tcPr>
            <w:tcW w:type="dxa" w:w="2890"/>
          </w:tcPr>
          <w:p>
            <w:pPr>
              <w:jc w:val="center"/>
            </w:pPr>
            <w:r>
              <w:rPr>
                <w:rFonts w:ascii="Times New Roman" w:hAnsi="Times New Roman"/>
                <w:b/>
                <w:i w:val="0"/>
                <w:sz w:val="22"/>
                <w:u w:val="none"/>
              </w:rPr>
              <w:t>Formula</w:t>
            </w:r>
          </w:p>
        </w:tc>
        <w:tc>
          <w:tcPr>
            <w:tcW w:type="dxa" w:w="2890"/>
          </w:tcPr>
          <w:p>
            <w:pPr>
              <w:jc w:val="center"/>
            </w:pPr>
            <w:r>
              <w:rPr>
                <w:rFonts w:ascii="Times New Roman" w:hAnsi="Times New Roman"/>
                <w:b/>
                <w:i w:val="0"/>
                <w:sz w:val="22"/>
                <w:u w:val="none"/>
              </w:rPr>
              <w:t>Target</w:t>
            </w:r>
          </w:p>
        </w:tc>
      </w:tr>
      <w:tr>
        <w:tc>
          <w:tcPr>
            <w:tcW w:type="dxa" w:w="2890"/>
          </w:tcPr>
          <w:p>
            <w:pPr>
              <w:jc w:val="center"/>
            </w:pPr>
            <w:r>
              <w:rPr>
                <w:rFonts w:ascii="Times New Roman" w:hAnsi="Times New Roman"/>
                <w:b w:val="0"/>
                <w:i w:val="0"/>
                <w:sz w:val="22"/>
                <w:u w:val="none"/>
              </w:rPr>
              <w:t>Emergency Escalation</w:t>
              <w:br/>
              <w:t>Accuracy (EEA)</w:t>
            </w:r>
          </w:p>
        </w:tc>
        <w:tc>
          <w:tcPr>
            <w:tcW w:type="dxa" w:w="2890"/>
          </w:tcPr>
          <w:p>
            <w:pPr>
              <w:jc w:val="center"/>
            </w:pPr>
            <w:r>
              <w:rPr>
                <w:rFonts w:ascii="Times New Roman" w:hAnsi="Times New Roman"/>
                <w:b w:val="0"/>
                <w:i w:val="0"/>
                <w:sz w:val="22"/>
                <w:u w:val="none"/>
              </w:rPr>
              <w:t>Correctly Escalated / Total Emergencies × 100</w:t>
            </w:r>
          </w:p>
        </w:tc>
        <w:tc>
          <w:tcPr>
            <w:tcW w:type="dxa" w:w="2890"/>
          </w:tcPr>
          <w:p>
            <w:pPr>
              <w:jc w:val="center"/>
            </w:pPr>
            <w:r>
              <w:rPr>
                <w:rFonts w:ascii="Times New Roman" w:hAnsi="Times New Roman"/>
                <w:b w:val="0"/>
                <w:i w:val="0"/>
                <w:sz w:val="22"/>
                <w:u w:val="none"/>
              </w:rPr>
              <w:t>&gt; 95%</w:t>
            </w:r>
          </w:p>
        </w:tc>
      </w:tr>
      <w:tr>
        <w:tc>
          <w:tcPr>
            <w:tcW w:type="dxa" w:w="2890"/>
          </w:tcPr>
          <w:p>
            <w:pPr>
              <w:jc w:val="center"/>
            </w:pPr>
            <w:r>
              <w:rPr>
                <w:rFonts w:ascii="Times New Roman" w:hAnsi="Times New Roman"/>
                <w:b w:val="0"/>
                <w:i w:val="0"/>
                <w:sz w:val="22"/>
                <w:u w:val="none"/>
              </w:rPr>
              <w:t>Missed Emergency</w:t>
              <w:br/>
              <w:t>Rate (MER)</w:t>
            </w:r>
          </w:p>
        </w:tc>
        <w:tc>
          <w:tcPr>
            <w:tcW w:type="dxa" w:w="2890"/>
          </w:tcPr>
          <w:p>
            <w:pPr>
              <w:jc w:val="center"/>
            </w:pPr>
            <w:r>
              <w:rPr>
                <w:rFonts w:ascii="Times New Roman" w:hAnsi="Times New Roman"/>
                <w:b w:val="0"/>
                <w:i w:val="0"/>
                <w:sz w:val="22"/>
                <w:u w:val="none"/>
              </w:rPr>
              <w:t>Missed Emergencies / Total Emergencies × 100</w:t>
            </w:r>
          </w:p>
        </w:tc>
        <w:tc>
          <w:tcPr>
            <w:tcW w:type="dxa" w:w="2890"/>
          </w:tcPr>
          <w:p>
            <w:pPr>
              <w:jc w:val="center"/>
            </w:pPr>
            <w:r>
              <w:rPr>
                <w:rFonts w:ascii="Times New Roman" w:hAnsi="Times New Roman"/>
                <w:b w:val="0"/>
                <w:i w:val="0"/>
                <w:sz w:val="22"/>
                <w:u w:val="none"/>
              </w:rPr>
              <w:t>&lt; 5% (ideally 0%)</w:t>
            </w:r>
          </w:p>
        </w:tc>
      </w:tr>
      <w:tr>
        <w:tc>
          <w:tcPr>
            <w:tcW w:type="dxa" w:w="2890"/>
          </w:tcPr>
          <w:p>
            <w:pPr>
              <w:jc w:val="center"/>
            </w:pPr>
            <w:r>
              <w:rPr>
                <w:rFonts w:ascii="Times New Roman" w:hAnsi="Times New Roman"/>
                <w:b w:val="0"/>
                <w:i w:val="0"/>
                <w:sz w:val="22"/>
                <w:u w:val="none"/>
              </w:rPr>
              <w:t>Unsafe Prediction</w:t>
              <w:br/>
              <w:t>Rate (UPR)</w:t>
            </w:r>
          </w:p>
        </w:tc>
        <w:tc>
          <w:tcPr>
            <w:tcW w:type="dxa" w:w="2890"/>
          </w:tcPr>
          <w:p>
            <w:pPr>
              <w:jc w:val="center"/>
            </w:pPr>
            <w:r>
              <w:rPr>
                <w:rFonts w:ascii="Times New Roman" w:hAnsi="Times New Roman"/>
                <w:b w:val="0"/>
                <w:i w:val="0"/>
                <w:sz w:val="22"/>
                <w:u w:val="none"/>
              </w:rPr>
              <w:t>High-Conf. Wrong Predictions / Total Non-Emergency × 100</w:t>
            </w:r>
          </w:p>
        </w:tc>
        <w:tc>
          <w:tcPr>
            <w:tcW w:type="dxa" w:w="2890"/>
          </w:tcPr>
          <w:p>
            <w:pPr>
              <w:jc w:val="center"/>
            </w:pPr>
            <w:r>
              <w:rPr>
                <w:rFonts w:ascii="Times New Roman" w:hAnsi="Times New Roman"/>
                <w:b w:val="0"/>
                <w:i w:val="0"/>
                <w:sz w:val="22"/>
                <w:u w:val="none"/>
              </w:rPr>
              <w:t>&lt; 5% (ideally 0%)</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7.2 – Healthcare-Specific Safety Metric Definitions</w:t>
      </w:r>
    </w:p>
    <w:p>
      <w:pPr>
        <w:spacing w:before="0" w:after="160" w:line="360" w:lineRule="exact"/>
        <w:ind w:firstLine="432"/>
        <w:jc w:val="both"/>
      </w:pPr>
      <w:r>
        <w:rPr>
          <w:rFonts w:ascii="Times New Roman" w:hAnsi="Times New Roman"/>
          <w:b w:val="0"/>
          <w:i w:val="0"/>
          <w:sz w:val="24"/>
          <w:u w:val="none"/>
        </w:rPr>
        <w:t>These metrics are computed by the run_final_research_validation.py script, which runs the full pipeline—including emergency detection, ML inference, and consistency validation—on each of the 500 validation cases and records the outcome. The script produces a validation_trace.json log, a safety_metrics.csv summary, and the research figures used throughout this report.</w:t>
      </w:r>
    </w:p>
    <w:p>
      <w:pPr>
        <w:spacing w:before="280" w:after="80" w:line="360" w:lineRule="exact"/>
        <w:jc w:val="left"/>
      </w:pPr>
      <w:r>
        <w:rPr>
          <w:rFonts w:ascii="Times New Roman" w:hAnsi="Times New Roman"/>
          <w:b/>
          <w:i w:val="0"/>
          <w:sz w:val="26"/>
          <w:u w:val="none"/>
        </w:rPr>
        <w:t>7.4  Validation Suite Design</w:t>
      </w:r>
    </w:p>
    <w:p>
      <w:pPr>
        <w:spacing w:before="0" w:after="160" w:line="360" w:lineRule="exact"/>
        <w:ind w:firstLine="432"/>
        <w:jc w:val="both"/>
      </w:pPr>
      <w:r>
        <w:rPr>
          <w:rFonts w:ascii="Times New Roman" w:hAnsi="Times New Roman"/>
          <w:b w:val="0"/>
          <w:i w:val="0"/>
          <w:sz w:val="24"/>
          <w:u w:val="none"/>
        </w:rPr>
        <w:t>The 500-case validation dataset was constructed to stress-test every failure mode identified in Chapter 3. It contains five case categories:</w:t>
      </w:r>
    </w:p>
    <w:p>
      <w:pPr>
        <w:spacing w:before="160" w:after="60" w:line="360" w:lineRule="exact"/>
        <w:jc w:val="left"/>
      </w:pPr>
      <w:r>
        <w:rPr>
          <w:rFonts w:ascii="Times New Roman" w:hAnsi="Times New Roman"/>
          <w:b/>
          <w:i/>
          <w:sz w:val="24"/>
          <w:u w:val="none"/>
        </w:rPr>
        <w:t>100 Emergency Cases</w:t>
      </w:r>
    </w:p>
    <w:p>
      <w:pPr>
        <w:spacing w:before="0" w:after="160" w:line="360" w:lineRule="exact"/>
        <w:ind w:firstLine="432"/>
        <w:jc w:val="both"/>
      </w:pPr>
      <w:r>
        <w:rPr>
          <w:rFonts w:ascii="Times New Roman" w:hAnsi="Times New Roman"/>
          <w:b w:val="0"/>
          <w:i w:val="0"/>
          <w:sz w:val="24"/>
          <w:u w:val="none"/>
        </w:rPr>
        <w:t>Five emergency symptom combinations (stroke, respiratory, infection, hemorrhagic, cardiac), each repeated 20 times with natural language variation. All 100 should trigger emergency escalation.</w:t>
      </w:r>
    </w:p>
    <w:p>
      <w:pPr>
        <w:spacing w:before="160" w:after="60" w:line="360" w:lineRule="exact"/>
        <w:jc w:val="left"/>
      </w:pPr>
      <w:r>
        <w:rPr>
          <w:rFonts w:ascii="Times New Roman" w:hAnsi="Times New Roman"/>
          <w:b/>
          <w:i/>
          <w:sz w:val="24"/>
          <w:u w:val="none"/>
        </w:rPr>
        <w:t>300 Common Cases</w:t>
      </w:r>
    </w:p>
    <w:p>
      <w:pPr>
        <w:spacing w:before="0" w:after="160" w:line="360" w:lineRule="exact"/>
        <w:ind w:firstLine="432"/>
        <w:jc w:val="both"/>
      </w:pPr>
      <w:r>
        <w:rPr>
          <w:rFonts w:ascii="Times New Roman" w:hAnsi="Times New Roman"/>
          <w:b w:val="0"/>
          <w:i w:val="0"/>
          <w:sz w:val="24"/>
          <w:u w:val="none"/>
        </w:rPr>
        <w:t>Five common non-emergency presentations (headache/cold, nausea, rash, eye symptoms, sneezing), each repeated 60 times. None should trigger emergency escalation.</w:t>
      </w:r>
    </w:p>
    <w:p>
      <w:pPr>
        <w:spacing w:before="160" w:after="60" w:line="360" w:lineRule="exact"/>
        <w:jc w:val="left"/>
      </w:pPr>
      <w:r>
        <w:rPr>
          <w:rFonts w:ascii="Times New Roman" w:hAnsi="Times New Roman"/>
          <w:b/>
          <w:i/>
          <w:sz w:val="24"/>
          <w:u w:val="none"/>
        </w:rPr>
        <w:t>~99 Implausible-Check Cases</w:t>
      </w:r>
    </w:p>
    <w:p>
      <w:pPr>
        <w:spacing w:before="0" w:after="160" w:line="360" w:lineRule="exact"/>
        <w:ind w:firstLine="432"/>
        <w:jc w:val="both"/>
      </w:pPr>
      <w:r>
        <w:rPr>
          <w:rFonts w:ascii="Times New Roman" w:hAnsi="Times New Roman"/>
          <w:b w:val="0"/>
          <w:i w:val="0"/>
          <w:sz w:val="24"/>
          <w:u w:val="none"/>
        </w:rPr>
        <w:t>Three symptom inputs designed to test the consistency validator: high fever with cough (should not predict eye infection), chest pain (should not predict skin rash), and frequent urination with thirst (should not predict ear infection).</w:t>
      </w:r>
    </w:p>
    <w:p>
      <w:pPr>
        <w:spacing w:before="160" w:after="60" w:line="360" w:lineRule="exact"/>
        <w:jc w:val="left"/>
      </w:pPr>
      <w:r>
        <w:rPr>
          <w:rFonts w:ascii="Times New Roman" w:hAnsi="Times New Roman"/>
          <w:b/>
          <w:i/>
          <w:sz w:val="24"/>
          <w:u w:val="none"/>
        </w:rPr>
        <w:t>1 Padding Case</w:t>
      </w:r>
    </w:p>
    <w:p>
      <w:pPr>
        <w:spacing w:before="0" w:after="160" w:line="360" w:lineRule="exact"/>
        <w:ind w:firstLine="432"/>
        <w:jc w:val="both"/>
      </w:pPr>
      <w:r>
        <w:rPr>
          <w:rFonts w:ascii="Times New Roman" w:hAnsi="Times New Roman"/>
          <w:b w:val="0"/>
          <w:i w:val="0"/>
          <w:sz w:val="24"/>
          <w:u w:val="none"/>
        </w:rPr>
        <w:t>A mild cough input used to bring the dataset to exactly 500 cases.</w:t>
      </w:r>
    </w:p>
    <w:p>
      <w:pPr>
        <w:spacing w:before="280" w:after="80" w:line="360" w:lineRule="exact"/>
        <w:jc w:val="left"/>
      </w:pPr>
      <w:r>
        <w:rPr>
          <w:rFonts w:ascii="Times New Roman" w:hAnsi="Times New Roman"/>
          <w:b/>
          <w:i w:val="0"/>
          <w:sz w:val="26"/>
          <w:u w:val="none"/>
        </w:rPr>
        <w:t>7.5  Before vs. After Safety Analysis</w:t>
      </w:r>
    </w:p>
    <w:p>
      <w:pPr>
        <w:spacing w:before="0" w:after="160" w:line="360" w:lineRule="exact"/>
        <w:ind w:firstLine="432"/>
        <w:jc w:val="both"/>
      </w:pPr>
      <w:r>
        <w:rPr>
          <w:rFonts w:ascii="Times New Roman" w:hAnsi="Times New Roman"/>
          <w:b w:val="0"/>
          <w:i w:val="0"/>
          <w:sz w:val="24"/>
          <w:u w:val="none"/>
        </w:rPr>
        <w:t>Figure 7.1 presents the core result of the safety validation: a direct comparison of three critical safety metrics before and after the hybrid safety architecture was implemented.</w:t>
      </w:r>
    </w:p>
    <w:p>
      <w:pPr>
        <w:spacing w:before="120" w:after="4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before_after_safety.png"/>
                    <pic:cNvPicPr/>
                  </pic:nvPicPr>
                  <pic:blipFill>
                    <a:blip r:embed="rId10"/>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7.1 – Safety Metrics Before vs. After Hybrid Architecture Implementation</w:t>
      </w:r>
    </w:p>
    <w:p>
      <w:pPr>
        <w:spacing w:before="0" w:after="160" w:line="360" w:lineRule="exact"/>
        <w:ind w:firstLine="432"/>
        <w:jc w:val="both"/>
      </w:pPr>
      <w:r>
        <w:rPr>
          <w:rFonts w:ascii="Times New Roman" w:hAnsi="Times New Roman"/>
          <w:b w:val="0"/>
          <w:i w:val="0"/>
          <w:sz w:val="24"/>
          <w:u w:val="none"/>
        </w:rPr>
        <w:t>The results are unambiguous. Before the safety architecture was added, the baseline ML system produced a Missed Emergency Rate of approximately 34.2%, meaning roughly one in three emergency inputs was not escalated. The Unsafe Prediction Rate was 12.5%, and approximately 28.4% of predictions were medically implausible. After implementing the Emergency Override Layer and Medical Consistency Validator:</w:t>
      </w:r>
    </w:p>
    <w:p>
      <w:pPr>
        <w:pStyle w:val="ListBullet"/>
        <w:spacing w:before="40" w:after="40" w:line="320" w:lineRule="exact"/>
        <w:ind w:left="576"/>
      </w:pPr>
      <w:r>
        <w:rPr>
          <w:rFonts w:ascii="Times New Roman" w:hAnsi="Times New Roman"/>
          <w:b w:val="0"/>
          <w:i w:val="0"/>
          <w:sz w:val="24"/>
          <w:u w:val="none"/>
        </w:rPr>
        <w:t>MER reduced from 34.2% to 0.0% – all 100 emergency cases correctly escalated.</w:t>
      </w:r>
    </w:p>
    <w:p>
      <w:pPr>
        <w:pStyle w:val="ListBullet"/>
        <w:spacing w:before="40" w:after="40" w:line="320" w:lineRule="exact"/>
        <w:ind w:left="576"/>
      </w:pPr>
      <w:r>
        <w:rPr>
          <w:rFonts w:ascii="Times New Roman" w:hAnsi="Times New Roman"/>
          <w:b w:val="0"/>
          <w:i w:val="0"/>
          <w:sz w:val="24"/>
          <w:u w:val="none"/>
        </w:rPr>
        <w:t>UPR reduced from 12.5% to 0.0% – no high-confidence incorrect outputs recorded.</w:t>
      </w:r>
    </w:p>
    <w:p>
      <w:pPr>
        <w:pStyle w:val="ListBullet"/>
        <w:spacing w:before="40" w:after="40" w:line="320" w:lineRule="exact"/>
        <w:ind w:left="576"/>
      </w:pPr>
      <w:r>
        <w:rPr>
          <w:rFonts w:ascii="Times New Roman" w:hAnsi="Times New Roman"/>
          <w:b w:val="0"/>
          <w:i w:val="0"/>
          <w:sz w:val="24"/>
          <w:u w:val="none"/>
        </w:rPr>
        <w:t>Implausible Prediction Rate reduced from 28.4% to 0.0% – all implausible predictions suppressed by the consistency validator.</w:t>
      </w:r>
    </w:p>
    <w:p>
      <w:pPr>
        <w:pStyle w:val="ListBullet"/>
        <w:spacing w:before="40" w:after="40" w:line="320" w:lineRule="exact"/>
        <w:ind w:left="576"/>
      </w:pPr>
      <w:r>
        <w:rPr>
          <w:rFonts w:ascii="Times New Roman" w:hAnsi="Times New Roman"/>
          <w:b w:val="0"/>
          <w:i w:val="0"/>
          <w:sz w:val="24"/>
          <w:u w:val="none"/>
        </w:rPr>
        <w:t>Emergency Escalation Accuracy (EEA) achieved 100.0% (target: &gt; 95%).</w:t>
      </w:r>
    </w:p>
    <w:p>
      <w:pPr>
        <w:spacing w:before="0" w:after="160" w:line="360" w:lineRule="exact"/>
        <w:ind w:firstLine="432"/>
        <w:jc w:val="both"/>
      </w:pPr>
      <w:r>
        <w:rPr>
          <w:rFonts w:ascii="Times New Roman" w:hAnsi="Times New Roman"/>
          <w:b w:val="0"/>
          <w:i w:val="0"/>
          <w:sz w:val="24"/>
          <w:u w:val="none"/>
        </w:rPr>
        <w:t>Figure 7.2 shows the confusion matrix for emergency detection across the 500-case validation suite.</w:t>
      </w:r>
    </w:p>
    <w:p>
      <w:pPr>
        <w:spacing w:before="120" w:after="40"/>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114800" cy="3086100"/>
                    </a:xfrm>
                    <a:prstGeom prst="rect"/>
                  </pic:spPr>
                </pic:pic>
              </a:graphicData>
            </a:graphic>
          </wp:inline>
        </w:drawing>
      </w:r>
    </w:p>
    <w:p>
      <w:pPr>
        <w:spacing w:before="80" w:after="240"/>
        <w:jc w:val="center"/>
      </w:pPr>
      <w:r>
        <w:rPr>
          <w:rFonts w:ascii="Times New Roman" w:hAnsi="Times New Roman"/>
          <w:b w:val="0"/>
          <w:i/>
          <w:sz w:val="22"/>
          <w:u w:val="none"/>
        </w:rPr>
        <w:t>Figure 7.2 – Emergency Detection Confusion Matrix (500-Case Validation Suite)</w:t>
      </w:r>
    </w:p>
    <w:p>
      <w:pPr>
        <w:spacing w:before="0" w:after="160" w:line="360" w:lineRule="exact"/>
        <w:ind w:firstLine="432"/>
        <w:jc w:val="both"/>
      </w:pPr>
      <w:r>
        <w:rPr>
          <w:rFonts w:ascii="Times New Roman" w:hAnsi="Times New Roman"/>
          <w:b w:val="0"/>
          <w:i w:val="0"/>
          <w:sz w:val="24"/>
          <w:u w:val="none"/>
        </w:rPr>
        <w:t>The confusion matrix confirms zero false negatives (missed emergencies) and zero false positives (non-emergency cases incorrectly escalated). This result is a direct consequence of the deterministic nature of the Emergency Override Layer: because the layer uses exact phrase matching rather than probabilistic scoring, it cannot be fooled by statistical feature overlap between emergency and non-emergency presentations.</w:t>
      </w:r>
    </w:p>
    <w:p>
      <w:pPr>
        <w:spacing w:before="280" w:after="80" w:line="360" w:lineRule="exact"/>
        <w:jc w:val="left"/>
      </w:pPr>
      <w:r>
        <w:rPr>
          <w:rFonts w:ascii="Times New Roman" w:hAnsi="Times New Roman"/>
          <w:b/>
          <w:i w:val="0"/>
          <w:sz w:val="26"/>
          <w:u w:val="none"/>
        </w:rPr>
        <w:t>7.6  Failure Case Analysis: Before the Safety Fix</w:t>
      </w:r>
    </w:p>
    <w:p>
      <w:pPr>
        <w:spacing w:before="0" w:after="160" w:line="360" w:lineRule="exact"/>
        <w:ind w:firstLine="432"/>
        <w:jc w:val="both"/>
      </w:pPr>
      <w:r>
        <w:rPr>
          <w:rFonts w:ascii="Times New Roman" w:hAnsi="Times New Roman"/>
          <w:b w:val="0"/>
          <w:i w:val="0"/>
          <w:sz w:val="24"/>
          <w:u w:val="none"/>
        </w:rPr>
        <w:t>To fully understand the significance of the safety architecture, it is useful to examine the specific failure cases that occurred in the baseline system before the Emergency Override Layer was implemented. These failures were documented in the reports/testing/final_validation_report.md generated during preliminary evaluation.</w:t>
      </w:r>
    </w:p>
    <w:p>
      <w:pPr>
        <w:spacing w:before="200" w:after="60" w:line="360" w:lineRule="exact"/>
        <w:jc w:val="left"/>
      </w:pPr>
      <w:r>
        <w:rPr>
          <w:rFonts w:ascii="Times New Roman" w:hAnsi="Times New Roman"/>
          <w:b/>
          <w:i/>
          <w:sz w:val="24"/>
          <w:u w:val="none"/>
        </w:rPr>
        <w:t>Stroke → Bell Palsy</w:t>
      </w:r>
    </w:p>
    <w:p>
      <w:pPr>
        <w:spacing w:before="0" w:after="160" w:line="360" w:lineRule="exact"/>
        <w:ind w:firstLine="432"/>
        <w:jc w:val="both"/>
      </w:pPr>
      <w:r>
        <w:rPr>
          <w:rFonts w:ascii="Times New Roman" w:hAnsi="Times New Roman"/>
          <w:b w:val="0"/>
          <w:i w:val="0"/>
          <w:sz w:val="24"/>
          <w:u w:val="none"/>
        </w:rPr>
        <w:t>Input: 'sudden weakness on one side of face and slurred speech'. Baseline prediction: Bell Palsy (high confidence). This misclassification occurs because Bell Palsy presents with unilateral facial weakness and shares substantial vocabulary overlap with stroke descriptions in the training corpus. The TF-IDF model cannot distinguish the urgency difference between these two conditions from term frequencies alone.</w:t>
      </w:r>
    </w:p>
    <w:p>
      <w:pPr>
        <w:spacing w:before="200" w:after="60" w:line="360" w:lineRule="exact"/>
        <w:jc w:val="left"/>
      </w:pPr>
      <w:r>
        <w:rPr>
          <w:rFonts w:ascii="Times New Roman" w:hAnsi="Times New Roman"/>
          <w:b/>
          <w:i/>
          <w:sz w:val="24"/>
          <w:u w:val="none"/>
        </w:rPr>
        <w:t>Hemoptysis → Asthma</w:t>
      </w:r>
    </w:p>
    <w:p>
      <w:pPr>
        <w:spacing w:before="0" w:after="160" w:line="360" w:lineRule="exact"/>
        <w:ind w:firstLine="432"/>
        <w:jc w:val="both"/>
      </w:pPr>
      <w:r>
        <w:rPr>
          <w:rFonts w:ascii="Times New Roman" w:hAnsi="Times New Roman"/>
          <w:b w:val="0"/>
          <w:i w:val="0"/>
          <w:sz w:val="24"/>
          <w:u w:val="none"/>
        </w:rPr>
        <w:t>Input: 'coughing up blood and difficulty breathing'. Baseline prediction: Asthma. Both conditions involve the respiratory system and 'difficulty breathing' is a common phrase in Asthma training examples. The term 'coughing up blood' does not appear frequently enough in the training data to override the strong Asthma prior.</w:t>
      </w:r>
    </w:p>
    <w:p>
      <w:pPr>
        <w:spacing w:before="200" w:after="60" w:line="360" w:lineRule="exact"/>
        <w:jc w:val="left"/>
      </w:pPr>
      <w:r>
        <w:rPr>
          <w:rFonts w:ascii="Times New Roman" w:hAnsi="Times New Roman"/>
          <w:b/>
          <w:i/>
          <w:sz w:val="24"/>
          <w:u w:val="none"/>
        </w:rPr>
        <w:t>Meningitis → Lymphadenitis</w:t>
      </w:r>
    </w:p>
    <w:p>
      <w:pPr>
        <w:spacing w:before="0" w:after="160" w:line="360" w:lineRule="exact"/>
        <w:ind w:firstLine="432"/>
        <w:jc w:val="both"/>
      </w:pPr>
      <w:r>
        <w:rPr>
          <w:rFonts w:ascii="Times New Roman" w:hAnsi="Times New Roman"/>
          <w:b w:val="0"/>
          <w:i w:val="0"/>
          <w:sz w:val="24"/>
          <w:u w:val="none"/>
        </w:rPr>
        <w:t>Input: 'extreme confusion, stiff neck, and highest fever ever'. Baseline prediction: Lymphadenitis. Both conditions involve lymph node swelling and fever in their feature representations. The critical phrase 'stiff neck' in the context of 'extreme confusion and high fever'—a classic meningitis triad—was not sufficiently weighted by the statistical model.</w:t>
      </w:r>
    </w:p>
    <w:p>
      <w:pPr>
        <w:spacing w:before="0" w:after="160" w:line="360" w:lineRule="exact"/>
        <w:ind w:firstLine="432"/>
        <w:jc w:val="both"/>
      </w:pPr>
      <w:r>
        <w:rPr>
          <w:rFonts w:ascii="Times New Roman" w:hAnsi="Times New Roman"/>
          <w:b w:val="0"/>
          <w:i w:val="0"/>
          <w:sz w:val="24"/>
          <w:u w:val="none"/>
        </w:rPr>
        <w:t>All three of these failure cases are completely resolved by the Emergency Override Layer, which triggers on 'slurred speech', 'coughing up blood', and 'stiff neck' respectively, intercepting the input before any ML inference occurs. This confirms that the safety architecture correctly targets and eliminates the most dangerous class of prediction errors.</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