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00" w:lineRule="exact"/>
        <w:jc w:val="left"/>
      </w:pPr>
      <w:r>
        <w:rPr>
          <w:rFonts w:ascii="Times New Roman" w:hAnsi="Times New Roman"/>
          <w:b/>
          <w:i w:val="0"/>
          <w:sz w:val="32"/>
          <w:u w:val="single"/>
        </w:rPr>
        <w:t>Chapter 11: Results and Analysis</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This chapter consolidates and analyses all quantitative results produced during the evaluation of MediAssist AI, including ML classifier performance, safety metric outcomes, before-vs-after failure reduction, medical plausibility improvements, and model comparison insights.</w:t>
      </w:r>
    </w:p>
    <w:p>
      <w:pPr>
        <w:spacing w:before="280" w:after="80" w:line="360" w:lineRule="exact"/>
        <w:jc w:val="left"/>
      </w:pPr>
      <w:r>
        <w:rPr>
          <w:rFonts w:ascii="Times New Roman" w:hAnsi="Times New Roman"/>
          <w:b/>
          <w:i w:val="0"/>
          <w:sz w:val="26"/>
          <w:u w:val="none"/>
        </w:rPr>
        <w:t>11.1  Primary Result: Safety Metric Achievement</w:t>
      </w:r>
    </w:p>
    <w:p>
      <w:pPr>
        <w:spacing w:before="0" w:after="120" w:line="360" w:lineRule="exact"/>
        <w:ind w:firstLine="0"/>
        <w:jc w:val="both"/>
      </w:pPr>
      <w:r>
        <w:rPr>
          <w:rFonts w:ascii="Times New Roman" w:hAnsi="Times New Roman"/>
          <w:b w:val="0"/>
          <w:i w:val="0"/>
          <w:sz w:val="24"/>
          <w:u w:val="none"/>
        </w:rPr>
        <w:t>The headline result of this project is the complete elimination of emergency misclassification through the hybrid architecture. Table 11.1 presents the final safety metrics alongside the baseline (ML-only) values and the improvement achieved.</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jc w:val="center"/>
            </w:pPr>
            <w:r>
              <w:rPr>
                <w:rFonts w:ascii="Times New Roman" w:hAnsi="Times New Roman"/>
                <w:b/>
                <w:i w:val="0"/>
                <w:sz w:val="22"/>
                <w:u w:val="none"/>
              </w:rPr>
              <w:t>Metric</w:t>
            </w:r>
          </w:p>
        </w:tc>
        <w:tc>
          <w:tcPr>
            <w:tcW w:type="dxa" w:w="2167"/>
          </w:tcPr>
          <w:p>
            <w:pPr>
              <w:jc w:val="center"/>
            </w:pPr>
            <w:r>
              <w:rPr>
                <w:rFonts w:ascii="Times New Roman" w:hAnsi="Times New Roman"/>
                <w:b/>
                <w:i w:val="0"/>
                <w:sz w:val="22"/>
                <w:u w:val="none"/>
              </w:rPr>
              <w:t>Baseline (ML Only)</w:t>
            </w:r>
          </w:p>
        </w:tc>
        <w:tc>
          <w:tcPr>
            <w:tcW w:type="dxa" w:w="2167"/>
          </w:tcPr>
          <w:p>
            <w:pPr>
              <w:jc w:val="center"/>
            </w:pPr>
            <w:r>
              <w:rPr>
                <w:rFonts w:ascii="Times New Roman" w:hAnsi="Times New Roman"/>
                <w:b/>
                <w:i w:val="0"/>
                <w:sz w:val="22"/>
                <w:u w:val="none"/>
              </w:rPr>
              <w:t>MediAssist AI (Hybrid)</w:t>
            </w:r>
          </w:p>
        </w:tc>
        <w:tc>
          <w:tcPr>
            <w:tcW w:type="dxa" w:w="2167"/>
          </w:tcPr>
          <w:p>
            <w:pPr>
              <w:jc w:val="center"/>
            </w:pPr>
            <w:r>
              <w:rPr>
                <w:rFonts w:ascii="Times New Roman" w:hAnsi="Times New Roman"/>
                <w:b/>
                <w:i w:val="0"/>
                <w:sz w:val="22"/>
                <w:u w:val="none"/>
              </w:rPr>
              <w:t>Improvement</w:t>
            </w:r>
          </w:p>
        </w:tc>
      </w:tr>
      <w:tr>
        <w:tc>
          <w:tcPr>
            <w:tcW w:type="dxa" w:w="2167"/>
          </w:tcPr>
          <w:p>
            <w:pPr>
              <w:jc w:val="center"/>
            </w:pPr>
            <w:r>
              <w:rPr>
                <w:rFonts w:ascii="Times New Roman" w:hAnsi="Times New Roman"/>
                <w:b w:val="0"/>
                <w:i w:val="0"/>
                <w:sz w:val="22"/>
                <w:u w:val="none"/>
              </w:rPr>
              <w:t>EEA</w:t>
            </w:r>
          </w:p>
        </w:tc>
        <w:tc>
          <w:tcPr>
            <w:tcW w:type="dxa" w:w="2167"/>
          </w:tcPr>
          <w:p>
            <w:pPr>
              <w:jc w:val="center"/>
            </w:pPr>
            <w:r>
              <w:rPr>
                <w:rFonts w:ascii="Times New Roman" w:hAnsi="Times New Roman"/>
                <w:b w:val="0"/>
                <w:i w:val="0"/>
                <w:sz w:val="22"/>
                <w:u w:val="none"/>
              </w:rPr>
              <w:t>65.8%</w:t>
            </w:r>
          </w:p>
        </w:tc>
        <w:tc>
          <w:tcPr>
            <w:tcW w:type="dxa" w:w="2167"/>
          </w:tcPr>
          <w:p>
            <w:pPr>
              <w:jc w:val="center"/>
            </w:pPr>
            <w:r>
              <w:rPr>
                <w:rFonts w:ascii="Times New Roman" w:hAnsi="Times New Roman"/>
                <w:b w:val="0"/>
                <w:i w:val="0"/>
                <w:sz w:val="22"/>
                <w:u w:val="none"/>
              </w:rPr>
              <w:t>100.0%</w:t>
            </w:r>
          </w:p>
        </w:tc>
        <w:tc>
          <w:tcPr>
            <w:tcW w:type="dxa" w:w="2167"/>
          </w:tcPr>
          <w:p>
            <w:pPr>
              <w:jc w:val="center"/>
            </w:pPr>
            <w:r>
              <w:rPr>
                <w:rFonts w:ascii="Times New Roman" w:hAnsi="Times New Roman"/>
                <w:b w:val="0"/>
                <w:i w:val="0"/>
                <w:sz w:val="22"/>
                <w:u w:val="none"/>
              </w:rPr>
              <w:t>+34.2 pp</w:t>
            </w:r>
          </w:p>
        </w:tc>
      </w:tr>
      <w:tr>
        <w:tc>
          <w:tcPr>
            <w:tcW w:type="dxa" w:w="2167"/>
          </w:tcPr>
          <w:p>
            <w:pPr>
              <w:jc w:val="center"/>
            </w:pPr>
            <w:r>
              <w:rPr>
                <w:rFonts w:ascii="Times New Roman" w:hAnsi="Times New Roman"/>
                <w:b w:val="0"/>
                <w:i w:val="0"/>
                <w:sz w:val="22"/>
                <w:u w:val="none"/>
              </w:rPr>
              <w:t>MER</w:t>
            </w:r>
          </w:p>
        </w:tc>
        <w:tc>
          <w:tcPr>
            <w:tcW w:type="dxa" w:w="2167"/>
          </w:tcPr>
          <w:p>
            <w:pPr>
              <w:jc w:val="center"/>
            </w:pPr>
            <w:r>
              <w:rPr>
                <w:rFonts w:ascii="Times New Roman" w:hAnsi="Times New Roman"/>
                <w:b w:val="0"/>
                <w:i w:val="0"/>
                <w:sz w:val="22"/>
                <w:u w:val="none"/>
              </w:rPr>
              <w:t>34.2%</w:t>
            </w:r>
          </w:p>
        </w:tc>
        <w:tc>
          <w:tcPr>
            <w:tcW w:type="dxa" w:w="2167"/>
          </w:tcPr>
          <w:p>
            <w:pPr>
              <w:jc w:val="center"/>
            </w:pPr>
            <w:r>
              <w:rPr>
                <w:rFonts w:ascii="Times New Roman" w:hAnsi="Times New Roman"/>
                <w:b w:val="0"/>
                <w:i w:val="0"/>
                <w:sz w:val="22"/>
                <w:u w:val="none"/>
              </w:rPr>
              <w:t>0.0%</w:t>
            </w:r>
          </w:p>
        </w:tc>
        <w:tc>
          <w:tcPr>
            <w:tcW w:type="dxa" w:w="2167"/>
          </w:tcPr>
          <w:p>
            <w:pPr>
              <w:jc w:val="center"/>
            </w:pPr>
            <w:r>
              <w:rPr>
                <w:rFonts w:ascii="Times New Roman" w:hAnsi="Times New Roman"/>
                <w:b w:val="0"/>
                <w:i w:val="0"/>
                <w:sz w:val="22"/>
                <w:u w:val="none"/>
              </w:rPr>
              <w:t>-34.2 pp</w:t>
            </w:r>
          </w:p>
        </w:tc>
      </w:tr>
      <w:tr>
        <w:tc>
          <w:tcPr>
            <w:tcW w:type="dxa" w:w="2167"/>
          </w:tcPr>
          <w:p>
            <w:pPr>
              <w:jc w:val="center"/>
            </w:pPr>
            <w:r>
              <w:rPr>
                <w:rFonts w:ascii="Times New Roman" w:hAnsi="Times New Roman"/>
                <w:b w:val="0"/>
                <w:i w:val="0"/>
                <w:sz w:val="22"/>
                <w:u w:val="none"/>
              </w:rPr>
              <w:t>UPR</w:t>
            </w:r>
          </w:p>
        </w:tc>
        <w:tc>
          <w:tcPr>
            <w:tcW w:type="dxa" w:w="2167"/>
          </w:tcPr>
          <w:p>
            <w:pPr>
              <w:jc w:val="center"/>
            </w:pPr>
            <w:r>
              <w:rPr>
                <w:rFonts w:ascii="Times New Roman" w:hAnsi="Times New Roman"/>
                <w:b w:val="0"/>
                <w:i w:val="0"/>
                <w:sz w:val="22"/>
                <w:u w:val="none"/>
              </w:rPr>
              <w:t>12.5%</w:t>
            </w:r>
          </w:p>
        </w:tc>
        <w:tc>
          <w:tcPr>
            <w:tcW w:type="dxa" w:w="2167"/>
          </w:tcPr>
          <w:p>
            <w:pPr>
              <w:jc w:val="center"/>
            </w:pPr>
            <w:r>
              <w:rPr>
                <w:rFonts w:ascii="Times New Roman" w:hAnsi="Times New Roman"/>
                <w:b w:val="0"/>
                <w:i w:val="0"/>
                <w:sz w:val="22"/>
                <w:u w:val="none"/>
              </w:rPr>
              <w:t>0.0%</w:t>
            </w:r>
          </w:p>
        </w:tc>
        <w:tc>
          <w:tcPr>
            <w:tcW w:type="dxa" w:w="2167"/>
          </w:tcPr>
          <w:p>
            <w:pPr>
              <w:jc w:val="center"/>
            </w:pPr>
            <w:r>
              <w:rPr>
                <w:rFonts w:ascii="Times New Roman" w:hAnsi="Times New Roman"/>
                <w:b w:val="0"/>
                <w:i w:val="0"/>
                <w:sz w:val="22"/>
                <w:u w:val="none"/>
              </w:rPr>
              <w:t>-12.5 pp</w:t>
            </w:r>
          </w:p>
        </w:tc>
      </w:tr>
      <w:tr>
        <w:tc>
          <w:tcPr>
            <w:tcW w:type="dxa" w:w="2167"/>
          </w:tcPr>
          <w:p>
            <w:pPr>
              <w:jc w:val="center"/>
            </w:pPr>
            <w:r>
              <w:rPr>
                <w:rFonts w:ascii="Times New Roman" w:hAnsi="Times New Roman"/>
                <w:b w:val="0"/>
                <w:i w:val="0"/>
                <w:sz w:val="22"/>
                <w:u w:val="none"/>
              </w:rPr>
              <w:t>Implausible Rate</w:t>
            </w:r>
          </w:p>
        </w:tc>
        <w:tc>
          <w:tcPr>
            <w:tcW w:type="dxa" w:w="2167"/>
          </w:tcPr>
          <w:p>
            <w:pPr>
              <w:jc w:val="center"/>
            </w:pPr>
            <w:r>
              <w:rPr>
                <w:rFonts w:ascii="Times New Roman" w:hAnsi="Times New Roman"/>
                <w:b w:val="0"/>
                <w:i w:val="0"/>
                <w:sz w:val="22"/>
                <w:u w:val="none"/>
              </w:rPr>
              <w:t>28.4%</w:t>
            </w:r>
          </w:p>
        </w:tc>
        <w:tc>
          <w:tcPr>
            <w:tcW w:type="dxa" w:w="2167"/>
          </w:tcPr>
          <w:p>
            <w:pPr>
              <w:jc w:val="center"/>
            </w:pPr>
            <w:r>
              <w:rPr>
                <w:rFonts w:ascii="Times New Roman" w:hAnsi="Times New Roman"/>
                <w:b w:val="0"/>
                <w:i w:val="0"/>
                <w:sz w:val="22"/>
                <w:u w:val="none"/>
              </w:rPr>
              <w:t>0.0%</w:t>
            </w:r>
          </w:p>
        </w:tc>
        <w:tc>
          <w:tcPr>
            <w:tcW w:type="dxa" w:w="2167"/>
          </w:tcPr>
          <w:p>
            <w:pPr>
              <w:jc w:val="center"/>
            </w:pPr>
            <w:r>
              <w:rPr>
                <w:rFonts w:ascii="Times New Roman" w:hAnsi="Times New Roman"/>
                <w:b w:val="0"/>
                <w:i w:val="0"/>
                <w:sz w:val="22"/>
                <w:u w:val="none"/>
              </w:rPr>
              <w:t>-28.4 pp</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11.1 – Safety Metric Comparison: Baseline vs. MediAssist AI Hybrid Architecture</w:t>
      </w:r>
    </w:p>
    <w:p>
      <w:pPr>
        <w:spacing w:before="0" w:after="160" w:line="360" w:lineRule="exact"/>
        <w:ind w:firstLine="432"/>
        <w:jc w:val="both"/>
      </w:pPr>
      <w:r>
        <w:rPr>
          <w:rFonts w:ascii="Times New Roman" w:hAnsi="Times New Roman"/>
          <w:b w:val="0"/>
          <w:i w:val="0"/>
          <w:sz w:val="24"/>
          <w:u w:val="none"/>
        </w:rPr>
        <w:t>The 34.2 percentage point reduction in Missed Emergency Rate is the most clinically significant result. This means that before the safety architecture was implemented, the system failed to escalate approximately 1 in 3 emergency inputs. After implementation, zero emergency inputs were missed across all 500 validation cases. This is not a marginal improvement—it represents a categorical elimination of the failure mode.</w:t>
      </w:r>
    </w:p>
    <w:p>
      <w:pPr>
        <w:spacing w:before="280" w:after="80" w:line="360" w:lineRule="exact"/>
        <w:jc w:val="left"/>
      </w:pPr>
      <w:r>
        <w:rPr>
          <w:rFonts w:ascii="Times New Roman" w:hAnsi="Times New Roman"/>
          <w:b/>
          <w:i w:val="0"/>
          <w:sz w:val="26"/>
          <w:u w:val="none"/>
        </w:rPr>
        <w:t>11.2  ML Classifier Performance Analysis</w:t>
      </w:r>
    </w:p>
    <w:p>
      <w:pPr>
        <w:spacing w:before="0" w:after="120" w:line="360" w:lineRule="exact"/>
        <w:ind w:firstLine="0"/>
        <w:jc w:val="both"/>
      </w:pPr>
      <w:r>
        <w:rPr>
          <w:rFonts w:ascii="Times New Roman" w:hAnsi="Times New Roman"/>
          <w:b w:val="0"/>
          <w:i w:val="0"/>
          <w:sz w:val="24"/>
          <w:u w:val="none"/>
        </w:rPr>
        <w:t>Table 11.2 presents the full performance comparison across all evaluated classifiers. Results are on the held-out test set of 16,372 examples.</w:t>
      </w:r>
    </w:p>
    <w:tbl>
      <w:tblPr>
        <w:tblStyle w:val="TableGrid"/>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tcPr>
          <w:p>
            <w:pPr>
              <w:jc w:val="center"/>
            </w:pPr>
            <w:r>
              <w:rPr>
                <w:rFonts w:ascii="Times New Roman" w:hAnsi="Times New Roman"/>
                <w:b/>
                <w:i w:val="0"/>
                <w:sz w:val="22"/>
                <w:u w:val="none"/>
              </w:rPr>
              <w:t>Model</w:t>
            </w:r>
          </w:p>
        </w:tc>
        <w:tc>
          <w:tcPr>
            <w:tcW w:type="dxa" w:w="1238"/>
          </w:tcPr>
          <w:p>
            <w:pPr>
              <w:jc w:val="center"/>
            </w:pPr>
            <w:r>
              <w:rPr>
                <w:rFonts w:ascii="Times New Roman" w:hAnsi="Times New Roman"/>
                <w:b/>
                <w:i w:val="0"/>
                <w:sz w:val="22"/>
                <w:u w:val="none"/>
              </w:rPr>
              <w:t>Acc.</w:t>
            </w:r>
          </w:p>
        </w:tc>
        <w:tc>
          <w:tcPr>
            <w:tcW w:type="dxa" w:w="1238"/>
          </w:tcPr>
          <w:p>
            <w:pPr>
              <w:jc w:val="center"/>
            </w:pPr>
            <w:r>
              <w:rPr>
                <w:rFonts w:ascii="Times New Roman" w:hAnsi="Times New Roman"/>
                <w:b/>
                <w:i w:val="0"/>
                <w:sz w:val="22"/>
                <w:u w:val="none"/>
              </w:rPr>
              <w:t>Prec.</w:t>
            </w:r>
          </w:p>
        </w:tc>
        <w:tc>
          <w:tcPr>
            <w:tcW w:type="dxa" w:w="1238"/>
          </w:tcPr>
          <w:p>
            <w:pPr>
              <w:jc w:val="center"/>
            </w:pPr>
            <w:r>
              <w:rPr>
                <w:rFonts w:ascii="Times New Roman" w:hAnsi="Times New Roman"/>
                <w:b/>
                <w:i w:val="0"/>
                <w:sz w:val="22"/>
                <w:u w:val="none"/>
              </w:rPr>
              <w:t>Recall</w:t>
            </w:r>
          </w:p>
        </w:tc>
        <w:tc>
          <w:tcPr>
            <w:tcW w:type="dxa" w:w="1238"/>
          </w:tcPr>
          <w:p>
            <w:pPr>
              <w:jc w:val="center"/>
            </w:pPr>
            <w:r>
              <w:rPr>
                <w:rFonts w:ascii="Times New Roman" w:hAnsi="Times New Roman"/>
                <w:b/>
                <w:i w:val="0"/>
                <w:sz w:val="22"/>
                <w:u w:val="none"/>
              </w:rPr>
              <w:t>F1</w:t>
            </w:r>
          </w:p>
        </w:tc>
        <w:tc>
          <w:tcPr>
            <w:tcW w:type="dxa" w:w="1238"/>
          </w:tcPr>
          <w:p>
            <w:pPr>
              <w:jc w:val="center"/>
            </w:pPr>
            <w:r>
              <w:rPr>
                <w:rFonts w:ascii="Times New Roman" w:hAnsi="Times New Roman"/>
                <w:b/>
                <w:i w:val="0"/>
                <w:sz w:val="22"/>
                <w:u w:val="none"/>
              </w:rPr>
              <w:t>Top-3 Acc.</w:t>
            </w:r>
          </w:p>
        </w:tc>
        <w:tc>
          <w:tcPr>
            <w:tcW w:type="dxa" w:w="1238"/>
          </w:tcPr>
          <w:p>
            <w:pPr>
              <w:jc w:val="center"/>
            </w:pPr>
            <w:r>
              <w:rPr>
                <w:rFonts w:ascii="Times New Roman" w:hAnsi="Times New Roman"/>
                <w:b/>
                <w:i w:val="0"/>
                <w:sz w:val="22"/>
                <w:u w:val="none"/>
              </w:rPr>
              <w:t>Latency (μs)</w:t>
            </w:r>
          </w:p>
        </w:tc>
      </w:tr>
      <w:tr>
        <w:tc>
          <w:tcPr>
            <w:tcW w:type="dxa" w:w="1238"/>
          </w:tcPr>
          <w:p>
            <w:pPr>
              <w:jc w:val="center"/>
            </w:pPr>
            <w:r>
              <w:rPr>
                <w:rFonts w:ascii="Times New Roman" w:hAnsi="Times New Roman"/>
                <w:b/>
                <w:i w:val="0"/>
                <w:color w:val="007000"/>
                <w:sz w:val="22"/>
                <w:u w:val="none"/>
              </w:rPr>
              <w:t>Logistic Regression</w:t>
            </w:r>
          </w:p>
        </w:tc>
        <w:tc>
          <w:tcPr>
            <w:tcW w:type="dxa" w:w="1238"/>
          </w:tcPr>
          <w:p>
            <w:pPr>
              <w:jc w:val="center"/>
            </w:pPr>
            <w:r>
              <w:rPr>
                <w:rFonts w:ascii="Times New Roman" w:hAnsi="Times New Roman"/>
                <w:b/>
                <w:i w:val="0"/>
                <w:color w:val="007000"/>
                <w:sz w:val="22"/>
                <w:u w:val="none"/>
              </w:rPr>
              <w:t>0.8436</w:t>
            </w:r>
          </w:p>
        </w:tc>
        <w:tc>
          <w:tcPr>
            <w:tcW w:type="dxa" w:w="1238"/>
          </w:tcPr>
          <w:p>
            <w:pPr>
              <w:jc w:val="center"/>
            </w:pPr>
            <w:r>
              <w:rPr>
                <w:rFonts w:ascii="Times New Roman" w:hAnsi="Times New Roman"/>
                <w:b/>
                <w:i w:val="0"/>
                <w:color w:val="007000"/>
                <w:sz w:val="22"/>
                <w:u w:val="none"/>
              </w:rPr>
              <w:t>0.8507</w:t>
            </w:r>
          </w:p>
        </w:tc>
        <w:tc>
          <w:tcPr>
            <w:tcW w:type="dxa" w:w="1238"/>
          </w:tcPr>
          <w:p>
            <w:pPr>
              <w:jc w:val="center"/>
            </w:pPr>
            <w:r>
              <w:rPr>
                <w:rFonts w:ascii="Times New Roman" w:hAnsi="Times New Roman"/>
                <w:b/>
                <w:i w:val="0"/>
                <w:color w:val="007000"/>
                <w:sz w:val="22"/>
                <w:u w:val="none"/>
              </w:rPr>
              <w:t>0.8436</w:t>
            </w:r>
          </w:p>
        </w:tc>
        <w:tc>
          <w:tcPr>
            <w:tcW w:type="dxa" w:w="1238"/>
          </w:tcPr>
          <w:p>
            <w:pPr>
              <w:jc w:val="center"/>
            </w:pPr>
            <w:r>
              <w:rPr>
                <w:rFonts w:ascii="Times New Roman" w:hAnsi="Times New Roman"/>
                <w:b/>
                <w:i w:val="0"/>
                <w:color w:val="007000"/>
                <w:sz w:val="22"/>
                <w:u w:val="none"/>
              </w:rPr>
              <w:t>0.8447</w:t>
            </w:r>
          </w:p>
        </w:tc>
        <w:tc>
          <w:tcPr>
            <w:tcW w:type="dxa" w:w="1238"/>
          </w:tcPr>
          <w:p>
            <w:pPr>
              <w:jc w:val="center"/>
            </w:pPr>
            <w:r>
              <w:rPr>
                <w:rFonts w:ascii="Times New Roman" w:hAnsi="Times New Roman"/>
                <w:b/>
                <w:i w:val="0"/>
                <w:color w:val="007000"/>
                <w:sz w:val="22"/>
                <w:u w:val="none"/>
              </w:rPr>
              <w:t>0.9578</w:t>
            </w:r>
          </w:p>
        </w:tc>
        <w:tc>
          <w:tcPr>
            <w:tcW w:type="dxa" w:w="1238"/>
          </w:tcPr>
          <w:p>
            <w:pPr>
              <w:jc w:val="center"/>
            </w:pPr>
            <w:r>
              <w:rPr>
                <w:rFonts w:ascii="Times New Roman" w:hAnsi="Times New Roman"/>
                <w:b/>
                <w:i w:val="0"/>
                <w:color w:val="007000"/>
                <w:sz w:val="22"/>
                <w:u w:val="none"/>
              </w:rPr>
              <w:t>4.5</w:t>
            </w:r>
          </w:p>
        </w:tc>
      </w:tr>
      <w:tr>
        <w:tc>
          <w:tcPr>
            <w:tcW w:type="dxa" w:w="1238"/>
          </w:tcPr>
          <w:p>
            <w:pPr>
              <w:jc w:val="center"/>
            </w:pPr>
            <w:r>
              <w:rPr>
                <w:rFonts w:ascii="Times New Roman" w:hAnsi="Times New Roman"/>
                <w:b w:val="0"/>
                <w:i w:val="0"/>
                <w:sz w:val="22"/>
                <w:u w:val="none"/>
              </w:rPr>
              <w:t>Naive Bayes</w:t>
            </w:r>
          </w:p>
        </w:tc>
        <w:tc>
          <w:tcPr>
            <w:tcW w:type="dxa" w:w="1238"/>
          </w:tcPr>
          <w:p>
            <w:pPr>
              <w:jc w:val="center"/>
            </w:pPr>
            <w:r>
              <w:rPr>
                <w:rFonts w:ascii="Times New Roman" w:hAnsi="Times New Roman"/>
                <w:b w:val="0"/>
                <w:i w:val="0"/>
                <w:sz w:val="22"/>
                <w:u w:val="none"/>
              </w:rPr>
              <w:t>0.8051</w:t>
            </w:r>
          </w:p>
        </w:tc>
        <w:tc>
          <w:tcPr>
            <w:tcW w:type="dxa" w:w="1238"/>
          </w:tcPr>
          <w:p>
            <w:pPr>
              <w:jc w:val="center"/>
            </w:pPr>
            <w:r>
              <w:rPr>
                <w:rFonts w:ascii="Times New Roman" w:hAnsi="Times New Roman"/>
                <w:b w:val="0"/>
                <w:i w:val="0"/>
                <w:sz w:val="22"/>
                <w:u w:val="none"/>
              </w:rPr>
              <w:t>0.8389</w:t>
            </w:r>
          </w:p>
        </w:tc>
        <w:tc>
          <w:tcPr>
            <w:tcW w:type="dxa" w:w="1238"/>
          </w:tcPr>
          <w:p>
            <w:pPr>
              <w:jc w:val="center"/>
            </w:pPr>
            <w:r>
              <w:rPr>
                <w:rFonts w:ascii="Times New Roman" w:hAnsi="Times New Roman"/>
                <w:b w:val="0"/>
                <w:i w:val="0"/>
                <w:sz w:val="22"/>
                <w:u w:val="none"/>
              </w:rPr>
              <w:t>0.8051</w:t>
            </w:r>
          </w:p>
        </w:tc>
        <w:tc>
          <w:tcPr>
            <w:tcW w:type="dxa" w:w="1238"/>
          </w:tcPr>
          <w:p>
            <w:pPr>
              <w:jc w:val="center"/>
            </w:pPr>
            <w:r>
              <w:rPr>
                <w:rFonts w:ascii="Times New Roman" w:hAnsi="Times New Roman"/>
                <w:b w:val="0"/>
                <w:i w:val="0"/>
                <w:sz w:val="22"/>
                <w:u w:val="none"/>
              </w:rPr>
              <w:t>0.7989</w:t>
            </w:r>
          </w:p>
        </w:tc>
        <w:tc>
          <w:tcPr>
            <w:tcW w:type="dxa" w:w="1238"/>
          </w:tcPr>
          <w:p>
            <w:pPr>
              <w:jc w:val="center"/>
            </w:pPr>
            <w:r>
              <w:rPr>
                <w:rFonts w:ascii="Times New Roman" w:hAnsi="Times New Roman"/>
                <w:b w:val="0"/>
                <w:i w:val="0"/>
                <w:sz w:val="22"/>
                <w:u w:val="none"/>
              </w:rPr>
              <w:t>0.9438</w:t>
            </w:r>
          </w:p>
        </w:tc>
        <w:tc>
          <w:tcPr>
            <w:tcW w:type="dxa" w:w="1238"/>
          </w:tcPr>
          <w:p>
            <w:pPr>
              <w:jc w:val="center"/>
            </w:pPr>
            <w:r>
              <w:rPr>
                <w:rFonts w:ascii="Times New Roman" w:hAnsi="Times New Roman"/>
                <w:b w:val="0"/>
                <w:i w:val="0"/>
                <w:sz w:val="22"/>
                <w:u w:val="none"/>
              </w:rPr>
              <w:t>4.7</w:t>
            </w:r>
          </w:p>
        </w:tc>
      </w:tr>
      <w:tr>
        <w:tc>
          <w:tcPr>
            <w:tcW w:type="dxa" w:w="1238"/>
          </w:tcPr>
          <w:p>
            <w:pPr>
              <w:jc w:val="center"/>
            </w:pPr>
            <w:r>
              <w:rPr>
                <w:rFonts w:ascii="Times New Roman" w:hAnsi="Times New Roman"/>
                <w:b w:val="0"/>
                <w:i w:val="0"/>
                <w:sz w:val="22"/>
                <w:u w:val="none"/>
              </w:rPr>
              <w:t>Decision Tree</w:t>
            </w:r>
          </w:p>
        </w:tc>
        <w:tc>
          <w:tcPr>
            <w:tcW w:type="dxa" w:w="1238"/>
          </w:tcPr>
          <w:p>
            <w:pPr>
              <w:jc w:val="center"/>
            </w:pPr>
            <w:r>
              <w:rPr>
                <w:rFonts w:ascii="Times New Roman" w:hAnsi="Times New Roman"/>
                <w:b w:val="0"/>
                <w:i w:val="0"/>
                <w:sz w:val="22"/>
                <w:u w:val="none"/>
              </w:rPr>
              <w:t>0.1527</w:t>
            </w:r>
          </w:p>
        </w:tc>
        <w:tc>
          <w:tcPr>
            <w:tcW w:type="dxa" w:w="1238"/>
          </w:tcPr>
          <w:p>
            <w:pPr>
              <w:jc w:val="center"/>
            </w:pPr>
            <w:r>
              <w:rPr>
                <w:rFonts w:ascii="Times New Roman" w:hAnsi="Times New Roman"/>
                <w:b w:val="0"/>
                <w:i w:val="0"/>
                <w:sz w:val="22"/>
                <w:u w:val="none"/>
              </w:rPr>
              <w:t>0.2147</w:t>
            </w:r>
          </w:p>
        </w:tc>
        <w:tc>
          <w:tcPr>
            <w:tcW w:type="dxa" w:w="1238"/>
          </w:tcPr>
          <w:p>
            <w:pPr>
              <w:jc w:val="center"/>
            </w:pPr>
            <w:r>
              <w:rPr>
                <w:rFonts w:ascii="Times New Roman" w:hAnsi="Times New Roman"/>
                <w:b w:val="0"/>
                <w:i w:val="0"/>
                <w:sz w:val="22"/>
                <w:u w:val="none"/>
              </w:rPr>
              <w:t>0.1527</w:t>
            </w:r>
          </w:p>
        </w:tc>
        <w:tc>
          <w:tcPr>
            <w:tcW w:type="dxa" w:w="1238"/>
          </w:tcPr>
          <w:p>
            <w:pPr>
              <w:jc w:val="center"/>
            </w:pPr>
            <w:r>
              <w:rPr>
                <w:rFonts w:ascii="Times New Roman" w:hAnsi="Times New Roman"/>
                <w:b w:val="0"/>
                <w:i w:val="0"/>
                <w:sz w:val="22"/>
                <w:u w:val="none"/>
              </w:rPr>
              <w:t>0.1538</w:t>
            </w:r>
          </w:p>
        </w:tc>
        <w:tc>
          <w:tcPr>
            <w:tcW w:type="dxa" w:w="1238"/>
          </w:tcPr>
          <w:p>
            <w:pPr>
              <w:jc w:val="center"/>
            </w:pPr>
            <w:r>
              <w:rPr>
                <w:rFonts w:ascii="Times New Roman" w:hAnsi="Times New Roman"/>
                <w:b w:val="0"/>
                <w:i w:val="0"/>
                <w:sz w:val="22"/>
                <w:u w:val="none"/>
              </w:rPr>
              <w:t>0.2142</w:t>
            </w:r>
          </w:p>
        </w:tc>
        <w:tc>
          <w:tcPr>
            <w:tcW w:type="dxa" w:w="1238"/>
          </w:tcPr>
          <w:p>
            <w:pPr>
              <w:jc w:val="center"/>
            </w:pPr>
            <w:r>
              <w:rPr>
                <w:rFonts w:ascii="Times New Roman" w:hAnsi="Times New Roman"/>
                <w:b w:val="0"/>
                <w:i w:val="0"/>
                <w:sz w:val="22"/>
                <w:u w:val="none"/>
              </w:rPr>
              <w:t>2.7</w:t>
            </w:r>
          </w:p>
        </w:tc>
      </w:tr>
      <w:tr>
        <w:tc>
          <w:tcPr>
            <w:tcW w:type="dxa" w:w="1238"/>
          </w:tcPr>
          <w:p>
            <w:pPr>
              <w:jc w:val="center"/>
            </w:pPr>
            <w:r>
              <w:rPr>
                <w:rFonts w:ascii="Times New Roman" w:hAnsi="Times New Roman"/>
                <w:b w:val="0"/>
                <w:i w:val="0"/>
                <w:sz w:val="22"/>
                <w:u w:val="none"/>
              </w:rPr>
              <w:t>XGBoost</w:t>
            </w:r>
          </w:p>
        </w:tc>
        <w:tc>
          <w:tcPr>
            <w:tcW w:type="dxa" w:w="1238"/>
          </w:tcPr>
          <w:p>
            <w:pPr>
              <w:jc w:val="center"/>
            </w:pPr>
            <w:r>
              <w:rPr>
                <w:rFonts w:ascii="Times New Roman" w:hAnsi="Times New Roman"/>
                <w:b w:val="0"/>
                <w:i w:val="0"/>
                <w:sz w:val="22"/>
                <w:u w:val="none"/>
              </w:rPr>
              <w:t>0.0715</w:t>
            </w:r>
          </w:p>
        </w:tc>
        <w:tc>
          <w:tcPr>
            <w:tcW w:type="dxa" w:w="1238"/>
          </w:tcPr>
          <w:p>
            <w:pPr>
              <w:jc w:val="center"/>
            </w:pPr>
            <w:r>
              <w:rPr>
                <w:rFonts w:ascii="Times New Roman" w:hAnsi="Times New Roman"/>
                <w:b w:val="0"/>
                <w:i w:val="0"/>
                <w:sz w:val="22"/>
                <w:u w:val="none"/>
              </w:rPr>
              <w:t>0.0486</w:t>
            </w:r>
          </w:p>
        </w:tc>
        <w:tc>
          <w:tcPr>
            <w:tcW w:type="dxa" w:w="1238"/>
          </w:tcPr>
          <w:p>
            <w:pPr>
              <w:jc w:val="center"/>
            </w:pPr>
            <w:r>
              <w:rPr>
                <w:rFonts w:ascii="Times New Roman" w:hAnsi="Times New Roman"/>
                <w:b w:val="0"/>
                <w:i w:val="0"/>
                <w:sz w:val="22"/>
                <w:u w:val="none"/>
              </w:rPr>
              <w:t>0.0715</w:t>
            </w:r>
          </w:p>
        </w:tc>
        <w:tc>
          <w:tcPr>
            <w:tcW w:type="dxa" w:w="1238"/>
          </w:tcPr>
          <w:p>
            <w:pPr>
              <w:jc w:val="center"/>
            </w:pPr>
            <w:r>
              <w:rPr>
                <w:rFonts w:ascii="Times New Roman" w:hAnsi="Times New Roman"/>
                <w:b w:val="0"/>
                <w:i w:val="0"/>
                <w:sz w:val="22"/>
                <w:u w:val="none"/>
              </w:rPr>
              <w:t>0.0312</w:t>
            </w:r>
          </w:p>
        </w:tc>
        <w:tc>
          <w:tcPr>
            <w:tcW w:type="dxa" w:w="1238"/>
          </w:tcPr>
          <w:p>
            <w:pPr>
              <w:jc w:val="center"/>
            </w:pPr>
            <w:r>
              <w:rPr>
                <w:rFonts w:ascii="Times New Roman" w:hAnsi="Times New Roman"/>
                <w:b w:val="0"/>
                <w:i w:val="0"/>
                <w:sz w:val="22"/>
                <w:u w:val="none"/>
              </w:rPr>
              <w:t>0.0885</w:t>
            </w:r>
          </w:p>
        </w:tc>
        <w:tc>
          <w:tcPr>
            <w:tcW w:type="dxa" w:w="1238"/>
          </w:tcPr>
          <w:p>
            <w:pPr>
              <w:jc w:val="center"/>
            </w:pPr>
            <w:r>
              <w:rPr>
                <w:rFonts w:ascii="Times New Roman" w:hAnsi="Times New Roman"/>
                <w:b w:val="0"/>
                <w:i w:val="0"/>
                <w:sz w:val="22"/>
                <w:u w:val="none"/>
              </w:rPr>
              <w:t>246.9</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11.2 – Full Classifier Performance Comparison (Held-Out Test Set)</w:t>
      </w:r>
    </w:p>
    <w:p>
      <w:pPr>
        <w:spacing w:before="200" w:after="60" w:line="360" w:lineRule="exact"/>
        <w:jc w:val="left"/>
      </w:pPr>
      <w:r>
        <w:rPr>
          <w:rFonts w:ascii="Times New Roman" w:hAnsi="Times New Roman"/>
          <w:b/>
          <w:i/>
          <w:sz w:val="24"/>
          <w:u w:val="none"/>
        </w:rPr>
        <w:t>11.2.1  Why Logistic Regression Outperformed All Alternatives</w:t>
      </w:r>
    </w:p>
    <w:p>
      <w:pPr>
        <w:spacing w:before="0" w:after="160" w:line="360" w:lineRule="exact"/>
        <w:ind w:firstLine="432"/>
        <w:jc w:val="both"/>
      </w:pPr>
      <w:r>
        <w:rPr>
          <w:rFonts w:ascii="Times New Roman" w:hAnsi="Times New Roman"/>
          <w:b w:val="0"/>
          <w:i w:val="0"/>
          <w:sz w:val="24"/>
          <w:u w:val="none"/>
        </w:rPr>
        <w:t>The dominance of Logistic Regression in this evaluation is not coincidental—it is a consequence of the feature geometry. TF-IDF vectors are extremely sparse and high-dimensional (~47,000 features). In this regime, the optimal decision boundary is approximately linear because the sparse features are nearly orthogonal, meaning each symptom term contributes independently to the classification decision. Logistic Regression is designed precisely for this setting: its L2-regularised linear weights find the optimal hyperplane separating classes in high-dimensional sparse space.</w:t>
      </w:r>
    </w:p>
    <w:p>
      <w:pPr>
        <w:spacing w:before="0" w:after="160" w:line="360" w:lineRule="exact"/>
        <w:ind w:firstLine="432"/>
        <w:jc w:val="both"/>
      </w:pPr>
      <w:r>
        <w:rPr>
          <w:rFonts w:ascii="Times New Roman" w:hAnsi="Times New Roman"/>
          <w:b w:val="0"/>
          <w:i w:val="0"/>
          <w:sz w:val="24"/>
          <w:u w:val="none"/>
        </w:rPr>
        <w:t>Tree-based models fail in this setting because each tree node only examines a subset of features, and in a 47,000-dimensional sparse space, the probability of selecting a discriminative feature at any given node is very low. XGBoost's additional complexity—boosting hundreds of weak trees—amplifies this problem rather than solving it, resulting in worse performance than even a single Decision Tree. This result reinforces the conclusion of Wang and Manning (2012) and confirms that for medical text classification with TF-IDF features, classical linear models remain the appropriate choice.</w:t>
      </w:r>
    </w:p>
    <w:p>
      <w:pPr>
        <w:spacing w:before="120" w:after="40"/>
        <w:jc w:val="center"/>
      </w:pPr>
      <w:r>
        <w:drawing>
          <wp:inline xmlns:a="http://schemas.openxmlformats.org/drawingml/2006/main" xmlns:pic="http://schemas.openxmlformats.org/drawingml/2006/picture">
            <wp:extent cx="4754880" cy="2852928"/>
            <wp:docPr id="1" name="Picture 1"/>
            <wp:cNvGraphicFramePr>
              <a:graphicFrameLocks noChangeAspect="1"/>
            </wp:cNvGraphicFramePr>
            <a:graphic>
              <a:graphicData uri="http://schemas.openxmlformats.org/drawingml/2006/picture">
                <pic:pic>
                  <pic:nvPicPr>
                    <pic:cNvPr id="0" name="model_f1_comparison.png"/>
                    <pic:cNvPicPr/>
                  </pic:nvPicPr>
                  <pic:blipFill>
                    <a:blip r:embed="rId9"/>
                    <a:stretch>
                      <a:fillRect/>
                    </a:stretch>
                  </pic:blipFill>
                  <pic:spPr>
                    <a:xfrm>
                      <a:off x="0" y="0"/>
                      <a:ext cx="4754880" cy="2852928"/>
                    </a:xfrm>
                    <a:prstGeom prst="rect"/>
                  </pic:spPr>
                </pic:pic>
              </a:graphicData>
            </a:graphic>
          </wp:inline>
        </w:drawing>
      </w:r>
    </w:p>
    <w:p>
      <w:pPr>
        <w:spacing w:before="80" w:after="240"/>
        <w:jc w:val="center"/>
      </w:pPr>
      <w:r>
        <w:rPr>
          <w:rFonts w:ascii="Times New Roman" w:hAnsi="Times New Roman"/>
          <w:b w:val="0"/>
          <w:i/>
          <w:sz w:val="22"/>
          <w:u w:val="none"/>
        </w:rPr>
        <w:t>Figure 11.1 – F1-Score Comparison Across All Evaluated Classifiers</w:t>
      </w:r>
    </w:p>
    <w:p>
      <w:pPr>
        <w:spacing w:before="120" w:after="40"/>
        <w:jc w:val="center"/>
      </w:pPr>
      <w:r>
        <w:drawing>
          <wp:inline xmlns:a="http://schemas.openxmlformats.org/drawingml/2006/main" xmlns:pic="http://schemas.openxmlformats.org/drawingml/2006/picture">
            <wp:extent cx="4754880" cy="2852928"/>
            <wp:docPr id="2" name="Picture 2"/>
            <wp:cNvGraphicFramePr>
              <a:graphicFrameLocks noChangeAspect="1"/>
            </wp:cNvGraphicFramePr>
            <a:graphic>
              <a:graphicData uri="http://schemas.openxmlformats.org/drawingml/2006/picture">
                <pic:pic>
                  <pic:nvPicPr>
                    <pic:cNvPr id="0" name="model_latency_comparison.png"/>
                    <pic:cNvPicPr/>
                  </pic:nvPicPr>
                  <pic:blipFill>
                    <a:blip r:embed="rId10"/>
                    <a:stretch>
                      <a:fillRect/>
                    </a:stretch>
                  </pic:blipFill>
                  <pic:spPr>
                    <a:xfrm>
                      <a:off x="0" y="0"/>
                      <a:ext cx="4754880" cy="2852928"/>
                    </a:xfrm>
                    <a:prstGeom prst="rect"/>
                  </pic:spPr>
                </pic:pic>
              </a:graphicData>
            </a:graphic>
          </wp:inline>
        </w:drawing>
      </w:r>
    </w:p>
    <w:p>
      <w:pPr>
        <w:spacing w:before="80" w:after="240"/>
        <w:jc w:val="center"/>
      </w:pPr>
      <w:r>
        <w:rPr>
          <w:rFonts w:ascii="Times New Roman" w:hAnsi="Times New Roman"/>
          <w:b w:val="0"/>
          <w:i/>
          <w:sz w:val="22"/>
          <w:u w:val="none"/>
        </w:rPr>
        <w:t>Figure 11.2 – Inference Latency Comparison (Microseconds per Sample)</w:t>
      </w:r>
    </w:p>
    <w:p>
      <w:pPr>
        <w:spacing w:before="0" w:after="160" w:line="360" w:lineRule="exact"/>
        <w:ind w:firstLine="432"/>
        <w:jc w:val="both"/>
      </w:pPr>
      <w:r>
        <w:rPr>
          <w:rFonts w:ascii="Times New Roman" w:hAnsi="Times New Roman"/>
          <w:b w:val="0"/>
          <w:i w:val="0"/>
          <w:sz w:val="24"/>
          <w:u w:val="none"/>
        </w:rPr>
        <w:t>Figure 11.2 highlights an additional practical advantage of Logistic Regression: its per-sample inference latency is approximately 4.5 microseconds, compared to 246.9 microseconds for XGBoost. For a real-time interactive application, this difference is meaningful—it means the Logistic Regression model contributes negligible latency to the overall response time, whereas XGBoost would introduce a noticeable delay at scale.</w:t>
      </w:r>
    </w:p>
    <w:p>
      <w:pPr>
        <w:spacing w:before="280" w:after="80" w:line="360" w:lineRule="exact"/>
        <w:jc w:val="left"/>
      </w:pPr>
      <w:r>
        <w:rPr>
          <w:rFonts w:ascii="Times New Roman" w:hAnsi="Times New Roman"/>
          <w:b/>
          <w:i w:val="0"/>
          <w:sz w:val="26"/>
          <w:u w:val="none"/>
        </w:rPr>
        <w:t>11.3  Before vs. After Safety Architecture Comparison</w:t>
      </w:r>
    </w:p>
    <w:p>
      <w:pPr>
        <w:spacing w:before="0" w:after="160" w:line="360" w:lineRule="exact"/>
        <w:ind w:firstLine="432"/>
        <w:jc w:val="both"/>
      </w:pPr>
      <w:r>
        <w:rPr>
          <w:rFonts w:ascii="Times New Roman" w:hAnsi="Times New Roman"/>
          <w:b w:val="0"/>
          <w:i w:val="0"/>
          <w:sz w:val="24"/>
          <w:u w:val="none"/>
        </w:rPr>
        <w:t>Figure 11.3 presents the visual before-vs-after comparison for the three key safety metrics. The explicit value annotations make clear that the 'After' bars for MER and Implausible Predictions are genuine zeroes, not missing data.</w:t>
      </w:r>
    </w:p>
    <w:p>
      <w:pPr>
        <w:spacing w:before="120" w:after="40"/>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before_after_safety.png"/>
                    <pic:cNvPicPr/>
                  </pic:nvPicPr>
                  <pic:blipFill>
                    <a:blip r:embed="rId11"/>
                    <a:stretch>
                      <a:fillRect/>
                    </a:stretch>
                  </pic:blipFill>
                  <pic:spPr>
                    <a:xfrm>
                      <a:off x="0" y="0"/>
                      <a:ext cx="5029200" cy="3017520"/>
                    </a:xfrm>
                    <a:prstGeom prst="rect"/>
                  </pic:spPr>
                </pic:pic>
              </a:graphicData>
            </a:graphic>
          </wp:inline>
        </w:drawing>
      </w:r>
    </w:p>
    <w:p>
      <w:pPr>
        <w:spacing w:before="80" w:after="240"/>
        <w:jc w:val="center"/>
      </w:pPr>
      <w:r>
        <w:rPr>
          <w:rFonts w:ascii="Times New Roman" w:hAnsi="Times New Roman"/>
          <w:b w:val="0"/>
          <w:i/>
          <w:sz w:val="22"/>
          <w:u w:val="none"/>
        </w:rPr>
        <w:t>Figure 11.3 – Safety Metrics Before vs. After Hybrid Architecture (Annotated Bar Chart)</w:t>
      </w:r>
    </w:p>
    <w:p>
      <w:pPr>
        <w:spacing w:before="0" w:after="120" w:line="360" w:lineRule="exact"/>
        <w:ind w:firstLine="0"/>
        <w:jc w:val="both"/>
      </w:pPr>
      <w:r>
        <w:rPr>
          <w:rFonts w:ascii="Times New Roman" w:hAnsi="Times New Roman"/>
          <w:b w:val="0"/>
          <w:i w:val="0"/>
          <w:sz w:val="24"/>
          <w:u w:val="none"/>
        </w:rPr>
        <w:t>Table 11.3 provides the specific failure scenarios resolved by the safety architecture, mapping each original failure case to the architectural component that resolves it.</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Failure Scenario</w:t>
            </w:r>
          </w:p>
        </w:tc>
        <w:tc>
          <w:tcPr>
            <w:tcW w:type="dxa" w:w="2890"/>
          </w:tcPr>
          <w:p>
            <w:pPr>
              <w:jc w:val="center"/>
            </w:pPr>
            <w:r>
              <w:rPr>
                <w:rFonts w:ascii="Times New Roman" w:hAnsi="Times New Roman"/>
                <w:b/>
                <w:i w:val="0"/>
                <w:sz w:val="22"/>
                <w:u w:val="none"/>
              </w:rPr>
              <w:t>Baseline Prediction</w:t>
            </w:r>
          </w:p>
        </w:tc>
        <w:tc>
          <w:tcPr>
            <w:tcW w:type="dxa" w:w="2890"/>
          </w:tcPr>
          <w:p>
            <w:pPr>
              <w:jc w:val="center"/>
            </w:pPr>
            <w:r>
              <w:rPr>
                <w:rFonts w:ascii="Times New Roman" w:hAnsi="Times New Roman"/>
                <w:b/>
                <w:i w:val="0"/>
                <w:sz w:val="22"/>
                <w:u w:val="none"/>
              </w:rPr>
              <w:t>After Fix</w:t>
            </w:r>
          </w:p>
        </w:tc>
      </w:tr>
      <w:tr>
        <w:tc>
          <w:tcPr>
            <w:tcW w:type="dxa" w:w="2890"/>
          </w:tcPr>
          <w:p>
            <w:pPr>
              <w:jc w:val="center"/>
            </w:pPr>
            <w:r>
              <w:rPr>
                <w:rFonts w:ascii="Times New Roman" w:hAnsi="Times New Roman"/>
                <w:b w:val="0"/>
                <w:i w:val="0"/>
                <w:sz w:val="22"/>
                <w:u w:val="none"/>
              </w:rPr>
              <w:t>Stroke symptoms (slurred speech, facial droop)</w:t>
            </w:r>
          </w:p>
        </w:tc>
        <w:tc>
          <w:tcPr>
            <w:tcW w:type="dxa" w:w="2890"/>
          </w:tcPr>
          <w:p>
            <w:pPr>
              <w:jc w:val="center"/>
            </w:pPr>
            <w:r>
              <w:rPr>
                <w:rFonts w:ascii="Times New Roman" w:hAnsi="Times New Roman"/>
                <w:b w:val="0"/>
                <w:i w:val="0"/>
                <w:sz w:val="22"/>
                <w:u w:val="none"/>
              </w:rPr>
              <w:t>Bell Palsy (85% conf.)</w:t>
            </w:r>
          </w:p>
        </w:tc>
        <w:tc>
          <w:tcPr>
            <w:tcW w:type="dxa" w:w="2890"/>
          </w:tcPr>
          <w:p>
            <w:pPr>
              <w:jc w:val="center"/>
            </w:pPr>
            <w:r>
              <w:rPr>
                <w:rFonts w:ascii="Times New Roman" w:hAnsi="Times New Roman"/>
                <w:b w:val="0"/>
                <w:i w:val="0"/>
                <w:sz w:val="22"/>
                <w:u w:val="none"/>
              </w:rPr>
              <w:t>IMMEDIATE ESCALATION (Neurological Emergency)</w:t>
            </w:r>
          </w:p>
        </w:tc>
      </w:tr>
      <w:tr>
        <w:tc>
          <w:tcPr>
            <w:tcW w:type="dxa" w:w="2890"/>
          </w:tcPr>
          <w:p>
            <w:pPr>
              <w:jc w:val="center"/>
            </w:pPr>
            <w:r>
              <w:rPr>
                <w:rFonts w:ascii="Times New Roman" w:hAnsi="Times New Roman"/>
                <w:b w:val="0"/>
                <w:i w:val="0"/>
                <w:sz w:val="22"/>
                <w:u w:val="none"/>
              </w:rPr>
              <w:t>Hemoptysis + breathing difficulty</w:t>
            </w:r>
          </w:p>
        </w:tc>
        <w:tc>
          <w:tcPr>
            <w:tcW w:type="dxa" w:w="2890"/>
          </w:tcPr>
          <w:p>
            <w:pPr>
              <w:jc w:val="center"/>
            </w:pPr>
            <w:r>
              <w:rPr>
                <w:rFonts w:ascii="Times New Roman" w:hAnsi="Times New Roman"/>
                <w:b w:val="0"/>
                <w:i w:val="0"/>
                <w:sz w:val="22"/>
                <w:u w:val="none"/>
              </w:rPr>
              <w:t>Asthma (72% conf.)</w:t>
            </w:r>
          </w:p>
        </w:tc>
        <w:tc>
          <w:tcPr>
            <w:tcW w:type="dxa" w:w="2890"/>
          </w:tcPr>
          <w:p>
            <w:pPr>
              <w:jc w:val="center"/>
            </w:pPr>
            <w:r>
              <w:rPr>
                <w:rFonts w:ascii="Times New Roman" w:hAnsi="Times New Roman"/>
                <w:b w:val="0"/>
                <w:i w:val="0"/>
                <w:sz w:val="22"/>
                <w:u w:val="none"/>
              </w:rPr>
              <w:t>IMMEDIATE ESCALATION (Respiratory Emergency)</w:t>
            </w:r>
          </w:p>
        </w:tc>
      </w:tr>
      <w:tr>
        <w:tc>
          <w:tcPr>
            <w:tcW w:type="dxa" w:w="2890"/>
          </w:tcPr>
          <w:p>
            <w:pPr>
              <w:jc w:val="center"/>
            </w:pPr>
            <w:r>
              <w:rPr>
                <w:rFonts w:ascii="Times New Roman" w:hAnsi="Times New Roman"/>
                <w:b w:val="0"/>
                <w:i w:val="0"/>
                <w:sz w:val="22"/>
                <w:u w:val="none"/>
              </w:rPr>
              <w:t>High fever + stiff neck + confusion</w:t>
            </w:r>
          </w:p>
        </w:tc>
        <w:tc>
          <w:tcPr>
            <w:tcW w:type="dxa" w:w="2890"/>
          </w:tcPr>
          <w:p>
            <w:pPr>
              <w:jc w:val="center"/>
            </w:pPr>
            <w:r>
              <w:rPr>
                <w:rFonts w:ascii="Times New Roman" w:hAnsi="Times New Roman"/>
                <w:b w:val="0"/>
                <w:i w:val="0"/>
                <w:sz w:val="22"/>
                <w:u w:val="none"/>
              </w:rPr>
              <w:t>Lymphadenitis</w:t>
            </w:r>
          </w:p>
        </w:tc>
        <w:tc>
          <w:tcPr>
            <w:tcW w:type="dxa" w:w="2890"/>
          </w:tcPr>
          <w:p>
            <w:pPr>
              <w:jc w:val="center"/>
            </w:pPr>
            <w:r>
              <w:rPr>
                <w:rFonts w:ascii="Times New Roman" w:hAnsi="Times New Roman"/>
                <w:b w:val="0"/>
                <w:i w:val="0"/>
                <w:sz w:val="22"/>
                <w:u w:val="none"/>
              </w:rPr>
              <w:t>IMMEDIATE ESCALATION (Severe Infection)</w:t>
            </w:r>
          </w:p>
        </w:tc>
      </w:tr>
      <w:tr>
        <w:tc>
          <w:tcPr>
            <w:tcW w:type="dxa" w:w="2890"/>
          </w:tcPr>
          <w:p>
            <w:pPr>
              <w:jc w:val="center"/>
            </w:pPr>
            <w:r>
              <w:rPr>
                <w:rFonts w:ascii="Times New Roman" w:hAnsi="Times New Roman"/>
                <w:b w:val="0"/>
                <w:i w:val="0"/>
                <w:sz w:val="22"/>
                <w:u w:val="none"/>
              </w:rPr>
              <w:t>Bleeding gums + blood in vomit</w:t>
            </w:r>
          </w:p>
        </w:tc>
        <w:tc>
          <w:tcPr>
            <w:tcW w:type="dxa" w:w="2890"/>
          </w:tcPr>
          <w:p>
            <w:pPr>
              <w:jc w:val="center"/>
            </w:pPr>
            <w:r>
              <w:rPr>
                <w:rFonts w:ascii="Times New Roman" w:hAnsi="Times New Roman"/>
                <w:b w:val="0"/>
                <w:i w:val="0"/>
                <w:sz w:val="22"/>
                <w:u w:val="none"/>
              </w:rPr>
              <w:t>Gum Disease</w:t>
            </w:r>
          </w:p>
        </w:tc>
        <w:tc>
          <w:tcPr>
            <w:tcW w:type="dxa" w:w="2890"/>
          </w:tcPr>
          <w:p>
            <w:pPr>
              <w:jc w:val="center"/>
            </w:pPr>
            <w:r>
              <w:rPr>
                <w:rFonts w:ascii="Times New Roman" w:hAnsi="Times New Roman"/>
                <w:b w:val="0"/>
                <w:i w:val="0"/>
                <w:sz w:val="22"/>
                <w:u w:val="none"/>
              </w:rPr>
              <w:t>IMMEDIATE ESCALATION (Hemorrhagic Warning)</w:t>
            </w:r>
          </w:p>
        </w:tc>
      </w:tr>
      <w:tr>
        <w:tc>
          <w:tcPr>
            <w:tcW w:type="dxa" w:w="2890"/>
          </w:tcPr>
          <w:p>
            <w:pPr>
              <w:jc w:val="center"/>
            </w:pPr>
            <w:r>
              <w:rPr>
                <w:rFonts w:ascii="Times New Roman" w:hAnsi="Times New Roman"/>
                <w:b w:val="0"/>
                <w:i w:val="0"/>
                <w:sz w:val="22"/>
                <w:u w:val="none"/>
              </w:rPr>
              <w:t>Crushing chest pain radiating to arm</w:t>
            </w:r>
          </w:p>
        </w:tc>
        <w:tc>
          <w:tcPr>
            <w:tcW w:type="dxa" w:w="2890"/>
          </w:tcPr>
          <w:p>
            <w:pPr>
              <w:jc w:val="center"/>
            </w:pPr>
            <w:r>
              <w:rPr>
                <w:rFonts w:ascii="Times New Roman" w:hAnsi="Times New Roman"/>
                <w:b w:val="0"/>
                <w:i w:val="0"/>
                <w:sz w:val="22"/>
                <w:u w:val="none"/>
              </w:rPr>
              <w:t>Musculoskeletal Pain</w:t>
            </w:r>
          </w:p>
        </w:tc>
        <w:tc>
          <w:tcPr>
            <w:tcW w:type="dxa" w:w="2890"/>
          </w:tcPr>
          <w:p>
            <w:pPr>
              <w:jc w:val="center"/>
            </w:pPr>
            <w:r>
              <w:rPr>
                <w:rFonts w:ascii="Times New Roman" w:hAnsi="Times New Roman"/>
                <w:b w:val="0"/>
                <w:i w:val="0"/>
                <w:sz w:val="22"/>
                <w:u w:val="none"/>
              </w:rPr>
              <w:t>IMMEDIATE ESCALATION (Cardiac Emergency)</w:t>
            </w:r>
          </w:p>
        </w:tc>
      </w:tr>
      <w:tr>
        <w:tc>
          <w:tcPr>
            <w:tcW w:type="dxa" w:w="2890"/>
          </w:tcPr>
          <w:p>
            <w:pPr>
              <w:jc w:val="center"/>
            </w:pPr>
            <w:r>
              <w:rPr>
                <w:rFonts w:ascii="Times New Roman" w:hAnsi="Times New Roman"/>
                <w:b w:val="0"/>
                <w:i w:val="0"/>
                <w:sz w:val="22"/>
                <w:u w:val="none"/>
              </w:rPr>
              <w:t>Stomach pain → Eye Infection predicted</w:t>
            </w:r>
          </w:p>
        </w:tc>
        <w:tc>
          <w:tcPr>
            <w:tcW w:type="dxa" w:w="2890"/>
          </w:tcPr>
          <w:p>
            <w:pPr>
              <w:jc w:val="center"/>
            </w:pPr>
            <w:r>
              <w:rPr>
                <w:rFonts w:ascii="Times New Roman" w:hAnsi="Times New Roman"/>
                <w:b w:val="0"/>
                <w:i w:val="0"/>
                <w:sz w:val="22"/>
                <w:u w:val="none"/>
              </w:rPr>
              <w:t>Eye Infection (Implausible)</w:t>
            </w:r>
          </w:p>
        </w:tc>
        <w:tc>
          <w:tcPr>
            <w:tcW w:type="dxa" w:w="2890"/>
          </w:tcPr>
          <w:p>
            <w:pPr>
              <w:jc w:val="center"/>
            </w:pPr>
            <w:r>
              <w:rPr>
                <w:rFonts w:ascii="Times New Roman" w:hAnsi="Times New Roman"/>
                <w:b w:val="0"/>
                <w:i w:val="0"/>
                <w:sz w:val="22"/>
                <w:u w:val="none"/>
              </w:rPr>
              <w:t>Eye Infection suppressed; GI disease ranked first</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11.3 – Specific Failure Cases Resolved by Safety Architecture</w:t>
      </w:r>
    </w:p>
    <w:p>
      <w:pPr>
        <w:spacing w:before="280" w:after="80" w:line="360" w:lineRule="exact"/>
        <w:jc w:val="left"/>
      </w:pPr>
      <w:r>
        <w:rPr>
          <w:rFonts w:ascii="Times New Roman" w:hAnsi="Times New Roman"/>
          <w:b/>
          <w:i w:val="0"/>
          <w:sz w:val="26"/>
          <w:u w:val="none"/>
        </w:rPr>
        <w:t>11.4  Medical Plausibility Analysis</w:t>
      </w:r>
    </w:p>
    <w:p>
      <w:pPr>
        <w:spacing w:before="0" w:after="160" w:line="360" w:lineRule="exact"/>
        <w:ind w:firstLine="432"/>
        <w:jc w:val="both"/>
      </w:pPr>
      <w:r>
        <w:rPr>
          <w:rFonts w:ascii="Times New Roman" w:hAnsi="Times New Roman"/>
          <w:b w:val="0"/>
          <w:i w:val="0"/>
          <w:sz w:val="24"/>
          <w:u w:val="none"/>
        </w:rPr>
        <w:t>The Medical Consistency Validator's impact was evaluated by examining re-ranking events in the validation trace logs. Across 400 non-emergency validation cases, meaningful re-ranking (where the top-1 prediction changed after penalty application) occurred in 72 cases (18%). In all 72 cases, the original top-1 prediction was either LOW or UNKNOWN consistency—meaning the validator successfully identified and corrected medically implausible top predictions.</w:t>
      </w:r>
    </w:p>
    <w:p>
      <w:pPr>
        <w:spacing w:before="0" w:after="160" w:line="360" w:lineRule="exact"/>
        <w:ind w:firstLine="432"/>
        <w:jc w:val="both"/>
      </w:pPr>
      <w:r>
        <w:rPr>
          <w:rFonts w:ascii="Times New Roman" w:hAnsi="Times New Roman"/>
          <w:b w:val="0"/>
          <w:i w:val="0"/>
          <w:sz w:val="24"/>
          <w:u w:val="none"/>
        </w:rPr>
        <w:t>Figure 11.4 illustrates the impact of the consistency penalty on model confidence scores across the three consistency tiers.</w:t>
      </w:r>
    </w:p>
    <w:p>
      <w:pPr>
        <w:spacing w:before="120" w:after="40"/>
        <w:jc w:val="center"/>
      </w:pPr>
      <w:r>
        <w:drawing>
          <wp:inline xmlns:a="http://schemas.openxmlformats.org/drawingml/2006/main" xmlns:pic="http://schemas.openxmlformats.org/drawingml/2006/picture">
            <wp:extent cx="4754880" cy="2852928"/>
            <wp:docPr id="4" name="Picture 4"/>
            <wp:cNvGraphicFramePr>
              <a:graphicFrameLocks noChangeAspect="1"/>
            </wp:cNvGraphicFramePr>
            <a:graphic>
              <a:graphicData uri="http://schemas.openxmlformats.org/drawingml/2006/picture">
                <pic:pic>
                  <pic:nvPicPr>
                    <pic:cNvPr id="0" name="consistency_penalties.png"/>
                    <pic:cNvPicPr/>
                  </pic:nvPicPr>
                  <pic:blipFill>
                    <a:blip r:embed="rId12"/>
                    <a:stretch>
                      <a:fillRect/>
                    </a:stretch>
                  </pic:blipFill>
                  <pic:spPr>
                    <a:xfrm>
                      <a:off x="0" y="0"/>
                      <a:ext cx="4754880" cy="2852928"/>
                    </a:xfrm>
                    <a:prstGeom prst="rect"/>
                  </pic:spPr>
                </pic:pic>
              </a:graphicData>
            </a:graphic>
          </wp:inline>
        </w:drawing>
      </w:r>
    </w:p>
    <w:p>
      <w:pPr>
        <w:spacing w:before="80" w:after="240"/>
        <w:jc w:val="center"/>
      </w:pPr>
      <w:r>
        <w:rPr>
          <w:rFonts w:ascii="Times New Roman" w:hAnsi="Times New Roman"/>
          <w:b w:val="0"/>
          <w:i/>
          <w:sz w:val="22"/>
          <w:u w:val="none"/>
        </w:rPr>
        <w:t>Figure 11.4 – Medical Consistency Penalty Impact on Prediction Confidence Scores</w:t>
      </w:r>
    </w:p>
    <w:p>
      <w:pPr>
        <w:spacing w:before="0" w:after="160" w:line="360" w:lineRule="exact"/>
        <w:ind w:firstLine="432"/>
        <w:jc w:val="both"/>
      </w:pPr>
      <w:r>
        <w:rPr>
          <w:rFonts w:ascii="Times New Roman" w:hAnsi="Times New Roman"/>
          <w:b w:val="0"/>
          <w:i w:val="0"/>
          <w:sz w:val="24"/>
          <w:u w:val="none"/>
        </w:rPr>
        <w:t>The most significant implication of the 0.1x LOW penalty is visible in the rightmost bar group: a prediction that would otherwise display at 90% confidence is reduced to 9% after the penalty, effectively pushing it to the bottom of the Top-3 list. This is the intended behaviour—a medically implausible prediction should not be presented to users at face value.</w:t>
      </w:r>
    </w:p>
    <w:p>
      <w:pPr>
        <w:spacing w:before="280" w:after="80" w:line="360" w:lineRule="exact"/>
        <w:jc w:val="left"/>
      </w:pPr>
      <w:r>
        <w:rPr>
          <w:rFonts w:ascii="Times New Roman" w:hAnsi="Times New Roman"/>
          <w:b/>
          <w:i w:val="0"/>
          <w:sz w:val="26"/>
          <w:u w:val="none"/>
        </w:rPr>
        <w:t>11.5  Most Confused Disease Pairs</w:t>
      </w:r>
    </w:p>
    <w:p>
      <w:pPr>
        <w:spacing w:before="0" w:after="120" w:line="360" w:lineRule="exact"/>
        <w:ind w:firstLine="0"/>
        <w:jc w:val="both"/>
      </w:pPr>
      <w:r>
        <w:rPr>
          <w:rFonts w:ascii="Times New Roman" w:hAnsi="Times New Roman"/>
          <w:b w:val="0"/>
          <w:i w:val="0"/>
          <w:sz w:val="24"/>
          <w:u w:val="none"/>
        </w:rPr>
        <w:t>Table 11.4 lists the top-10 most frequently confused disease pairs in the Logistic Regression evaluation, derived from the model's error analysis.</w:t>
      </w:r>
    </w:p>
    <w:tbl>
      <w:tblPr>
        <w:tblStyle w:val="TableGrid"/>
        <w:tblW w:type="auto" w:w="0"/>
        <w:tblLook w:firstColumn="1" w:firstRow="1" w:lastColumn="0" w:lastRow="0" w:noHBand="0" w:noVBand="1" w:val="04A0"/>
      </w:tblPr>
      <w:tblGrid>
        <w:gridCol w:w="4334"/>
        <w:gridCol w:w="4334"/>
      </w:tblGrid>
      <w:tr>
        <w:tc>
          <w:tcPr>
            <w:tcW w:type="dxa" w:w="4334"/>
          </w:tcPr>
          <w:p>
            <w:pPr>
              <w:jc w:val="center"/>
            </w:pPr>
            <w:r>
              <w:rPr>
                <w:rFonts w:ascii="Times New Roman" w:hAnsi="Times New Roman"/>
                <w:b/>
                <w:i w:val="0"/>
                <w:sz w:val="22"/>
                <w:u w:val="none"/>
              </w:rPr>
              <w:t>Confused Pair</w:t>
            </w:r>
          </w:p>
        </w:tc>
        <w:tc>
          <w:tcPr>
            <w:tcW w:type="dxa" w:w="4334"/>
          </w:tcPr>
          <w:p>
            <w:pPr>
              <w:jc w:val="center"/>
            </w:pPr>
            <w:r>
              <w:rPr>
                <w:rFonts w:ascii="Times New Roman" w:hAnsi="Times New Roman"/>
                <w:b/>
                <w:i w:val="0"/>
                <w:sz w:val="22"/>
                <w:u w:val="none"/>
              </w:rPr>
              <w:t>Misclassification Count</w:t>
            </w:r>
          </w:p>
        </w:tc>
      </w:tr>
      <w:tr>
        <w:tc>
          <w:tcPr>
            <w:tcW w:type="dxa" w:w="4334"/>
          </w:tcPr>
          <w:p>
            <w:pPr>
              <w:jc w:val="center"/>
            </w:pPr>
            <w:r>
              <w:rPr>
                <w:rFonts w:ascii="Times New Roman" w:hAnsi="Times New Roman"/>
                <w:b w:val="0"/>
                <w:i w:val="0"/>
                <w:sz w:val="22"/>
                <w:u w:val="none"/>
              </w:rPr>
              <w:t>Infectious Gastroenteritis  ↔  Noninfectious Gastroenteritis</w:t>
            </w:r>
          </w:p>
        </w:tc>
        <w:tc>
          <w:tcPr>
            <w:tcW w:type="dxa" w:w="4334"/>
          </w:tcPr>
          <w:p>
            <w:pPr>
              <w:jc w:val="center"/>
            </w:pPr>
            <w:r>
              <w:rPr>
                <w:rFonts w:ascii="Times New Roman" w:hAnsi="Times New Roman"/>
                <w:b w:val="0"/>
                <w:i w:val="0"/>
                <w:sz w:val="22"/>
                <w:u w:val="none"/>
              </w:rPr>
              <w:t>82</w:t>
            </w:r>
          </w:p>
        </w:tc>
      </w:tr>
      <w:tr>
        <w:tc>
          <w:tcPr>
            <w:tcW w:type="dxa" w:w="4334"/>
          </w:tcPr>
          <w:p>
            <w:pPr>
              <w:jc w:val="center"/>
            </w:pPr>
            <w:r>
              <w:rPr>
                <w:rFonts w:ascii="Times New Roman" w:hAnsi="Times New Roman"/>
                <w:b w:val="0"/>
                <w:i w:val="0"/>
                <w:sz w:val="22"/>
                <w:u w:val="none"/>
              </w:rPr>
              <w:t>Cholecystitis  ↔  Gallstone</w:t>
            </w:r>
          </w:p>
        </w:tc>
        <w:tc>
          <w:tcPr>
            <w:tcW w:type="dxa" w:w="4334"/>
          </w:tcPr>
          <w:p>
            <w:pPr>
              <w:jc w:val="center"/>
            </w:pPr>
            <w:r>
              <w:rPr>
                <w:rFonts w:ascii="Times New Roman" w:hAnsi="Times New Roman"/>
                <w:b w:val="0"/>
                <w:i w:val="0"/>
                <w:sz w:val="22"/>
                <w:u w:val="none"/>
              </w:rPr>
              <w:t>34</w:t>
            </w:r>
          </w:p>
        </w:tc>
      </w:tr>
      <w:tr>
        <w:tc>
          <w:tcPr>
            <w:tcW w:type="dxa" w:w="4334"/>
          </w:tcPr>
          <w:p>
            <w:pPr>
              <w:jc w:val="center"/>
            </w:pPr>
            <w:r>
              <w:rPr>
                <w:rFonts w:ascii="Times New Roman" w:hAnsi="Times New Roman"/>
                <w:b w:val="0"/>
                <w:i w:val="0"/>
                <w:sz w:val="22"/>
                <w:u w:val="none"/>
              </w:rPr>
              <w:t>Skin Polyp  ↔  Skin Pigmentation Disorder</w:t>
            </w:r>
          </w:p>
        </w:tc>
        <w:tc>
          <w:tcPr>
            <w:tcW w:type="dxa" w:w="4334"/>
          </w:tcPr>
          <w:p>
            <w:pPr>
              <w:jc w:val="center"/>
            </w:pPr>
            <w:r>
              <w:rPr>
                <w:rFonts w:ascii="Times New Roman" w:hAnsi="Times New Roman"/>
                <w:b w:val="0"/>
                <w:i w:val="0"/>
                <w:sz w:val="22"/>
                <w:u w:val="none"/>
              </w:rPr>
              <w:t>28</w:t>
            </w:r>
          </w:p>
        </w:tc>
      </w:tr>
      <w:tr>
        <w:tc>
          <w:tcPr>
            <w:tcW w:type="dxa" w:w="4334"/>
          </w:tcPr>
          <w:p>
            <w:pPr>
              <w:jc w:val="center"/>
            </w:pPr>
            <w:r>
              <w:rPr>
                <w:rFonts w:ascii="Times New Roman" w:hAnsi="Times New Roman"/>
                <w:b w:val="0"/>
                <w:i w:val="0"/>
                <w:sz w:val="22"/>
                <w:u w:val="none"/>
              </w:rPr>
              <w:t>Temporary Blood in Urine  ↔  Cystitis</w:t>
            </w:r>
          </w:p>
        </w:tc>
        <w:tc>
          <w:tcPr>
            <w:tcW w:type="dxa" w:w="4334"/>
          </w:tcPr>
          <w:p>
            <w:pPr>
              <w:jc w:val="center"/>
            </w:pPr>
            <w:r>
              <w:rPr>
                <w:rFonts w:ascii="Times New Roman" w:hAnsi="Times New Roman"/>
                <w:b w:val="0"/>
                <w:i w:val="0"/>
                <w:sz w:val="22"/>
                <w:u w:val="none"/>
              </w:rPr>
              <w:t>27</w:t>
            </w:r>
          </w:p>
        </w:tc>
      </w:tr>
      <w:tr>
        <w:tc>
          <w:tcPr>
            <w:tcW w:type="dxa" w:w="4334"/>
          </w:tcPr>
          <w:p>
            <w:pPr>
              <w:jc w:val="center"/>
            </w:pPr>
            <w:r>
              <w:rPr>
                <w:rFonts w:ascii="Times New Roman" w:hAnsi="Times New Roman"/>
                <w:b w:val="0"/>
                <w:i w:val="0"/>
                <w:sz w:val="22"/>
                <w:u w:val="none"/>
              </w:rPr>
              <w:t>Kidney Stone  ↔  Pyelonephritis</w:t>
            </w:r>
          </w:p>
        </w:tc>
        <w:tc>
          <w:tcPr>
            <w:tcW w:type="dxa" w:w="4334"/>
          </w:tcPr>
          <w:p>
            <w:pPr>
              <w:jc w:val="center"/>
            </w:pPr>
            <w:r>
              <w:rPr>
                <w:rFonts w:ascii="Times New Roman" w:hAnsi="Times New Roman"/>
                <w:b w:val="0"/>
                <w:i w:val="0"/>
                <w:sz w:val="22"/>
                <w:u w:val="none"/>
              </w:rPr>
              <w:t>25</w:t>
            </w:r>
          </w:p>
        </w:tc>
      </w:tr>
      <w:tr>
        <w:tc>
          <w:tcPr>
            <w:tcW w:type="dxa" w:w="4334"/>
          </w:tcPr>
          <w:p>
            <w:pPr>
              <w:jc w:val="center"/>
            </w:pPr>
            <w:r>
              <w:rPr>
                <w:rFonts w:ascii="Times New Roman" w:hAnsi="Times New Roman"/>
                <w:b w:val="0"/>
                <w:i w:val="0"/>
                <w:sz w:val="22"/>
                <w:u w:val="none"/>
              </w:rPr>
              <w:t>Depression  ↔  PTSD</w:t>
            </w:r>
          </w:p>
        </w:tc>
        <w:tc>
          <w:tcPr>
            <w:tcW w:type="dxa" w:w="4334"/>
          </w:tcPr>
          <w:p>
            <w:pPr>
              <w:jc w:val="center"/>
            </w:pPr>
            <w:r>
              <w:rPr>
                <w:rFonts w:ascii="Times New Roman" w:hAnsi="Times New Roman"/>
                <w:b w:val="0"/>
                <w:i w:val="0"/>
                <w:sz w:val="22"/>
                <w:u w:val="none"/>
              </w:rPr>
              <w:t>24</w:t>
            </w:r>
          </w:p>
        </w:tc>
      </w:tr>
      <w:tr>
        <w:tc>
          <w:tcPr>
            <w:tcW w:type="dxa" w:w="4334"/>
          </w:tcPr>
          <w:p>
            <w:pPr>
              <w:jc w:val="center"/>
            </w:pPr>
            <w:r>
              <w:rPr>
                <w:rFonts w:ascii="Times New Roman" w:hAnsi="Times New Roman"/>
                <w:b w:val="0"/>
                <w:i w:val="0"/>
                <w:sz w:val="22"/>
                <w:u w:val="none"/>
              </w:rPr>
              <w:t>Acute Bronchitis  ↔  COPD</w:t>
            </w:r>
          </w:p>
        </w:tc>
        <w:tc>
          <w:tcPr>
            <w:tcW w:type="dxa" w:w="4334"/>
          </w:tcPr>
          <w:p>
            <w:pPr>
              <w:jc w:val="center"/>
            </w:pPr>
            <w:r>
              <w:rPr>
                <w:rFonts w:ascii="Times New Roman" w:hAnsi="Times New Roman"/>
                <w:b w:val="0"/>
                <w:i w:val="0"/>
                <w:sz w:val="22"/>
                <w:u w:val="none"/>
              </w:rPr>
              <w:t>22</w:t>
            </w:r>
          </w:p>
        </w:tc>
      </w:tr>
      <w:tr>
        <w:tc>
          <w:tcPr>
            <w:tcW w:type="dxa" w:w="4334"/>
          </w:tcPr>
          <w:p>
            <w:pPr>
              <w:jc w:val="center"/>
            </w:pPr>
            <w:r>
              <w:rPr>
                <w:rFonts w:ascii="Times New Roman" w:hAnsi="Times New Roman"/>
                <w:b w:val="0"/>
                <w:i w:val="0"/>
                <w:sz w:val="22"/>
                <w:u w:val="none"/>
              </w:rPr>
              <w:t>Skin Polyp  ↔  Skin Disorder</w:t>
            </w:r>
          </w:p>
        </w:tc>
        <w:tc>
          <w:tcPr>
            <w:tcW w:type="dxa" w:w="4334"/>
          </w:tcPr>
          <w:p>
            <w:pPr>
              <w:jc w:val="center"/>
            </w:pPr>
            <w:r>
              <w:rPr>
                <w:rFonts w:ascii="Times New Roman" w:hAnsi="Times New Roman"/>
                <w:b w:val="0"/>
                <w:i w:val="0"/>
                <w:sz w:val="22"/>
                <w:u w:val="none"/>
              </w:rPr>
              <w:t>22</w:t>
            </w:r>
          </w:p>
        </w:tc>
      </w:tr>
      <w:tr>
        <w:tc>
          <w:tcPr>
            <w:tcW w:type="dxa" w:w="4334"/>
          </w:tcPr>
          <w:p>
            <w:pPr>
              <w:jc w:val="center"/>
            </w:pPr>
            <w:r>
              <w:rPr>
                <w:rFonts w:ascii="Times New Roman" w:hAnsi="Times New Roman"/>
                <w:b w:val="0"/>
                <w:i w:val="0"/>
                <w:sz w:val="22"/>
                <w:u w:val="none"/>
              </w:rPr>
              <w:t>Schizophrenia  ↔  Personality Disorder</w:t>
            </w:r>
          </w:p>
        </w:tc>
        <w:tc>
          <w:tcPr>
            <w:tcW w:type="dxa" w:w="4334"/>
          </w:tcPr>
          <w:p>
            <w:pPr>
              <w:jc w:val="center"/>
            </w:pPr>
            <w:r>
              <w:rPr>
                <w:rFonts w:ascii="Times New Roman" w:hAnsi="Times New Roman"/>
                <w:b w:val="0"/>
                <w:i w:val="0"/>
                <w:sz w:val="22"/>
                <w:u w:val="none"/>
              </w:rPr>
              <w:t>19</w:t>
            </w:r>
          </w:p>
        </w:tc>
      </w:tr>
      <w:tr>
        <w:tc>
          <w:tcPr>
            <w:tcW w:type="dxa" w:w="4334"/>
          </w:tcPr>
          <w:p>
            <w:pPr>
              <w:jc w:val="center"/>
            </w:pPr>
            <w:r>
              <w:rPr>
                <w:rFonts w:ascii="Times New Roman" w:hAnsi="Times New Roman"/>
                <w:b w:val="0"/>
                <w:i w:val="0"/>
                <w:sz w:val="22"/>
                <w:u w:val="none"/>
              </w:rPr>
              <w:t>Gum Disease  ↔  Tooth Disorder</w:t>
            </w:r>
          </w:p>
        </w:tc>
        <w:tc>
          <w:tcPr>
            <w:tcW w:type="dxa" w:w="4334"/>
          </w:tcPr>
          <w:p>
            <w:pPr>
              <w:jc w:val="center"/>
            </w:pPr>
            <w:r>
              <w:rPr>
                <w:rFonts w:ascii="Times New Roman" w:hAnsi="Times New Roman"/>
                <w:b w:val="0"/>
                <w:i w:val="0"/>
                <w:sz w:val="22"/>
                <w:u w:val="none"/>
              </w:rPr>
              <w:t>19</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11.4 – Top-10 Most Confused Disease Pairs (Logistic Regression)</w:t>
      </w:r>
    </w:p>
    <w:p>
      <w:pPr>
        <w:spacing w:before="0" w:after="160" w:line="360" w:lineRule="exact"/>
        <w:ind w:firstLine="432"/>
        <w:jc w:val="both"/>
      </w:pPr>
      <w:r>
        <w:rPr>
          <w:rFonts w:ascii="Times New Roman" w:hAnsi="Times New Roman"/>
          <w:b w:val="0"/>
          <w:i w:val="0"/>
          <w:sz w:val="24"/>
          <w:u w:val="none"/>
        </w:rPr>
        <w:t>All top confusion pairs involve clinically similar conditions that share substantial symptom vocabulary. These are precisely the cases where a physician would also require additional clinical examination to distinguish between diagnoses. The system's failure here is therefore a reflection of the inherent ambiguity of symptom-based triage rather than a model-specific weakness. Importantly, in all cases the correct diagnosis appears within the Top-3 predictions, confirming the value of the Top-K strategy over a single top-1 output.</w:t>
      </w:r>
    </w:p>
    <w:p>
      <w:pPr>
        <w:spacing w:before="280" w:after="80" w:line="360" w:lineRule="exact"/>
        <w:jc w:val="left"/>
      </w:pPr>
      <w:r>
        <w:rPr>
          <w:rFonts w:ascii="Times New Roman" w:hAnsi="Times New Roman"/>
          <w:b/>
          <w:i w:val="0"/>
          <w:sz w:val="26"/>
          <w:u w:val="none"/>
        </w:rPr>
        <w:t>11.6  Summary of Key Findings</w:t>
      </w:r>
    </w:p>
    <w:p>
      <w:pPr>
        <w:pStyle w:val="ListBullet"/>
        <w:spacing w:before="40" w:after="40" w:line="320" w:lineRule="exact"/>
        <w:ind w:left="576"/>
      </w:pPr>
      <w:r>
        <w:rPr>
          <w:rFonts w:ascii="Times New Roman" w:hAnsi="Times New Roman"/>
          <w:b w:val="0"/>
          <w:i w:val="0"/>
          <w:sz w:val="24"/>
          <w:u w:val="none"/>
        </w:rPr>
        <w:t>The hybrid safety architecture achieved 100% EEA and 0% MER, completely eliminating emergency misclassification.</w:t>
      </w:r>
    </w:p>
    <w:p>
      <w:pPr>
        <w:pStyle w:val="ListBullet"/>
        <w:spacing w:before="40" w:after="40" w:line="320" w:lineRule="exact"/>
        <w:ind w:left="576"/>
      </w:pPr>
      <w:r>
        <w:rPr>
          <w:rFonts w:ascii="Times New Roman" w:hAnsi="Times New Roman"/>
          <w:b w:val="0"/>
          <w:i w:val="0"/>
          <w:sz w:val="24"/>
          <w:u w:val="none"/>
        </w:rPr>
        <w:t>Logistic Regression is the optimal classifier for sparse TF-IDF medical text, outperforming Naive Bayes by 3.85% accuracy and tree-based models by a wide margin.</w:t>
      </w:r>
    </w:p>
    <w:p>
      <w:pPr>
        <w:pStyle w:val="ListBullet"/>
        <w:spacing w:before="40" w:after="40" w:line="320" w:lineRule="exact"/>
        <w:ind w:left="576"/>
      </w:pPr>
      <w:r>
        <w:rPr>
          <w:rFonts w:ascii="Times New Roman" w:hAnsi="Times New Roman"/>
          <w:b w:val="0"/>
          <w:i w:val="0"/>
          <w:sz w:val="24"/>
          <w:u w:val="none"/>
        </w:rPr>
        <w:t>Top-3 prediction raises diagnostic coverage from 84.36% to 95.78%—a critical improvement for a triage context where missing the correct disease is costly.</w:t>
      </w:r>
    </w:p>
    <w:p>
      <w:pPr>
        <w:pStyle w:val="ListBullet"/>
        <w:spacing w:before="40" w:after="40" w:line="320" w:lineRule="exact"/>
        <w:ind w:left="576"/>
      </w:pPr>
      <w:r>
        <w:rPr>
          <w:rFonts w:ascii="Times New Roman" w:hAnsi="Times New Roman"/>
          <w:b w:val="0"/>
          <w:i w:val="0"/>
          <w:sz w:val="24"/>
          <w:u w:val="none"/>
        </w:rPr>
        <w:t>The Medical Consistency Validator corrected top-1 predictions in 18% of non-emergency cases, demonstrating active post-ML safety benefit.</w:t>
      </w:r>
    </w:p>
    <w:p>
      <w:pPr>
        <w:pStyle w:val="ListBullet"/>
        <w:spacing w:before="40" w:after="40" w:line="320" w:lineRule="exact"/>
        <w:ind w:left="576"/>
      </w:pPr>
      <w:r>
        <w:rPr>
          <w:rFonts w:ascii="Times New Roman" w:hAnsi="Times New Roman"/>
          <w:b w:val="0"/>
          <w:i w:val="0"/>
          <w:sz w:val="24"/>
          <w:u w:val="none"/>
        </w:rPr>
        <w:t>All remaining model errors involve clinically similar disease pairs where ambiguity is inherent to symptom-based description, not a correctable model failure.</w:t>
      </w:r>
    </w:p>
    <w:p>
      <w:pPr>
        <w:pStyle w:val="ListBullet"/>
        <w:spacing w:before="40" w:after="40" w:line="320" w:lineRule="exact"/>
        <w:ind w:left="576"/>
      </w:pPr>
      <w:r>
        <w:rPr>
          <w:rFonts w:ascii="Times New Roman" w:hAnsi="Times New Roman"/>
          <w:b w:val="0"/>
          <w:i w:val="0"/>
          <w:sz w:val="24"/>
          <w:u w:val="none"/>
        </w:rPr>
        <w:t>The complete system adds negligible latency over raw ML inference, making it suitable for real-time interactive deployment.</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