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00" w:lineRule="exact"/>
        <w:jc w:val="left"/>
      </w:pPr>
      <w:r>
        <w:rPr>
          <w:rFonts w:ascii="Times New Roman" w:hAnsi="Times New Roman"/>
          <w:b/>
          <w:i w:val="0"/>
          <w:sz w:val="32"/>
          <w:u w:val="single"/>
        </w:rPr>
        <w:t>Chapter 12: Limitations</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MediAssist AI was designed and evaluated as a research prototype for academic purposes. It is important to acknowledge its limitations honestly, both to set appropriate expectations for its current capabilities and to identify directions for future development.</w:t>
      </w:r>
    </w:p>
    <w:p>
      <w:pPr>
        <w:spacing w:before="280" w:after="80" w:line="360" w:lineRule="exact"/>
        <w:jc w:val="left"/>
      </w:pPr>
      <w:r>
        <w:rPr>
          <w:rFonts w:ascii="Times New Roman" w:hAnsi="Times New Roman"/>
          <w:b/>
          <w:i w:val="0"/>
          <w:sz w:val="26"/>
          <w:u w:val="none"/>
        </w:rPr>
        <w:t>12.1  Not a Clinical Diagnostic Tool</w:t>
      </w:r>
    </w:p>
    <w:p>
      <w:pPr>
        <w:spacing w:before="0" w:after="160" w:line="360" w:lineRule="exact"/>
        <w:ind w:firstLine="432"/>
        <w:jc w:val="both"/>
      </w:pPr>
      <w:r>
        <w:rPr>
          <w:rFonts w:ascii="Times New Roman" w:hAnsi="Times New Roman"/>
          <w:b w:val="0"/>
          <w:i w:val="0"/>
          <w:sz w:val="24"/>
          <w:u w:val="none"/>
        </w:rPr>
        <w:t>The most fundamental limitation is one of intent rather than engineering: MediAssist AI is explicitly not a diagnostic system and should not be used as one. It provides probabilistic symptom analysis and escalation guidance, but it cannot perform physical examinations, order laboratory tests, interpret imaging results, or account for the full clinical context of a patient's history. Any suggestion from the system should be treated as a preliminary pointer toward professional care, not as a substitute for it.</w:t>
      </w:r>
    </w:p>
    <w:p>
      <w:pPr>
        <w:spacing w:before="0" w:after="160" w:line="360" w:lineRule="exact"/>
        <w:ind w:firstLine="432"/>
        <w:jc w:val="both"/>
      </w:pPr>
      <w:r>
        <w:rPr>
          <w:rFonts w:ascii="Times New Roman" w:hAnsi="Times New Roman"/>
          <w:b w:val="0"/>
          <w:i w:val="0"/>
          <w:sz w:val="24"/>
          <w:u w:val="none"/>
        </w:rPr>
        <w:t>This limitation is structural and intentional. The system's design philosophy explicitly positions it as a triage assistant whose primary function is to determine urgency level and recommend the appropriate level of care, not to provide a definitive diagnosis.</w:t>
      </w:r>
    </w:p>
    <w:p>
      <w:pPr>
        <w:spacing w:before="280" w:after="80" w:line="360" w:lineRule="exact"/>
        <w:jc w:val="left"/>
      </w:pPr>
      <w:r>
        <w:rPr>
          <w:rFonts w:ascii="Times New Roman" w:hAnsi="Times New Roman"/>
          <w:b/>
          <w:i w:val="0"/>
          <w:sz w:val="26"/>
          <w:u w:val="none"/>
        </w:rPr>
        <w:t>12.2  Training Data Coverage and Bias</w:t>
      </w:r>
    </w:p>
    <w:p>
      <w:pPr>
        <w:spacing w:before="0" w:after="160" w:line="360" w:lineRule="exact"/>
        <w:ind w:firstLine="432"/>
        <w:jc w:val="both"/>
      </w:pPr>
      <w:r>
        <w:rPr>
          <w:rFonts w:ascii="Times New Roman" w:hAnsi="Times New Roman"/>
          <w:b w:val="0"/>
          <w:i w:val="0"/>
          <w:sz w:val="24"/>
          <w:u w:val="none"/>
        </w:rPr>
        <w:t>The primary symptom-disease dataset, while large at 163,727 examples, has a long-tailed disease distribution: rare conditions are underrepresented, meaning the classifier may perform poorly for uncommon presentations. Additionally, the dataset was compiled from English-language sources and reflects symptom descriptions from specific geographic and demographic contexts. Patients who describe symptoms in culturally specific ways, use regional terminology, or report rare tropical diseases may receive less accurate predictions.</w:t>
      </w:r>
    </w:p>
    <w:p>
      <w:pPr>
        <w:spacing w:before="280" w:after="80" w:line="360" w:lineRule="exact"/>
        <w:jc w:val="left"/>
      </w:pPr>
      <w:r>
        <w:rPr>
          <w:rFonts w:ascii="Times New Roman" w:hAnsi="Times New Roman"/>
          <w:b/>
          <w:i w:val="0"/>
          <w:sz w:val="26"/>
          <w:u w:val="none"/>
        </w:rPr>
        <w:t>12.3  Emergency Keyword Coverage</w:t>
      </w:r>
    </w:p>
    <w:p>
      <w:pPr>
        <w:spacing w:before="0" w:after="160" w:line="360" w:lineRule="exact"/>
        <w:ind w:firstLine="432"/>
        <w:jc w:val="both"/>
      </w:pPr>
      <w:r>
        <w:rPr>
          <w:rFonts w:ascii="Times New Roman" w:hAnsi="Times New Roman"/>
          <w:b w:val="0"/>
          <w:i w:val="0"/>
          <w:sz w:val="24"/>
          <w:u w:val="none"/>
        </w:rPr>
        <w:t>The Emergency Override Layer's effectiveness is entirely dependent on the completeness of the curated keyword dictionary. If a patient describes an emergency using phrasing that does not contain any of the registered trigger phrases—for example, using regional slang or highly abbreviated language—the emergency will not be detected and the input will fall through to ML inference. This is an inherent limitation of rule-based systems. Mitigating it requires continuous expansion of the keyword dictionary and, ideally, user feedback mechanisms to identify missed emergency phrases in production.</w:t>
      </w:r>
    </w:p>
    <w:p>
      <w:pPr>
        <w:spacing w:before="280" w:after="80" w:line="360" w:lineRule="exact"/>
        <w:jc w:val="left"/>
      </w:pPr>
      <w:r>
        <w:rPr>
          <w:rFonts w:ascii="Times New Roman" w:hAnsi="Times New Roman"/>
          <w:b/>
          <w:i w:val="0"/>
          <w:sz w:val="26"/>
          <w:u w:val="none"/>
        </w:rPr>
        <w:t>12.4  Disease Category Knowledge Base Incompleteness</w:t>
      </w:r>
    </w:p>
    <w:p>
      <w:pPr>
        <w:spacing w:before="0" w:after="160" w:line="360" w:lineRule="exact"/>
        <w:ind w:firstLine="432"/>
        <w:jc w:val="both"/>
      </w:pPr>
      <w:r>
        <w:rPr>
          <w:rFonts w:ascii="Times New Roman" w:hAnsi="Times New Roman"/>
          <w:b w:val="0"/>
          <w:i w:val="0"/>
          <w:sz w:val="24"/>
          <w:u w:val="none"/>
        </w:rPr>
        <w:t>The disease_categories.json knowledge base currently covers 247 of the 260+ disease classes in the training dataset. The 13 unmapped classes receive a default UNKNOWN penalty of 0.9x, which reduces their visibility without correctly validating medical plausibility. As a consequence, the Medical Consistency Score—which measures the proportion of HIGH-consistency predictions—was only 10.75% in the validation suite. Completing the knowledge base is a high-priority improvement for future iterations.</w:t>
      </w:r>
    </w:p>
    <w:p>
      <w:pPr>
        <w:spacing w:before="280" w:after="80" w:line="360" w:lineRule="exact"/>
        <w:jc w:val="left"/>
      </w:pPr>
      <w:r>
        <w:rPr>
          <w:rFonts w:ascii="Times New Roman" w:hAnsi="Times New Roman"/>
          <w:b/>
          <w:i w:val="0"/>
          <w:sz w:val="26"/>
          <w:u w:val="none"/>
        </w:rPr>
        <w:t>12.5  No Real Hospital API Integration</w:t>
      </w:r>
    </w:p>
    <w:p>
      <w:pPr>
        <w:spacing w:before="0" w:after="160" w:line="360" w:lineRule="exact"/>
        <w:ind w:firstLine="432"/>
        <w:jc w:val="both"/>
      </w:pPr>
      <w:r>
        <w:rPr>
          <w:rFonts w:ascii="Times New Roman" w:hAnsi="Times New Roman"/>
          <w:b w:val="0"/>
          <w:i w:val="0"/>
          <w:sz w:val="24"/>
          <w:u w:val="none"/>
        </w:rPr>
        <w:t>The hospital recommendation feature currently operates on a static snapshot of the National Hospital Directory. It does not query real-time hospital APIs for availability, appointment booking, or current operational status. Geographic proximity calculations are limited to state and district matching because 38% of hospital records lack geo-coordinates. Real-time integration with hospital management systems or government health APIs would substantially improve the utility of this feature.</w:t>
      </w:r>
    </w:p>
    <w:p>
      <w:pPr>
        <w:spacing w:before="280" w:after="80" w:line="360" w:lineRule="exact"/>
        <w:jc w:val="left"/>
      </w:pPr>
      <w:r>
        <w:rPr>
          <w:rFonts w:ascii="Times New Roman" w:hAnsi="Times New Roman"/>
          <w:b/>
          <w:i w:val="0"/>
          <w:sz w:val="26"/>
          <w:u w:val="none"/>
        </w:rPr>
        <w:t>12.6  No Multilingual Support</w:t>
      </w:r>
    </w:p>
    <w:p>
      <w:pPr>
        <w:spacing w:before="0" w:after="160" w:line="360" w:lineRule="exact"/>
        <w:ind w:firstLine="432"/>
        <w:jc w:val="both"/>
      </w:pPr>
      <w:r>
        <w:rPr>
          <w:rFonts w:ascii="Times New Roman" w:hAnsi="Times New Roman"/>
          <w:b w:val="0"/>
          <w:i w:val="0"/>
          <w:sz w:val="24"/>
          <w:u w:val="none"/>
        </w:rPr>
        <w:t>MediAssist AI processes only English-language input. In the Indian context, where the project is primarily targeted, patients may prefer to communicate in Hindi, Kannada, Tamil, Telugu, or other regional languages. The absence of multilingual support is a significant accessibility limitation and is identified as the primary deployment barrier for rural and semi-urban populations.</w:t>
      </w:r>
    </w:p>
    <w:p>
      <w:pPr>
        <w:spacing w:before="280" w:after="80" w:line="360" w:lineRule="exact"/>
        <w:jc w:val="left"/>
      </w:pPr>
      <w:r>
        <w:rPr>
          <w:rFonts w:ascii="Times New Roman" w:hAnsi="Times New Roman"/>
          <w:b/>
          <w:i w:val="0"/>
          <w:sz w:val="26"/>
          <w:u w:val="none"/>
        </w:rPr>
        <w:t>12.7  Healthcare Regulatory Constraints</w:t>
      </w:r>
    </w:p>
    <w:p>
      <w:pPr>
        <w:spacing w:before="0" w:after="160" w:line="360" w:lineRule="exact"/>
        <w:ind w:firstLine="432"/>
        <w:jc w:val="both"/>
      </w:pPr>
      <w:r>
        <w:rPr>
          <w:rFonts w:ascii="Times New Roman" w:hAnsi="Times New Roman"/>
          <w:b w:val="0"/>
          <w:i w:val="0"/>
          <w:sz w:val="24"/>
          <w:u w:val="none"/>
        </w:rPr>
        <w:t>Any deployment of an AI system providing medical guidance in India is subject to the Telemedicine Practice Guidelines (2020) issued by the Ministry of Health and Family Welfare, and potentially to DISHA (Digital Information Security in Healthcare Act) regulations. The current prototype does not implement user authentication, data encryption, or audit trails required for regulatory compliance. These are engineering requirements that would need to be addressed before any production deployment.</w:t>
      </w:r>
    </w:p>
    <w:p>
      <w:r>
        <w:br w:type="page"/>
      </w:r>
    </w:p>
    <w:p>
      <w:pPr>
        <w:spacing w:before="0" w:after="120" w:line="400" w:lineRule="exact"/>
        <w:jc w:val="left"/>
      </w:pPr>
      <w:r>
        <w:rPr>
          <w:rFonts w:ascii="Times New Roman" w:hAnsi="Times New Roman"/>
          <w:b/>
          <w:i w:val="0"/>
          <w:sz w:val="32"/>
          <w:u w:val="single"/>
        </w:rPr>
        <w:t>Chapter 13: Future Work</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The limitations identified in Chapter 12 directly motivate the following directions for future development. These are presented in approximate order of implementation priority.</w:t>
      </w:r>
    </w:p>
    <w:p>
      <w:pPr>
        <w:spacing w:before="280" w:after="80" w:line="360" w:lineRule="exact"/>
        <w:jc w:val="left"/>
      </w:pPr>
      <w:r>
        <w:rPr>
          <w:rFonts w:ascii="Times New Roman" w:hAnsi="Times New Roman"/>
          <w:b/>
          <w:i w:val="0"/>
          <w:sz w:val="26"/>
          <w:u w:val="none"/>
        </w:rPr>
        <w:t>13.1  Multilingual Support</w:t>
      </w:r>
    </w:p>
    <w:p>
      <w:pPr>
        <w:spacing w:before="0" w:after="160" w:line="360" w:lineRule="exact"/>
        <w:ind w:firstLine="432"/>
        <w:jc w:val="both"/>
      </w:pPr>
      <w:r>
        <w:rPr>
          <w:rFonts w:ascii="Times New Roman" w:hAnsi="Times New Roman"/>
          <w:b w:val="0"/>
          <w:i w:val="0"/>
          <w:sz w:val="24"/>
          <w:u w:val="none"/>
        </w:rPr>
        <w:t>The highest-priority improvement is the addition of multilingual symptom processing. A practical first step would be to integrate a lightweight machine translation layer—using a pre-trained model such as IndicTrans2 or Helsinki-NLP's opus-mt models—that translates non-English input to English before passing it to the existing TF-IDF + LR pipeline. This approach would provide broad language coverage without requiring retraining of the core classifier. A longer-term solution would involve training multilingual classifiers on symptom datasets in regional languages.</w:t>
      </w:r>
    </w:p>
    <w:p>
      <w:pPr>
        <w:spacing w:before="280" w:after="80" w:line="360" w:lineRule="exact"/>
        <w:jc w:val="left"/>
      </w:pPr>
      <w:r>
        <w:rPr>
          <w:rFonts w:ascii="Times New Roman" w:hAnsi="Times New Roman"/>
          <w:b/>
          <w:i w:val="0"/>
          <w:sz w:val="26"/>
          <w:u w:val="none"/>
        </w:rPr>
        <w:t>13.2  Emergency Keyword Expansion with Semantic Matching</w:t>
      </w:r>
    </w:p>
    <w:p>
      <w:pPr>
        <w:spacing w:before="0" w:after="160" w:line="360" w:lineRule="exact"/>
        <w:ind w:firstLine="432"/>
        <w:jc w:val="both"/>
      </w:pPr>
      <w:r>
        <w:rPr>
          <w:rFonts w:ascii="Times New Roman" w:hAnsi="Times New Roman"/>
          <w:b w:val="0"/>
          <w:i w:val="0"/>
          <w:sz w:val="24"/>
          <w:u w:val="none"/>
        </w:rPr>
        <w:t>The current substring-matching approach could be augmented with semantic similarity matching using a lightweight sentence encoder. Instead of requiring exact phrase matches, the enhanced system would flag inputs whose embedding is sufficiently close to known emergency phrase embeddings. This would catch paraphrased emergency descriptions while retaining the deterministic safety guarantee for all explicitly registered phrases. A threshold-based hybrid approach—exact match OR cosine similarity &gt; 0.92—would balance recall and precision for emergency detection.</w:t>
      </w:r>
    </w:p>
    <w:p>
      <w:pPr>
        <w:spacing w:before="280" w:after="80" w:line="360" w:lineRule="exact"/>
        <w:jc w:val="left"/>
      </w:pPr>
      <w:r>
        <w:rPr>
          <w:rFonts w:ascii="Times New Roman" w:hAnsi="Times New Roman"/>
          <w:b/>
          <w:i w:val="0"/>
          <w:sz w:val="26"/>
          <w:u w:val="none"/>
        </w:rPr>
        <w:t>13.3  Disease Category Knowledge Base Completion</w:t>
      </w:r>
    </w:p>
    <w:p>
      <w:pPr>
        <w:spacing w:before="0" w:after="160" w:line="360" w:lineRule="exact"/>
        <w:ind w:firstLine="432"/>
        <w:jc w:val="both"/>
      </w:pPr>
      <w:r>
        <w:rPr>
          <w:rFonts w:ascii="Times New Roman" w:hAnsi="Times New Roman"/>
          <w:b w:val="0"/>
          <w:i w:val="0"/>
          <w:sz w:val="24"/>
          <w:u w:val="none"/>
        </w:rPr>
        <w:t>Completing the disease_categories.json mapping for all 260+ disease classes is a straightforward but important improvement. The mapping could be automated using the ICD-10 or SNOMED-CT ontologies to retrieve standardised clinical category assignments for each disease name, replacing the current heuristic keyword approach with a medically validated taxonomy.</w:t>
      </w:r>
    </w:p>
    <w:p>
      <w:pPr>
        <w:spacing w:before="280" w:after="80" w:line="360" w:lineRule="exact"/>
        <w:jc w:val="left"/>
      </w:pPr>
      <w:r>
        <w:rPr>
          <w:rFonts w:ascii="Times New Roman" w:hAnsi="Times New Roman"/>
          <w:b/>
          <w:i w:val="0"/>
          <w:sz w:val="26"/>
          <w:u w:val="none"/>
        </w:rPr>
        <w:t>13.4  Real Healthcare API Integration</w:t>
      </w:r>
    </w:p>
    <w:p>
      <w:pPr>
        <w:spacing w:before="0" w:after="160" w:line="360" w:lineRule="exact"/>
        <w:ind w:firstLine="432"/>
        <w:jc w:val="both"/>
      </w:pPr>
      <w:r>
        <w:rPr>
          <w:rFonts w:ascii="Times New Roman" w:hAnsi="Times New Roman"/>
          <w:b w:val="0"/>
          <w:i w:val="0"/>
          <w:sz w:val="24"/>
          <w:u w:val="none"/>
        </w:rPr>
        <w:t>Integration with the Ayushman Bharat Digital Mission (ABDM) APIs or NHA's Health Facility Registry would enable real-time hospital lookups, removing the dependency on the static directory snapshot. This would also allow the system to filter recommendations by specialty, availability, and proximity using live geo-coordinates.</w:t>
      </w:r>
    </w:p>
    <w:p>
      <w:pPr>
        <w:spacing w:before="280" w:after="80" w:line="360" w:lineRule="exact"/>
        <w:jc w:val="left"/>
      </w:pPr>
      <w:r>
        <w:rPr>
          <w:rFonts w:ascii="Times New Roman" w:hAnsi="Times New Roman"/>
          <w:b/>
          <w:i w:val="0"/>
          <w:sz w:val="26"/>
          <w:u w:val="none"/>
        </w:rPr>
        <w:t>13.5  Transformer-Based Conversational Layer</w:t>
      </w:r>
    </w:p>
    <w:p>
      <w:pPr>
        <w:spacing w:before="0" w:after="160" w:line="360" w:lineRule="exact"/>
        <w:ind w:firstLine="432"/>
        <w:jc w:val="both"/>
      </w:pPr>
      <w:r>
        <w:rPr>
          <w:rFonts w:ascii="Times New Roman" w:hAnsi="Times New Roman"/>
          <w:b w:val="0"/>
          <w:i w:val="0"/>
          <w:sz w:val="24"/>
          <w:u w:val="none"/>
        </w:rPr>
        <w:t>The current conversational interface is script-based: the system follows a structured follow-up question protocol rather than engaging in open-ended dialogue. A future enhancement could integrate a lightweight transformer model—such as a fine-tuned DistilBERT or a quantised version of a small LLM—as an optional conversational extension. Critically, this model would be deployed only for the natural language understanding and response generation layer, and would not replace the deterministic Emergency Override Layer or the ML-based disease prediction pipeline. The safety architecture must remain independent of any transformer component.</w:t>
      </w:r>
    </w:p>
    <w:p>
      <w:pPr>
        <w:spacing w:before="280" w:after="80" w:line="360" w:lineRule="exact"/>
        <w:jc w:val="left"/>
      </w:pPr>
      <w:r>
        <w:rPr>
          <w:rFonts w:ascii="Times New Roman" w:hAnsi="Times New Roman"/>
          <w:b/>
          <w:i w:val="0"/>
          <w:sz w:val="26"/>
          <w:u w:val="none"/>
        </w:rPr>
        <w:t>13.6  Mobile Deployment and Voice Input</w:t>
      </w:r>
    </w:p>
    <w:p>
      <w:pPr>
        <w:spacing w:before="0" w:after="160" w:line="360" w:lineRule="exact"/>
        <w:ind w:firstLine="432"/>
        <w:jc w:val="both"/>
      </w:pPr>
      <w:r>
        <w:rPr>
          <w:rFonts w:ascii="Times New Roman" w:hAnsi="Times New Roman"/>
          <w:b w:val="0"/>
          <w:i w:val="0"/>
          <w:sz w:val="24"/>
          <w:u w:val="none"/>
        </w:rPr>
        <w:t>A React Native or Flutter mobile wrapper around the Streamlit backend—or a reimplemented lightweight frontend—would enable deployment on mobile devices in rural settings where desktop access is limited. Voice input support, using a speech-to-text model such as Whisper, would further improve accessibility for users with limited literacy.</w:t>
      </w:r>
    </w:p>
    <w:p>
      <w:pPr>
        <w:spacing w:before="280" w:after="80" w:line="360" w:lineRule="exact"/>
        <w:jc w:val="left"/>
      </w:pPr>
      <w:r>
        <w:rPr>
          <w:rFonts w:ascii="Times New Roman" w:hAnsi="Times New Roman"/>
          <w:b/>
          <w:i w:val="0"/>
          <w:sz w:val="26"/>
          <w:u w:val="none"/>
        </w:rPr>
        <w:t>13.7  Continuous Validation in CI/CD Pipeline</w:t>
      </w:r>
    </w:p>
    <w:p>
      <w:pPr>
        <w:spacing w:before="0" w:after="160" w:line="360" w:lineRule="exact"/>
        <w:ind w:firstLine="432"/>
        <w:jc w:val="both"/>
      </w:pPr>
      <w:r>
        <w:rPr>
          <w:rFonts w:ascii="Times New Roman" w:hAnsi="Times New Roman"/>
          <w:b w:val="0"/>
          <w:i w:val="0"/>
          <w:sz w:val="24"/>
          <w:u w:val="none"/>
        </w:rPr>
        <w:t>The run_final_research_validation.py script is currently run manually. Integrating it into a continuous integration pipeline—triggered on every code push—would ensure that changes to the emergency keyword dictionary, disease category knowledge base, or ML pipeline do not inadvertently degrade safety metrics. Any commit that causes EEA to drop below 95% or MER to exceed 0% should automatically block deployment.</w:t>
      </w:r>
    </w:p>
    <w:p>
      <w:r>
        <w:br w:type="page"/>
      </w:r>
    </w:p>
    <w:p>
      <w:pPr>
        <w:spacing w:before="0" w:after="120" w:line="400" w:lineRule="exact"/>
        <w:jc w:val="left"/>
      </w:pPr>
      <w:r>
        <w:rPr>
          <w:rFonts w:ascii="Times New Roman" w:hAnsi="Times New Roman"/>
          <w:b/>
          <w:i w:val="0"/>
          <w:sz w:val="32"/>
          <w:u w:val="single"/>
        </w:rPr>
        <w:t>Chapter 14: Conclusion</w:t>
      </w:r>
    </w:p>
    <w:p>
      <w:pPr>
        <w:pBdr>
          <w:bottom w:val="single" w:sz="6" w:space="1" w:color="4472C4"/>
        </w:pBdr>
      </w:pPr>
    </w:p>
    <w:p>
      <w:pPr>
        <w:spacing w:before="0" w:after="160" w:line="360" w:lineRule="exact"/>
        <w:ind w:firstLine="432"/>
        <w:jc w:val="both"/>
      </w:pPr>
      <w:r>
        <w:rPr>
          <w:rFonts w:ascii="Times New Roman" w:hAnsi="Times New Roman"/>
          <w:b w:val="0"/>
          <w:i w:val="0"/>
          <w:sz w:val="24"/>
          <w:u w:val="none"/>
        </w:rPr>
        <w:t>This project set out to address a specific, well-defined problem: the architectural unsafety of purely probabilistic machine learning systems when applied to healthcare triage. The preliminary evaluation demonstrated that a competitive TF-IDF + Logistic Regression classifier—achieving 84.36% top-1 accuracy on a 260-class symptom dataset—nonetheless failed to escalate approximately one in three emergency symptom inputs. This is not a problem that can be solved by training a better model. It is a problem of architecture.</w:t>
      </w:r>
    </w:p>
    <w:p>
      <w:pPr>
        <w:spacing w:before="0" w:after="160" w:line="360" w:lineRule="exact"/>
        <w:ind w:firstLine="432"/>
        <w:jc w:val="both"/>
      </w:pPr>
      <w:r>
        <w:rPr>
          <w:rFonts w:ascii="Times New Roman" w:hAnsi="Times New Roman"/>
          <w:b w:val="0"/>
          <w:i w:val="0"/>
          <w:sz w:val="24"/>
          <w:u w:val="none"/>
        </w:rPr>
        <w:t>MediAssist AI addresses this by implementing a defence-in-depth architecture that separates safety from statistical inference. The Emergency Safety Override Layer provides deterministic, auditable, testable protection against emergency misclassification. The Medical Consistency Validator provides a post-ML check that suppresses medically implausible predictions. Together, these mechanisms reduced the Missed Emergency Rate from 34.2% to 0% and the Unsafe Prediction Rate from 12.5% to 0% across a 500-case validation suite.</w:t>
      </w:r>
    </w:p>
    <w:p>
      <w:pPr>
        <w:spacing w:before="0" w:after="160" w:line="360" w:lineRule="exact"/>
        <w:ind w:firstLine="432"/>
        <w:jc w:val="both"/>
      </w:pPr>
      <w:r>
        <w:rPr>
          <w:rFonts w:ascii="Times New Roman" w:hAnsi="Times New Roman"/>
          <w:b w:val="0"/>
          <w:i w:val="0"/>
          <w:sz w:val="24"/>
          <w:u w:val="none"/>
        </w:rPr>
        <w:t>The system demonstrates that responsible healthcare AI does not require large language models or complex deep learning architectures. A carefully engineered classical ML pipeline—with appropriate safety guardrails designed as first-class architectural components—can provide reliable, interpretable, and safe preliminary triage assistance.</w:t>
      </w:r>
    </w:p>
    <w:p>
      <w:pPr>
        <w:spacing w:before="0" w:after="160" w:line="360" w:lineRule="exact"/>
        <w:ind w:firstLine="432"/>
        <w:jc w:val="both"/>
      </w:pPr>
      <w:r>
        <w:rPr>
          <w:rFonts w:ascii="Times New Roman" w:hAnsi="Times New Roman"/>
          <w:b w:val="0"/>
          <w:i w:val="0"/>
          <w:sz w:val="24"/>
          <w:u w:val="none"/>
        </w:rPr>
        <w:t>The project also makes a methodological contribution: the introduction of healthcare-specific evaluation metrics (EEA, MER, UPR) that are more clinically meaningful than standard ML accuracy metrics for assessing the safety of triage systems. These metrics, along with the 500-case validation framework, provide a reproducible evaluation protocol that can be applied to future iterations of the system or to similar healthcare AI projects.</w:t>
      </w:r>
    </w:p>
    <w:p>
      <w:pPr>
        <w:spacing w:before="0" w:after="160" w:line="360" w:lineRule="exact"/>
        <w:ind w:firstLine="432"/>
        <w:jc w:val="both"/>
      </w:pPr>
      <w:r>
        <w:rPr>
          <w:rFonts w:ascii="Times New Roman" w:hAnsi="Times New Roman"/>
          <w:b w:val="0"/>
          <w:i w:val="0"/>
          <w:sz w:val="24"/>
          <w:u w:val="none"/>
        </w:rPr>
        <w:t>In conclusion, MediAssist AI is best described as a safety-aware healthcare triage assistant—a system designed not to replace clinical judgment, but to ensure that no patient describing a life-threatening emergency is directed toward home care advice. That single guarantee, achieved through deterministic engineering rather than probabilistic inference, is the project's most significant contribution.</w:t>
      </w:r>
    </w:p>
    <w:p>
      <w:r>
        <w:br w:type="page"/>
      </w:r>
    </w:p>
    <w:p>
      <w:pPr>
        <w:spacing w:before="0" w:after="160"/>
        <w:jc w:val="left"/>
      </w:pPr>
      <w:r>
        <w:rPr>
          <w:rFonts w:ascii="Times New Roman" w:hAnsi="Times New Roman"/>
          <w:b/>
          <w:i w:val="0"/>
          <w:sz w:val="32"/>
          <w:u w:val="single"/>
        </w:rPr>
        <w:t>References</w:t>
      </w:r>
    </w:p>
    <w:p>
      <w:pPr>
        <w:pBdr>
          <w:bottom w:val="single" w:sz="6" w:space="1" w:color="4472C4"/>
        </w:pBdr>
      </w:pPr>
    </w:p>
    <w:p>
      <w:pPr>
        <w:spacing w:before="40" w:after="80" w:line="320" w:lineRule="exact"/>
        <w:ind w:left="576" w:hanging="576"/>
      </w:pPr>
      <w:r>
        <w:rPr>
          <w:rFonts w:ascii="Times New Roman" w:hAnsi="Times New Roman"/>
          <w:b w:val="0"/>
          <w:i w:val="0"/>
          <w:sz w:val="22"/>
          <w:u w:val="none"/>
        </w:rPr>
        <w:t>[1]  E. H. Shortliffe, "Computer-Based Medical Consultations: MYCIN," American Elsevier, New York, 1976.</w:t>
      </w:r>
    </w:p>
    <w:p>
      <w:pPr>
        <w:spacing w:before="40" w:after="80" w:line="320" w:lineRule="exact"/>
        <w:ind w:left="576" w:hanging="576"/>
      </w:pPr>
      <w:r>
        <w:rPr>
          <w:rFonts w:ascii="Times New Roman" w:hAnsi="Times New Roman"/>
          <w:b w:val="0"/>
          <w:i w:val="0"/>
          <w:sz w:val="22"/>
          <w:u w:val="none"/>
        </w:rPr>
        <w:t>[2]  R. A. Miller, H. E. Pople, and J. D. Myers, "Internist-1, an Experimental Computer-Based Diagnostic Consultant for General Internal Medicine," New England Journal of Medicine, vol. 307, no. 8, pp. 468–476, 1982.</w:t>
      </w:r>
    </w:p>
    <w:p>
      <w:pPr>
        <w:spacing w:before="40" w:after="80" w:line="320" w:lineRule="exact"/>
        <w:ind w:left="576" w:hanging="576"/>
      </w:pPr>
      <w:r>
        <w:rPr>
          <w:rFonts w:ascii="Times New Roman" w:hAnsi="Times New Roman"/>
          <w:b w:val="0"/>
          <w:i w:val="0"/>
          <w:sz w:val="22"/>
          <w:u w:val="none"/>
        </w:rPr>
        <w:t>[3]  I. Semigran, J. Linder, C. Gidengil, and A. Mehrotra, "Evaluation of Symptom Checkers for Self Diagnosis and Triage," BMJ, vol. 351, p. h3480, 2015.</w:t>
      </w:r>
    </w:p>
    <w:p>
      <w:pPr>
        <w:spacing w:before="40" w:after="80" w:line="320" w:lineRule="exact"/>
        <w:ind w:left="576" w:hanging="576"/>
      </w:pPr>
      <w:r>
        <w:rPr>
          <w:rFonts w:ascii="Times New Roman" w:hAnsi="Times New Roman"/>
          <w:b w:val="0"/>
          <w:i w:val="0"/>
          <w:sz w:val="22"/>
          <w:u w:val="none"/>
        </w:rPr>
        <w:t>[4]  L. Semigran et al., "Comparison of Accuracy of Symptom Checkers for Diagnosing Acute Respiratory Infections," Open Forum Infectious Diseases, 2016.</w:t>
      </w:r>
    </w:p>
    <w:p>
      <w:pPr>
        <w:spacing w:before="40" w:after="80" w:line="320" w:lineRule="exact"/>
        <w:ind w:left="576" w:hanging="576"/>
      </w:pPr>
      <w:r>
        <w:rPr>
          <w:rFonts w:ascii="Times New Roman" w:hAnsi="Times New Roman"/>
          <w:b w:val="0"/>
          <w:i w:val="0"/>
          <w:sz w:val="22"/>
          <w:u w:val="none"/>
        </w:rPr>
        <w:t>[5]  W. W. Chapman, W. Bridewell, P. Hanbury, G. F. Cooper, and B. G. Buchanan, "A Simple Algorithm for Identifying Negated Findings and Diseases in Discharge Summaries," Journal of Biomedical Informatics, vol. 34, no. 5, pp. 301–310, 2001.</w:t>
      </w:r>
    </w:p>
    <w:p>
      <w:pPr>
        <w:spacing w:before="40" w:after="80" w:line="320" w:lineRule="exact"/>
        <w:ind w:left="576" w:hanging="576"/>
      </w:pPr>
      <w:r>
        <w:rPr>
          <w:rFonts w:ascii="Times New Roman" w:hAnsi="Times New Roman"/>
          <w:b w:val="0"/>
          <w:i w:val="0"/>
          <w:sz w:val="22"/>
          <w:u w:val="none"/>
        </w:rPr>
        <w:t>[6]  G. Salton and C. Buckley, "Term-Weighting Approaches in Automatic Text Retrieval," Information Processing &amp; Management, vol. 24, no. 5, pp. 513–523, 1988.</w:t>
      </w:r>
    </w:p>
    <w:p>
      <w:pPr>
        <w:spacing w:before="40" w:after="80" w:line="320" w:lineRule="exact"/>
        <w:ind w:left="576" w:hanging="576"/>
      </w:pPr>
      <w:r>
        <w:rPr>
          <w:rFonts w:ascii="Times New Roman" w:hAnsi="Times New Roman"/>
          <w:b w:val="0"/>
          <w:i w:val="0"/>
          <w:sz w:val="22"/>
          <w:u w:val="none"/>
        </w:rPr>
        <w:t>[7]  S. Wang and C. D. Manning, "Baselines and Bigrams: Simple, Good Sentiment and Topic Classification," in Proc. ACL, 2012, pp. 90–94.</w:t>
      </w:r>
    </w:p>
    <w:p>
      <w:pPr>
        <w:spacing w:before="40" w:after="80" w:line="320" w:lineRule="exact"/>
        <w:ind w:left="576" w:hanging="576"/>
      </w:pPr>
      <w:r>
        <w:rPr>
          <w:rFonts w:ascii="Times New Roman" w:hAnsi="Times New Roman"/>
          <w:b w:val="0"/>
          <w:i w:val="0"/>
          <w:sz w:val="22"/>
          <w:u w:val="none"/>
        </w:rPr>
        <w:t>[8]  L. Breiman, "Random Forests," Machine Learning, vol. 45, pp. 5–32, 2001.</w:t>
      </w:r>
    </w:p>
    <w:p>
      <w:pPr>
        <w:spacing w:before="40" w:after="80" w:line="320" w:lineRule="exact"/>
        <w:ind w:left="576" w:hanging="576"/>
      </w:pPr>
      <w:r>
        <w:rPr>
          <w:rFonts w:ascii="Times New Roman" w:hAnsi="Times New Roman"/>
          <w:b w:val="0"/>
          <w:i w:val="0"/>
          <w:sz w:val="22"/>
          <w:u w:val="none"/>
        </w:rPr>
        <w:t>[9]  A. McCallum and K. Nigam, "A Comparison of Event Models for Naive Bayes Text Classification," in Proc. AAAI Workshop on Learning for Text Categorization, vol. 752, 1998, pp. 41–48.</w:t>
      </w:r>
    </w:p>
    <w:p>
      <w:pPr>
        <w:spacing w:before="40" w:after="80" w:line="320" w:lineRule="exact"/>
        <w:ind w:left="576" w:hanging="576"/>
      </w:pPr>
      <w:r>
        <w:rPr>
          <w:rFonts w:ascii="Times New Roman" w:hAnsi="Times New Roman"/>
          <w:b w:val="0"/>
          <w:i w:val="0"/>
          <w:sz w:val="22"/>
          <w:u w:val="none"/>
        </w:rPr>
        <w:t>[10]  A. Vaswani et al., "Attention Is All You Need," in Advances in Neural Information Processing Systems, vol. 30, 2017.</w:t>
      </w:r>
    </w:p>
    <w:p>
      <w:pPr>
        <w:spacing w:before="40" w:after="80" w:line="320" w:lineRule="exact"/>
        <w:ind w:left="576" w:hanging="576"/>
      </w:pPr>
      <w:r>
        <w:rPr>
          <w:rFonts w:ascii="Times New Roman" w:hAnsi="Times New Roman"/>
          <w:b w:val="0"/>
          <w:i w:val="0"/>
          <w:sz w:val="22"/>
          <w:u w:val="none"/>
        </w:rPr>
        <w:t>[11]  J. Devlin, M.-W. Chang, K. Lee, and K. Toutanova, "BERT: Pre-training of Deep Bidirectional Transformers for Language Understanding," in Proc. NAACL-HLT, 2019, pp. 4171–4186.</w:t>
      </w:r>
    </w:p>
    <w:p>
      <w:pPr>
        <w:spacing w:before="40" w:after="80" w:line="320" w:lineRule="exact"/>
        <w:ind w:left="576" w:hanging="576"/>
      </w:pPr>
      <w:r>
        <w:rPr>
          <w:rFonts w:ascii="Times New Roman" w:hAnsi="Times New Roman"/>
          <w:b w:val="0"/>
          <w:i w:val="0"/>
          <w:sz w:val="22"/>
          <w:u w:val="none"/>
        </w:rPr>
        <w:t>[12]  J. Lee et al., "BioBERT: A Pre-trained Biomedical Language Representation Model for Biomedical Text Mining," Bioinformatics, vol. 36, no. 4, pp. 1234–1240, 2020.</w:t>
      </w:r>
    </w:p>
    <w:p>
      <w:pPr>
        <w:spacing w:before="40" w:after="80" w:line="320" w:lineRule="exact"/>
        <w:ind w:left="576" w:hanging="576"/>
      </w:pPr>
      <w:r>
        <w:rPr>
          <w:rFonts w:ascii="Times New Roman" w:hAnsi="Times New Roman"/>
          <w:b w:val="0"/>
          <w:i w:val="0"/>
          <w:sz w:val="22"/>
          <w:u w:val="none"/>
        </w:rPr>
        <w:t>[13]  K. Huang et al., "ClinicalBERT: Modeling Clinical Notes and Predicting Hospital Readmission," arXiv preprint arXiv:1904.05342, 2019.</w:t>
      </w:r>
    </w:p>
    <w:p>
      <w:pPr>
        <w:spacing w:before="40" w:after="80" w:line="320" w:lineRule="exact"/>
        <w:ind w:left="576" w:hanging="576"/>
      </w:pPr>
      <w:r>
        <w:rPr>
          <w:rFonts w:ascii="Times New Roman" w:hAnsi="Times New Roman"/>
          <w:b w:val="0"/>
          <w:i w:val="0"/>
          <w:sz w:val="22"/>
          <w:u w:val="none"/>
        </w:rPr>
        <w:t>[14]  K. Singhal et al., "Large Language Models Encode Clinical Knowledge," Nature, vol. 620, pp. 172–180, 2023.</w:t>
      </w:r>
    </w:p>
    <w:p>
      <w:pPr>
        <w:spacing w:before="40" w:after="80" w:line="320" w:lineRule="exact"/>
        <w:ind w:left="576" w:hanging="576"/>
      </w:pPr>
      <w:r>
        <w:rPr>
          <w:rFonts w:ascii="Times New Roman" w:hAnsi="Times New Roman"/>
          <w:b w:val="0"/>
          <w:i w:val="0"/>
          <w:sz w:val="22"/>
          <w:u w:val="none"/>
        </w:rPr>
        <w:t>[15]  OpenAI, "GPT-4 Technical Report," arXiv preprint arXiv:2303.08774, 2023.</w:t>
      </w:r>
    </w:p>
    <w:p>
      <w:pPr>
        <w:spacing w:before="40" w:after="80" w:line="320" w:lineRule="exact"/>
        <w:ind w:left="576" w:hanging="576"/>
      </w:pPr>
      <w:r>
        <w:rPr>
          <w:rFonts w:ascii="Times New Roman" w:hAnsi="Times New Roman"/>
          <w:b w:val="0"/>
          <w:i w:val="0"/>
          <w:sz w:val="22"/>
          <w:u w:val="none"/>
        </w:rPr>
        <w:t>[16]  E. Begoli, T. Bhattacharya, and D. Kusnezov, "The Need for Uncertainty Quantification in Machine-Assisted Medical Decision Making," Nature Machine Intelligence, vol. 1, pp. 20–23, 2019.</w:t>
      </w:r>
    </w:p>
    <w:p>
      <w:pPr>
        <w:spacing w:before="40" w:after="80" w:line="320" w:lineRule="exact"/>
        <w:ind w:left="576" w:hanging="576"/>
      </w:pPr>
      <w:r>
        <w:rPr>
          <w:rFonts w:ascii="Times New Roman" w:hAnsi="Times New Roman"/>
          <w:b w:val="0"/>
          <w:i w:val="0"/>
          <w:sz w:val="22"/>
          <w:u w:val="none"/>
        </w:rPr>
        <w:t>[17]  C. Leibig, V. Allken, M. S. Ayhan, P. Berens, and S. Wahl, "Leveraging Uncertainty Information from Deep Neural Networks for Disease Detection," Scientific Reports, vol. 7, p. 17816, 2017.</w:t>
      </w:r>
    </w:p>
    <w:p>
      <w:pPr>
        <w:spacing w:before="40" w:after="80" w:line="320" w:lineRule="exact"/>
        <w:ind w:left="576" w:hanging="576"/>
      </w:pPr>
      <w:r>
        <w:rPr>
          <w:rFonts w:ascii="Times New Roman" w:hAnsi="Times New Roman"/>
          <w:b w:val="0"/>
          <w:i w:val="0"/>
          <w:sz w:val="22"/>
          <w:u w:val="none"/>
        </w:rPr>
        <w:t>[18]  C. Guo, G. Pleiss, Y. Sun, and K. Q. Weinberger, "On Calibration of Modern Neural Networks," in Proc. ICML, 2017, pp. 1321–1330.</w:t>
      </w:r>
    </w:p>
    <w:p>
      <w:pPr>
        <w:spacing w:before="40" w:after="80" w:line="320" w:lineRule="exact"/>
        <w:ind w:left="576" w:hanging="576"/>
      </w:pPr>
      <w:r>
        <w:rPr>
          <w:rFonts w:ascii="Times New Roman" w:hAnsi="Times New Roman"/>
          <w:b w:val="0"/>
          <w:i w:val="0"/>
          <w:sz w:val="22"/>
          <w:u w:val="none"/>
        </w:rPr>
        <w:t>[19]  D. Hendrycks and K. Gimpel, "A Baseline for Detecting Misclassified and Out-of-Distribution Examples in Neural Networks," in Proc. ICLR, 2017.</w:t>
      </w:r>
    </w:p>
    <w:p>
      <w:pPr>
        <w:spacing w:before="40" w:after="80" w:line="320" w:lineRule="exact"/>
        <w:ind w:left="576" w:hanging="576"/>
      </w:pPr>
      <w:r>
        <w:rPr>
          <w:rFonts w:ascii="Times New Roman" w:hAnsi="Times New Roman"/>
          <w:b w:val="0"/>
          <w:i w:val="0"/>
          <w:sz w:val="22"/>
          <w:u w:val="none"/>
        </w:rPr>
        <w:t>[20]  M. Topaz, L. Seger, and K. Bowles, "The Intersection of Big Data and Clinical Decision Support: Implications for Nursing Practice," Nursing Administration Quarterly, vol. 40, no. 4, pp. 304–310, 2016.</w:t>
      </w:r>
    </w:p>
    <w:p>
      <w:pPr>
        <w:spacing w:before="40" w:after="80" w:line="320" w:lineRule="exact"/>
        <w:ind w:left="576" w:hanging="576"/>
      </w:pPr>
      <w:r>
        <w:rPr>
          <w:rFonts w:ascii="Times New Roman" w:hAnsi="Times New Roman"/>
          <w:b w:val="0"/>
          <w:i w:val="0"/>
          <w:sz w:val="22"/>
          <w:u w:val="none"/>
        </w:rPr>
        <w:t>[21]  F. Pedregosa et al., "Scikit-learn: Machine Learning in Python," Journal of Machine Learning Research, vol. 12, pp. 2825–2830, 2011.</w:t>
      </w:r>
    </w:p>
    <w:p>
      <w:pPr>
        <w:spacing w:before="40" w:after="80" w:line="320" w:lineRule="exact"/>
        <w:ind w:left="576" w:hanging="576"/>
      </w:pPr>
      <w:r>
        <w:rPr>
          <w:rFonts w:ascii="Times New Roman" w:hAnsi="Times New Roman"/>
          <w:b w:val="0"/>
          <w:i w:val="0"/>
          <w:sz w:val="22"/>
          <w:u w:val="none"/>
        </w:rPr>
        <w:t>[22]  A. Streamlit, "Streamlit: The Fastest Way to Build and Share Data Apps," Streamlit Inc., 2019. [Online]. Available: https://streamlit.io</w:t>
      </w:r>
    </w:p>
    <w:p>
      <w:pPr>
        <w:spacing w:before="40" w:after="80" w:line="320" w:lineRule="exact"/>
        <w:ind w:left="576" w:hanging="576"/>
      </w:pPr>
      <w:r>
        <w:rPr>
          <w:rFonts w:ascii="Times New Roman" w:hAnsi="Times New Roman"/>
          <w:b w:val="0"/>
          <w:i w:val="0"/>
          <w:sz w:val="22"/>
          <w:u w:val="none"/>
        </w:rPr>
        <w:t>[23]  Ministry of Health and Family Welfare, Government of India, "Telemedicine Practice Guidelines," 2020. [Online]. Available: https://www.mohfw.gov.in/pdf/Telemedicine.pdf</w:t>
      </w:r>
    </w:p>
    <w:p>
      <w:pPr>
        <w:spacing w:before="40" w:after="80" w:line="320" w:lineRule="exact"/>
        <w:ind w:left="576" w:hanging="576"/>
      </w:pPr>
      <w:r>
        <w:rPr>
          <w:rFonts w:ascii="Times New Roman" w:hAnsi="Times New Roman"/>
          <w:b w:val="0"/>
          <w:i w:val="0"/>
          <w:sz w:val="22"/>
          <w:u w:val="none"/>
        </w:rPr>
        <w:t>[24]  World Health Organization, "World Health Statistics 2022: Monitoring Health for the SDGs," WHO Press, Geneva, 2022.</w:t>
      </w:r>
    </w:p>
    <w:p>
      <w:pPr>
        <w:spacing w:before="40" w:after="80" w:line="320" w:lineRule="exact"/>
        <w:ind w:left="576" w:hanging="576"/>
      </w:pPr>
      <w:r>
        <w:rPr>
          <w:rFonts w:ascii="Times New Roman" w:hAnsi="Times New Roman"/>
          <w:b w:val="0"/>
          <w:i w:val="0"/>
          <w:sz w:val="22"/>
          <w:u w:val="none"/>
        </w:rPr>
        <w:t>[25]  T. Chen and C. Guestrin, "XGBoost: A Scalable Tree Boosting System," in Proc. ACM SIGKDD, 2016, pp. 785–794.</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