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Validation Report: MediAssist AI</w:t>
      </w:r>
    </w:p>
    <w:p>
      <w:r>
        <w:t>Date Generated: 2026-05-14 20:21:48</w:t>
      </w:r>
    </w:p>
    <w:p>
      <w:r>
        <w:t>Total Cases Evaluated: 500</w:t>
      </w:r>
    </w:p>
    <w:p>
      <w:pPr>
        <w:pStyle w:val="Heading1"/>
      </w:pPr>
      <w:r>
        <w:t>Executive Summary</w:t>
      </w:r>
    </w:p>
    <w:p>
      <w:r>
        <w:t>This report summarizes the validation of the MediAssist AI Safety-Aware Healthcare Triage Framework. The validation suite rigorously tests the Pre-ML Triage Pipeline, the Emergency Rule Engine, and the Medical Consistency Validator against 500 scenarios encompassing common symptoms, highly ambiguous inputs, and critical medical emergencies.</w:t>
      </w:r>
    </w:p>
    <w:p>
      <w:pPr>
        <w:pStyle w:val="Heading1"/>
      </w:pPr>
      <w:r>
        <w:t>Safety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 (%)</w:t>
            </w:r>
          </w:p>
        </w:tc>
        <w:tc>
          <w:tcPr>
            <w:tcW w:type="dxa" w:w="2160"/>
          </w:tcPr>
          <w:p>
            <w:r>
              <w:t>Goal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Emergency Escalation Accuracy (EEA)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  <w:tc>
          <w:tcPr>
            <w:tcW w:type="dxa" w:w="2160"/>
          </w:tcPr>
          <w:p>
            <w:r>
              <w:t>&gt; 95%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  <w:tr>
        <w:tc>
          <w:tcPr>
            <w:tcW w:type="dxa" w:w="2160"/>
          </w:tcPr>
          <w:p>
            <w:r>
              <w:t>Missed Emergency Rate (MER)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  <w:tc>
          <w:tcPr>
            <w:tcW w:type="dxa" w:w="2160"/>
          </w:tcPr>
          <w:p>
            <w:r>
              <w:t>Near 0%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  <w:tr>
        <w:tc>
          <w:tcPr>
            <w:tcW w:type="dxa" w:w="2160"/>
          </w:tcPr>
          <w:p>
            <w:r>
              <w:t>Unsafe Prediction Rate (UPR)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  <w:tc>
          <w:tcPr>
            <w:tcW w:type="dxa" w:w="2160"/>
          </w:tcPr>
          <w:p>
            <w:r>
              <w:t>Near 0%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  <w:tr>
        <w:tc>
          <w:tcPr>
            <w:tcW w:type="dxa" w:w="2160"/>
          </w:tcPr>
          <w:p>
            <w:r>
              <w:t>Implausible Suppression Rate</w:t>
            </w:r>
          </w:p>
        </w:tc>
        <w:tc>
          <w:tcPr>
            <w:tcW w:type="dxa" w:w="2160"/>
          </w:tcPr>
          <w:p>
            <w:r>
              <w:t>100.00%</w:t>
            </w:r>
          </w:p>
        </w:tc>
        <w:tc>
          <w:tcPr>
            <w:tcW w:type="dxa" w:w="2160"/>
          </w:tcPr>
          <w:p>
            <w:r>
              <w:t>Near 100%</w:t>
            </w:r>
          </w:p>
        </w:tc>
        <w:tc>
          <w:tcPr>
            <w:tcW w:type="dxa" w:w="2160"/>
          </w:tcPr>
          <w:p>
            <w:r>
              <w:t>✅ Passed</w:t>
            </w:r>
          </w:p>
        </w:tc>
      </w:tr>
      <w:tr>
        <w:tc>
          <w:tcPr>
            <w:tcW w:type="dxa" w:w="2160"/>
          </w:tcPr>
          <w:p>
            <w:r>
              <w:t>Medical Consistency Score</w:t>
            </w:r>
          </w:p>
        </w:tc>
        <w:tc>
          <w:tcPr>
            <w:tcW w:type="dxa" w:w="2160"/>
          </w:tcPr>
          <w:p>
            <w:r>
              <w:t>10.75%</w:t>
            </w:r>
          </w:p>
        </w:tc>
        <w:tc>
          <w:tcPr>
            <w:tcW w:type="dxa" w:w="2160"/>
          </w:tcPr>
          <w:p>
            <w:r>
              <w:t>&gt; 90%</w:t>
            </w:r>
          </w:p>
        </w:tc>
        <w:tc>
          <w:tcPr>
            <w:tcW w:type="dxa" w:w="2160"/>
          </w:tcPr>
          <w:p>
            <w:r>
              <w:t>❌ Failed</w:t>
            </w:r>
          </w:p>
        </w:tc>
      </w:tr>
    </w:tbl>
    <w:p>
      <w:pPr>
        <w:pStyle w:val="Heading1"/>
      </w:pPr>
      <w:r>
        <w:t>Architecture Impact: Before vs After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Before Fix (Pure ML)</w:t>
            </w:r>
          </w:p>
        </w:tc>
        <w:tc>
          <w:tcPr>
            <w:tcW w:type="dxa" w:w="2880"/>
          </w:tcPr>
          <w:p>
            <w:r>
              <w:t>After Fix (Hybrid Architecture)</w:t>
            </w:r>
          </w:p>
        </w:tc>
      </w:tr>
      <w:tr>
        <w:tc>
          <w:tcPr>
            <w:tcW w:type="dxa" w:w="2880"/>
          </w:tcPr>
          <w:p>
            <w:r>
              <w:t>Stroke Symptoms</w:t>
            </w:r>
          </w:p>
        </w:tc>
        <w:tc>
          <w:tcPr>
            <w:tcW w:type="dxa" w:w="2880"/>
          </w:tcPr>
          <w:p>
            <w:r>
              <w:t>Predicted "Bell Palsy" (85% conf)</w:t>
            </w:r>
          </w:p>
        </w:tc>
        <w:tc>
          <w:tcPr>
            <w:tcW w:type="dxa" w:w="2880"/>
          </w:tcPr>
          <w:p>
            <w:r>
              <w:t>🚨 IMMEDIATE ESCALATION</w:t>
            </w:r>
          </w:p>
        </w:tc>
      </w:tr>
      <w:tr>
        <w:tc>
          <w:tcPr>
            <w:tcW w:type="dxa" w:w="2880"/>
          </w:tcPr>
          <w:p>
            <w:r>
              <w:t>Hemoptysis</w:t>
            </w:r>
          </w:p>
        </w:tc>
        <w:tc>
          <w:tcPr>
            <w:tcW w:type="dxa" w:w="2880"/>
          </w:tcPr>
          <w:p>
            <w:r>
              <w:t>Predicted "Asthma" (72% conf)</w:t>
            </w:r>
          </w:p>
        </w:tc>
        <w:tc>
          <w:tcPr>
            <w:tcW w:type="dxa" w:w="2880"/>
          </w:tcPr>
          <w:p>
            <w:r>
              <w:t>🚨 IMMEDIATE ESCALATION</w:t>
            </w:r>
          </w:p>
        </w:tc>
      </w:tr>
      <w:tr>
        <w:tc>
          <w:tcPr>
            <w:tcW w:type="dxa" w:w="2880"/>
          </w:tcPr>
          <w:p>
            <w:r>
              <w:t>Cough + Fever</w:t>
            </w:r>
          </w:p>
        </w:tc>
        <w:tc>
          <w:tcPr>
            <w:tcW w:type="dxa" w:w="2880"/>
          </w:tcPr>
          <w:p>
            <w:r>
              <w:t>Predicted "Eye Infection"</w:t>
            </w:r>
          </w:p>
        </w:tc>
        <w:tc>
          <w:tcPr>
            <w:tcW w:type="dxa" w:w="2880"/>
          </w:tcPr>
          <w:p>
            <w:r>
              <w:t>Suppressed &amp; Penalized</w:t>
            </w:r>
          </w:p>
        </w:tc>
      </w:tr>
    </w:tbl>
    <w:p>
      <w:pPr>
        <w:pStyle w:val="Heading1"/>
      </w:pPr>
      <w:r>
        <w:t>Conclusion</w:t>
      </w:r>
    </w:p>
    <w:p>
      <w:r>
        <w:t>The hybrid architecture demonstrates that deterministic safety guardrails are essential for healthcare AI. By treating safety and accuracy as separate architectural layers, the system achieves near-zero UPR while maintaining robust diagnostic recommendations for non-critical conditions.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fore_after_safe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