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color w:val="0F172A"/>
          <w:sz w:val="40"/>
        </w:rPr>
        <w:t>ADAPTIVE FEDERATED LEARNING WITH DIVERGENCE-AWARE AGGREGATION FOR NON-IID MEDICAL IMAGING</w:t>
      </w:r>
    </w:p>
    <w:p>
      <w:pPr>
        <w:spacing w:after="480"/>
        <w:jc w:val="center"/>
      </w:pPr>
      <w:r>
        <w:rPr>
          <w:rFonts w:ascii="Times New Roman" w:hAnsi="Times New Roman"/>
          <w:i/>
          <w:color w:val="475569"/>
          <w:sz w:val="26"/>
        </w:rPr>
        <w:t>A Master's Research Proposal Submitted to the Department of Computer Science &amp; Artificial Intelligence</w:t>
      </w:r>
    </w:p>
    <w:p>
      <w:r>
        <w:br w:type="page"/>
      </w:r>
    </w:p>
    <w:p>
      <w:pPr>
        <w:keepNext/>
        <w:spacing w:before="280" w:after="120"/>
      </w:pPr>
      <w:r>
        <w:rPr>
          <w:rFonts w:ascii="Times New Roman" w:hAnsi="Times New Roman"/>
          <w:b/>
          <w:color w:val="0F172A"/>
          <w:sz w:val="32"/>
        </w:rPr>
        <w:t>TABLE OF CONTENTS</w:t>
      </w:r>
    </w:p>
    <w:p>
      <w:pPr>
        <w:spacing w:after="40" w:line="276" w:lineRule="auto"/>
      </w:pPr>
      <w:r>
        <w:rPr>
          <w:rFonts w:ascii="Times New Roman" w:hAnsi="Times New Roman"/>
          <w:b/>
          <w:color w:val="0F172A"/>
          <w:sz w:val="22"/>
        </w:rPr>
        <w:t>1. INTRODUCTION</w:t>
      </w:r>
      <w:r>
        <w:rPr>
          <w:rFonts w:ascii="Times New Roman" w:hAnsi="Times New Roman"/>
          <w:color w:val="94A3B8"/>
          <w:sz w:val="20"/>
        </w:rPr>
        <w:t xml:space="preserve"> ..................................................................... </w:t>
      </w:r>
      <w:r>
        <w:rPr>
          <w:rFonts w:ascii="Times New Roman" w:hAnsi="Times New Roman"/>
          <w:b/>
          <w:sz w:val="22"/>
        </w:rPr>
        <w:t>1</w:t>
      </w:r>
    </w:p>
    <w:p>
      <w:pPr>
        <w:spacing w:after="40" w:line="276" w:lineRule="auto"/>
      </w:pPr>
      <w:r>
        <w:rPr>
          <w:rFonts w:ascii="Times New Roman" w:hAnsi="Times New Roman"/>
          <w:color w:val="334155"/>
          <w:sz w:val="22"/>
        </w:rPr>
        <w:t xml:space="preserve">   1.1 Background of the Study</w:t>
      </w:r>
      <w:r>
        <w:rPr>
          <w:rFonts w:ascii="Times New Roman" w:hAnsi="Times New Roman"/>
          <w:color w:val="94A3B8"/>
          <w:sz w:val="20"/>
        </w:rPr>
        <w:t xml:space="preserve"> ...................................................... </w:t>
      </w:r>
      <w:r>
        <w:rPr>
          <w:rFonts w:ascii="Times New Roman" w:hAnsi="Times New Roman"/>
          <w:b/>
          <w:sz w:val="22"/>
        </w:rPr>
        <w:t>1</w:t>
      </w:r>
    </w:p>
    <w:p>
      <w:pPr>
        <w:spacing w:after="40" w:line="276" w:lineRule="auto"/>
      </w:pPr>
      <w:r>
        <w:rPr>
          <w:rFonts w:ascii="Times New Roman" w:hAnsi="Times New Roman"/>
          <w:color w:val="334155"/>
          <w:sz w:val="22"/>
        </w:rPr>
        <w:t xml:space="preserve">   1.2 Statement of the Problem</w:t>
      </w:r>
      <w:r>
        <w:rPr>
          <w:rFonts w:ascii="Times New Roman" w:hAnsi="Times New Roman"/>
          <w:color w:val="94A3B8"/>
          <w:sz w:val="20"/>
        </w:rPr>
        <w:t xml:space="preserve"> ..................................................... </w:t>
      </w:r>
      <w:r>
        <w:rPr>
          <w:rFonts w:ascii="Times New Roman" w:hAnsi="Times New Roman"/>
          <w:b/>
          <w:sz w:val="22"/>
        </w:rPr>
        <w:t>2</w:t>
      </w:r>
    </w:p>
    <w:p>
      <w:pPr>
        <w:spacing w:after="40" w:line="276" w:lineRule="auto"/>
      </w:pPr>
      <w:r>
        <w:rPr>
          <w:rFonts w:ascii="Times New Roman" w:hAnsi="Times New Roman"/>
          <w:color w:val="334155"/>
          <w:sz w:val="22"/>
        </w:rPr>
        <w:t xml:space="preserve">   1.3 Research Questions</w:t>
      </w:r>
      <w:r>
        <w:rPr>
          <w:rFonts w:ascii="Times New Roman" w:hAnsi="Times New Roman"/>
          <w:color w:val="94A3B8"/>
          <w:sz w:val="20"/>
        </w:rPr>
        <w:t xml:space="preserve"> ........................................................... </w:t>
      </w:r>
      <w:r>
        <w:rPr>
          <w:rFonts w:ascii="Times New Roman" w:hAnsi="Times New Roman"/>
          <w:b/>
          <w:sz w:val="22"/>
        </w:rPr>
        <w:t>3</w:t>
      </w:r>
    </w:p>
    <w:p>
      <w:pPr>
        <w:spacing w:after="40" w:line="276" w:lineRule="auto"/>
      </w:pPr>
      <w:r>
        <w:rPr>
          <w:rFonts w:ascii="Times New Roman" w:hAnsi="Times New Roman"/>
          <w:color w:val="334155"/>
          <w:sz w:val="22"/>
        </w:rPr>
        <w:t xml:space="preserve">   1.4 Research Objectives</w:t>
      </w:r>
      <w:r>
        <w:rPr>
          <w:rFonts w:ascii="Times New Roman" w:hAnsi="Times New Roman"/>
          <w:color w:val="94A3B8"/>
          <w:sz w:val="20"/>
        </w:rPr>
        <w:t xml:space="preserve"> .......................................................... </w:t>
      </w:r>
      <w:r>
        <w:rPr>
          <w:rFonts w:ascii="Times New Roman" w:hAnsi="Times New Roman"/>
          <w:b/>
          <w:sz w:val="22"/>
        </w:rPr>
        <w:t>3</w:t>
      </w:r>
    </w:p>
    <w:p>
      <w:pPr>
        <w:spacing w:after="40" w:line="276" w:lineRule="auto"/>
      </w:pPr>
      <w:r>
        <w:rPr>
          <w:rFonts w:ascii="Times New Roman" w:hAnsi="Times New Roman"/>
          <w:color w:val="334155"/>
          <w:sz w:val="22"/>
        </w:rPr>
        <w:t xml:space="preserve">   1.5 Significance of the Study</w:t>
      </w:r>
      <w:r>
        <w:rPr>
          <w:rFonts w:ascii="Times New Roman" w:hAnsi="Times New Roman"/>
          <w:color w:val="94A3B8"/>
          <w:sz w:val="20"/>
        </w:rPr>
        <w:t xml:space="preserve"> .................................................... </w:t>
      </w:r>
      <w:r>
        <w:rPr>
          <w:rFonts w:ascii="Times New Roman" w:hAnsi="Times New Roman"/>
          <w:b/>
          <w:sz w:val="22"/>
        </w:rPr>
        <w:t>4</w:t>
      </w:r>
    </w:p>
    <w:p>
      <w:pPr>
        <w:spacing w:after="40" w:line="276" w:lineRule="auto"/>
      </w:pPr>
      <w:r>
        <w:rPr>
          <w:rFonts w:ascii="Times New Roman" w:hAnsi="Times New Roman"/>
          <w:color w:val="334155"/>
          <w:sz w:val="22"/>
        </w:rPr>
        <w:t xml:space="preserve">   1.6 Scope and Delimitations</w:t>
      </w:r>
      <w:r>
        <w:rPr>
          <w:rFonts w:ascii="Times New Roman" w:hAnsi="Times New Roman"/>
          <w:color w:val="94A3B8"/>
          <w:sz w:val="20"/>
        </w:rPr>
        <w:t xml:space="preserve"> ...................................................... </w:t>
      </w:r>
      <w:r>
        <w:rPr>
          <w:rFonts w:ascii="Times New Roman" w:hAnsi="Times New Roman"/>
          <w:b/>
          <w:sz w:val="22"/>
        </w:rPr>
        <w:t>5</w:t>
      </w:r>
    </w:p>
    <w:p>
      <w:pPr>
        <w:spacing w:after="40" w:line="276" w:lineRule="auto"/>
      </w:pPr>
      <w:r>
        <w:rPr>
          <w:rFonts w:ascii="Times New Roman" w:hAnsi="Times New Roman"/>
          <w:color w:val="334155"/>
          <w:sz w:val="22"/>
        </w:rPr>
        <w:t xml:space="preserve">   1.7 Organization of the Proposal</w:t>
      </w:r>
      <w:r>
        <w:rPr>
          <w:rFonts w:ascii="Times New Roman" w:hAnsi="Times New Roman"/>
          <w:color w:val="94A3B8"/>
          <w:sz w:val="20"/>
        </w:rPr>
        <w:t xml:space="preserve"> ................................................. </w:t>
      </w:r>
      <w:r>
        <w:rPr>
          <w:rFonts w:ascii="Times New Roman" w:hAnsi="Times New Roman"/>
          <w:b/>
          <w:sz w:val="22"/>
        </w:rPr>
        <w:t>5</w:t>
      </w:r>
    </w:p>
    <w:p>
      <w:pPr>
        <w:spacing w:after="40" w:line="276" w:lineRule="auto"/>
      </w:pPr>
      <w:r>
        <w:rPr>
          <w:rFonts w:ascii="Times New Roman" w:hAnsi="Times New Roman"/>
          <w:color w:val="334155"/>
          <w:sz w:val="22"/>
        </w:rPr>
        <w:t xml:space="preserve">   1.8 Definition of Abbreviations &amp; Terminology</w:t>
      </w:r>
      <w:r>
        <w:rPr>
          <w:rFonts w:ascii="Times New Roman" w:hAnsi="Times New Roman"/>
          <w:color w:val="94A3B8"/>
          <w:sz w:val="20"/>
        </w:rPr>
        <w:t xml:space="preserve"> .................................... </w:t>
      </w:r>
      <w:r>
        <w:rPr>
          <w:rFonts w:ascii="Times New Roman" w:hAnsi="Times New Roman"/>
          <w:b/>
          <w:sz w:val="22"/>
        </w:rPr>
        <w:t>6</w:t>
      </w:r>
    </w:p>
    <w:p>
      <w:pPr>
        <w:spacing w:after="40" w:line="276" w:lineRule="auto"/>
      </w:pPr>
      <w:r>
        <w:rPr>
          <w:rFonts w:ascii="Times New Roman" w:hAnsi="Times New Roman"/>
          <w:b/>
          <w:color w:val="0F172A"/>
          <w:sz w:val="22"/>
        </w:rPr>
        <w:t>2. LITERATURE REVIEW</w:t>
      </w:r>
      <w:r>
        <w:rPr>
          <w:rFonts w:ascii="Times New Roman" w:hAnsi="Times New Roman"/>
          <w:color w:val="94A3B8"/>
          <w:sz w:val="20"/>
        </w:rPr>
        <w:t xml:space="preserve"> ................................................................ </w:t>
      </w:r>
      <w:r>
        <w:rPr>
          <w:rFonts w:ascii="Times New Roman" w:hAnsi="Times New Roman"/>
          <w:b/>
          <w:sz w:val="22"/>
        </w:rPr>
        <w:t>7</w:t>
      </w:r>
    </w:p>
    <w:p>
      <w:pPr>
        <w:spacing w:after="40" w:line="276" w:lineRule="auto"/>
      </w:pPr>
      <w:r>
        <w:rPr>
          <w:rFonts w:ascii="Times New Roman" w:hAnsi="Times New Roman"/>
          <w:color w:val="334155"/>
          <w:sz w:val="22"/>
        </w:rPr>
        <w:t xml:space="preserve">   2.1 Overview of Federated Learning in Healthcare</w:t>
      </w:r>
      <w:r>
        <w:rPr>
          <w:rFonts w:ascii="Times New Roman" w:hAnsi="Times New Roman"/>
          <w:color w:val="94A3B8"/>
          <w:sz w:val="20"/>
        </w:rPr>
        <w:t xml:space="preserve"> ................................. </w:t>
      </w:r>
      <w:r>
        <w:rPr>
          <w:rFonts w:ascii="Times New Roman" w:hAnsi="Times New Roman"/>
          <w:b/>
          <w:sz w:val="22"/>
        </w:rPr>
        <w:t>7</w:t>
      </w:r>
    </w:p>
    <w:p>
      <w:pPr>
        <w:spacing w:after="40" w:line="276" w:lineRule="auto"/>
      </w:pPr>
      <w:r>
        <w:rPr>
          <w:rFonts w:ascii="Times New Roman" w:hAnsi="Times New Roman"/>
          <w:color w:val="334155"/>
          <w:sz w:val="22"/>
        </w:rPr>
        <w:t xml:space="preserve">   2.2 Theoretical Foundations of Distributed Optimization</w:t>
      </w:r>
      <w:r>
        <w:rPr>
          <w:rFonts w:ascii="Times New Roman" w:hAnsi="Times New Roman"/>
          <w:color w:val="94A3B8"/>
          <w:sz w:val="20"/>
        </w:rPr>
        <w:t xml:space="preserve"> .......................... </w:t>
      </w:r>
      <w:r>
        <w:rPr>
          <w:rFonts w:ascii="Times New Roman" w:hAnsi="Times New Roman"/>
          <w:b/>
          <w:sz w:val="22"/>
        </w:rPr>
        <w:t>8</w:t>
      </w:r>
    </w:p>
    <w:p>
      <w:pPr>
        <w:spacing w:after="40" w:line="276" w:lineRule="auto"/>
      </w:pPr>
      <w:r>
        <w:rPr>
          <w:rFonts w:ascii="Times New Roman" w:hAnsi="Times New Roman"/>
          <w:color w:val="334155"/>
          <w:sz w:val="22"/>
        </w:rPr>
        <w:t xml:space="preserve">   2.3 Non-IID Data Distributions in Medical Imaging</w:t>
      </w:r>
      <w:r>
        <w:rPr>
          <w:rFonts w:ascii="Times New Roman" w:hAnsi="Times New Roman"/>
          <w:color w:val="94A3B8"/>
          <w:sz w:val="20"/>
        </w:rPr>
        <w:t xml:space="preserve"> ................................ </w:t>
      </w:r>
      <w:r>
        <w:rPr>
          <w:rFonts w:ascii="Times New Roman" w:hAnsi="Times New Roman"/>
          <w:b/>
          <w:sz w:val="22"/>
        </w:rPr>
        <w:t>9</w:t>
      </w:r>
    </w:p>
    <w:p>
      <w:pPr>
        <w:spacing w:after="40" w:line="276" w:lineRule="auto"/>
      </w:pPr>
      <w:r>
        <w:rPr>
          <w:rFonts w:ascii="Times New Roman" w:hAnsi="Times New Roman"/>
          <w:color w:val="334155"/>
          <w:sz w:val="22"/>
        </w:rPr>
        <w:t xml:space="preserve">   2.4 Existing Approaches to Heterogeneity in Federated Learning</w:t>
      </w:r>
      <w:r>
        <w:rPr>
          <w:rFonts w:ascii="Times New Roman" w:hAnsi="Times New Roman"/>
          <w:color w:val="94A3B8"/>
          <w:sz w:val="20"/>
        </w:rPr>
        <w:t xml:space="preserve"> .................. </w:t>
      </w:r>
      <w:r>
        <w:rPr>
          <w:rFonts w:ascii="Times New Roman" w:hAnsi="Times New Roman"/>
          <w:b/>
          <w:sz w:val="22"/>
        </w:rPr>
        <w:t>10</w:t>
      </w:r>
    </w:p>
    <w:p>
      <w:pPr>
        <w:spacing w:after="40" w:line="276" w:lineRule="auto"/>
      </w:pPr>
      <w:r>
        <w:rPr>
          <w:rFonts w:ascii="Times New Roman" w:hAnsi="Times New Roman"/>
          <w:color w:val="334155"/>
          <w:sz w:val="22"/>
        </w:rPr>
        <w:t xml:space="preserve">   2.5 Divergence Metrics and Weight Drift Mitigation</w:t>
      </w:r>
      <w:r>
        <w:rPr>
          <w:rFonts w:ascii="Times New Roman" w:hAnsi="Times New Roman"/>
          <w:color w:val="94A3B8"/>
          <w:sz w:val="20"/>
        </w:rPr>
        <w:t xml:space="preserve"> .............................. </w:t>
      </w:r>
      <w:r>
        <w:rPr>
          <w:rFonts w:ascii="Times New Roman" w:hAnsi="Times New Roman"/>
          <w:b/>
          <w:sz w:val="22"/>
        </w:rPr>
        <w:t>11</w:t>
      </w:r>
    </w:p>
    <w:p>
      <w:pPr>
        <w:spacing w:after="40" w:line="276" w:lineRule="auto"/>
      </w:pPr>
      <w:r>
        <w:rPr>
          <w:rFonts w:ascii="Times New Roman" w:hAnsi="Times New Roman"/>
          <w:color w:val="334155"/>
          <w:sz w:val="22"/>
        </w:rPr>
        <w:t xml:space="preserve">   2.6 Centralized vs. Decentralized Deep Learning in Healthcare</w:t>
      </w:r>
      <w:r>
        <w:rPr>
          <w:rFonts w:ascii="Times New Roman" w:hAnsi="Times New Roman"/>
          <w:color w:val="94A3B8"/>
          <w:sz w:val="20"/>
        </w:rPr>
        <w:t xml:space="preserve"> ................... </w:t>
      </w:r>
      <w:r>
        <w:rPr>
          <w:rFonts w:ascii="Times New Roman" w:hAnsi="Times New Roman"/>
          <w:b/>
          <w:sz w:val="22"/>
        </w:rPr>
        <w:t>11</w:t>
      </w:r>
    </w:p>
    <w:p>
      <w:pPr>
        <w:spacing w:after="40" w:line="276" w:lineRule="auto"/>
      </w:pPr>
      <w:r>
        <w:rPr>
          <w:rFonts w:ascii="Times New Roman" w:hAnsi="Times New Roman"/>
          <w:color w:val="334155"/>
          <w:sz w:val="22"/>
        </w:rPr>
        <w:t xml:space="preserve">   2.7 Non-IID Data Heterogeneity and Statistical Challenges</w:t>
      </w:r>
      <w:r>
        <w:rPr>
          <w:rFonts w:ascii="Times New Roman" w:hAnsi="Times New Roman"/>
          <w:color w:val="94A3B8"/>
          <w:sz w:val="20"/>
        </w:rPr>
        <w:t xml:space="preserve"> ....................... </w:t>
      </w:r>
      <w:r>
        <w:rPr>
          <w:rFonts w:ascii="Times New Roman" w:hAnsi="Times New Roman"/>
          <w:b/>
          <w:sz w:val="22"/>
        </w:rPr>
        <w:t>12</w:t>
      </w:r>
    </w:p>
    <w:p>
      <w:pPr>
        <w:spacing w:after="40" w:line="276" w:lineRule="auto"/>
      </w:pPr>
      <w:r>
        <w:rPr>
          <w:rFonts w:ascii="Times New Roman" w:hAnsi="Times New Roman"/>
          <w:color w:val="334155"/>
          <w:sz w:val="22"/>
        </w:rPr>
        <w:t xml:space="preserve">   2.8 Communication Overhead and Network Efficiency Constraints</w:t>
      </w:r>
      <w:r>
        <w:rPr>
          <w:rFonts w:ascii="Times New Roman" w:hAnsi="Times New Roman"/>
          <w:color w:val="94A3B8"/>
          <w:sz w:val="20"/>
        </w:rPr>
        <w:t xml:space="preserve"> ................... </w:t>
      </w:r>
      <w:r>
        <w:rPr>
          <w:rFonts w:ascii="Times New Roman" w:hAnsi="Times New Roman"/>
          <w:b/>
          <w:sz w:val="22"/>
        </w:rPr>
        <w:t>13</w:t>
      </w:r>
    </w:p>
    <w:p>
      <w:pPr>
        <w:spacing w:after="40" w:line="276" w:lineRule="auto"/>
      </w:pPr>
      <w:r>
        <w:rPr>
          <w:rFonts w:ascii="Times New Roman" w:hAnsi="Times New Roman"/>
          <w:color w:val="334155"/>
          <w:sz w:val="22"/>
        </w:rPr>
        <w:t xml:space="preserve">   2.9 Privacy-Preserving Techniques: Differential Privacy and Secure Aggregation</w:t>
      </w:r>
      <w:r>
        <w:rPr>
          <w:rFonts w:ascii="Times New Roman" w:hAnsi="Times New Roman"/>
          <w:color w:val="94A3B8"/>
          <w:sz w:val="20"/>
        </w:rPr>
        <w:t xml:space="preserve"> ..... </w:t>
      </w:r>
      <w:r>
        <w:rPr>
          <w:rFonts w:ascii="Times New Roman" w:hAnsi="Times New Roman"/>
          <w:b/>
          <w:sz w:val="22"/>
        </w:rPr>
        <w:t>14</w:t>
      </w:r>
    </w:p>
    <w:p>
      <w:pPr>
        <w:spacing w:after="40" w:line="276" w:lineRule="auto"/>
      </w:pPr>
      <w:r>
        <w:rPr>
          <w:rFonts w:ascii="Times New Roman" w:hAnsi="Times New Roman"/>
          <w:color w:val="334155"/>
          <w:sz w:val="22"/>
        </w:rPr>
        <w:t xml:space="preserve">   2.10 Standard Federated Averaging (FedAvg) and Its Limitations</w:t>
      </w:r>
      <w:r>
        <w:rPr>
          <w:rFonts w:ascii="Times New Roman" w:hAnsi="Times New Roman"/>
          <w:color w:val="94A3B8"/>
          <w:sz w:val="20"/>
        </w:rPr>
        <w:t xml:space="preserve"> .................. </w:t>
      </w:r>
      <w:r>
        <w:rPr>
          <w:rFonts w:ascii="Times New Roman" w:hAnsi="Times New Roman"/>
          <w:b/>
          <w:sz w:val="22"/>
        </w:rPr>
        <w:t>15</w:t>
      </w:r>
    </w:p>
    <w:p>
      <w:pPr>
        <w:spacing w:after="40" w:line="276" w:lineRule="auto"/>
      </w:pPr>
      <w:r>
        <w:rPr>
          <w:rFonts w:ascii="Times New Roman" w:hAnsi="Times New Roman"/>
          <w:color w:val="334155"/>
          <w:sz w:val="22"/>
        </w:rPr>
        <w:t xml:space="preserve">   2.11 Model Contrastive Federated Learning (MOON)</w:t>
      </w:r>
      <w:r>
        <w:rPr>
          <w:rFonts w:ascii="Times New Roman" w:hAnsi="Times New Roman"/>
          <w:color w:val="94A3B8"/>
          <w:sz w:val="20"/>
        </w:rPr>
        <w:t xml:space="preserve"> ................................ </w:t>
      </w:r>
      <w:r>
        <w:rPr>
          <w:rFonts w:ascii="Times New Roman" w:hAnsi="Times New Roman"/>
          <w:b/>
          <w:sz w:val="22"/>
        </w:rPr>
        <w:t>15</w:t>
      </w:r>
    </w:p>
    <w:p>
      <w:pPr>
        <w:spacing w:after="40" w:line="276" w:lineRule="auto"/>
      </w:pPr>
      <w:r>
        <w:rPr>
          <w:rFonts w:ascii="Times New Roman" w:hAnsi="Times New Roman"/>
          <w:color w:val="334155"/>
          <w:sz w:val="22"/>
        </w:rPr>
        <w:t xml:space="preserve">   2.12 Federated Proximal (FedProx) Optimization</w:t>
      </w:r>
      <w:r>
        <w:rPr>
          <w:rFonts w:ascii="Times New Roman" w:hAnsi="Times New Roman"/>
          <w:color w:val="94A3B8"/>
          <w:sz w:val="20"/>
        </w:rPr>
        <w:t xml:space="preserve"> .................................. </w:t>
      </w:r>
      <w:r>
        <w:rPr>
          <w:rFonts w:ascii="Times New Roman" w:hAnsi="Times New Roman"/>
          <w:b/>
          <w:sz w:val="22"/>
        </w:rPr>
        <w:t>16</w:t>
      </w:r>
    </w:p>
    <w:p>
      <w:pPr>
        <w:spacing w:after="40" w:line="276" w:lineRule="auto"/>
      </w:pPr>
      <w:r>
        <w:rPr>
          <w:rFonts w:ascii="Times New Roman" w:hAnsi="Times New Roman"/>
          <w:color w:val="334155"/>
          <w:sz w:val="22"/>
        </w:rPr>
        <w:t xml:space="preserve">   2.13 Scaffold and Control Variate Methods</w:t>
      </w:r>
      <w:r>
        <w:rPr>
          <w:rFonts w:ascii="Times New Roman" w:hAnsi="Times New Roman"/>
          <w:color w:val="94A3B8"/>
          <w:sz w:val="20"/>
        </w:rPr>
        <w:t xml:space="preserve"> ....................................... </w:t>
      </w:r>
      <w:r>
        <w:rPr>
          <w:rFonts w:ascii="Times New Roman" w:hAnsi="Times New Roman"/>
          <w:b/>
          <w:sz w:val="22"/>
        </w:rPr>
        <w:t>16</w:t>
      </w:r>
    </w:p>
    <w:p>
      <w:pPr>
        <w:spacing w:after="40" w:line="276" w:lineRule="auto"/>
      </w:pPr>
      <w:r>
        <w:rPr>
          <w:rFonts w:ascii="Times New Roman" w:hAnsi="Times New Roman"/>
          <w:color w:val="334155"/>
          <w:sz w:val="22"/>
        </w:rPr>
        <w:t xml:space="preserve">   2.14 Divergence-Aware Clustering and Hierarchical Aggregation</w:t>
      </w:r>
      <w:r>
        <w:rPr>
          <w:rFonts w:ascii="Times New Roman" w:hAnsi="Times New Roman"/>
          <w:color w:val="94A3B8"/>
          <w:sz w:val="20"/>
        </w:rPr>
        <w:t xml:space="preserve"> ................... </w:t>
      </w:r>
      <w:r>
        <w:rPr>
          <w:rFonts w:ascii="Times New Roman" w:hAnsi="Times New Roman"/>
          <w:b/>
          <w:sz w:val="22"/>
        </w:rPr>
        <w:t>17</w:t>
      </w:r>
    </w:p>
    <w:p>
      <w:pPr>
        <w:spacing w:after="40" w:line="276" w:lineRule="auto"/>
      </w:pPr>
      <w:r>
        <w:rPr>
          <w:rFonts w:ascii="Times New Roman" w:hAnsi="Times New Roman"/>
          <w:color w:val="334155"/>
          <w:sz w:val="22"/>
        </w:rPr>
        <w:t xml:space="preserve">   2.15 Knowledge Distillation and Teacher-Student Frameworks in FL</w:t>
      </w:r>
      <w:r>
        <w:rPr>
          <w:rFonts w:ascii="Times New Roman" w:hAnsi="Times New Roman"/>
          <w:color w:val="94A3B8"/>
          <w:sz w:val="20"/>
        </w:rPr>
        <w:t xml:space="preserve"> ................ </w:t>
      </w:r>
      <w:r>
        <w:rPr>
          <w:rFonts w:ascii="Times New Roman" w:hAnsi="Times New Roman"/>
          <w:b/>
          <w:sz w:val="22"/>
        </w:rPr>
        <w:t>18</w:t>
      </w:r>
    </w:p>
    <w:p>
      <w:pPr>
        <w:spacing w:after="40" w:line="276" w:lineRule="auto"/>
      </w:pPr>
      <w:r>
        <w:rPr>
          <w:rFonts w:ascii="Times New Roman" w:hAnsi="Times New Roman"/>
          <w:color w:val="334155"/>
          <w:sz w:val="22"/>
        </w:rPr>
        <w:t xml:space="preserve">   2.16 Domain Adaptation and Covariate Shift Mitigation in Medical Imaging</w:t>
      </w:r>
      <w:r>
        <w:rPr>
          <w:rFonts w:ascii="Times New Roman" w:hAnsi="Times New Roman"/>
          <w:color w:val="94A3B8"/>
          <w:sz w:val="20"/>
        </w:rPr>
        <w:t xml:space="preserve"> ........ </w:t>
      </w:r>
      <w:r>
        <w:rPr>
          <w:rFonts w:ascii="Times New Roman" w:hAnsi="Times New Roman"/>
          <w:b/>
          <w:sz w:val="22"/>
        </w:rPr>
        <w:t>18</w:t>
      </w:r>
    </w:p>
    <w:p>
      <w:pPr>
        <w:spacing w:after="40" w:line="276" w:lineRule="auto"/>
      </w:pPr>
      <w:r>
        <w:rPr>
          <w:rFonts w:ascii="Times New Roman" w:hAnsi="Times New Roman"/>
          <w:color w:val="334155"/>
          <w:sz w:val="22"/>
        </w:rPr>
        <w:t xml:space="preserve">   2.17 Convolutional Neural Networks (CNNs) in Medical Image Classification</w:t>
      </w:r>
      <w:r>
        <w:rPr>
          <w:rFonts w:ascii="Times New Roman" w:hAnsi="Times New Roman"/>
          <w:color w:val="94A3B8"/>
          <w:sz w:val="20"/>
        </w:rPr>
        <w:t xml:space="preserve"> ....... </w:t>
      </w:r>
      <w:r>
        <w:rPr>
          <w:rFonts w:ascii="Times New Roman" w:hAnsi="Times New Roman"/>
          <w:b/>
          <w:sz w:val="22"/>
        </w:rPr>
        <w:t>19</w:t>
      </w:r>
    </w:p>
    <w:p>
      <w:pPr>
        <w:spacing w:after="40" w:line="276" w:lineRule="auto"/>
      </w:pPr>
      <w:r>
        <w:rPr>
          <w:rFonts w:ascii="Times New Roman" w:hAnsi="Times New Roman"/>
          <w:color w:val="334155"/>
          <w:sz w:val="22"/>
        </w:rPr>
        <w:t xml:space="preserve">   2.18 Vision Transformers (ViTs) and Hybrid Architectures for Pathology &amp; MRI</w:t>
      </w:r>
      <w:r>
        <w:rPr>
          <w:rFonts w:ascii="Times New Roman" w:hAnsi="Times New Roman"/>
          <w:color w:val="94A3B8"/>
          <w:sz w:val="20"/>
        </w:rPr>
        <w:t xml:space="preserve"> ..... </w:t>
      </w:r>
      <w:r>
        <w:rPr>
          <w:rFonts w:ascii="Times New Roman" w:hAnsi="Times New Roman"/>
          <w:b/>
          <w:sz w:val="22"/>
        </w:rPr>
        <w:t>20</w:t>
      </w:r>
    </w:p>
    <w:p>
      <w:pPr>
        <w:spacing w:after="40" w:line="276" w:lineRule="auto"/>
      </w:pPr>
      <w:r>
        <w:rPr>
          <w:rFonts w:ascii="Times New Roman" w:hAnsi="Times New Roman"/>
          <w:color w:val="334155"/>
          <w:sz w:val="22"/>
        </w:rPr>
        <w:t xml:space="preserve">   2.19 Multi-Modal Medical Data Fusion (Imaging + Genomic/Clinical Text)</w:t>
      </w:r>
      <w:r>
        <w:rPr>
          <w:rFonts w:ascii="Times New Roman" w:hAnsi="Times New Roman"/>
          <w:color w:val="94A3B8"/>
          <w:sz w:val="20"/>
        </w:rPr>
        <w:t xml:space="preserve"> .......... </w:t>
      </w:r>
      <w:r>
        <w:rPr>
          <w:rFonts w:ascii="Times New Roman" w:hAnsi="Times New Roman"/>
          <w:b/>
          <w:sz w:val="22"/>
        </w:rPr>
        <w:t>20</w:t>
      </w:r>
    </w:p>
    <w:p>
      <w:pPr>
        <w:spacing w:after="40" w:line="276" w:lineRule="auto"/>
      </w:pPr>
      <w:r>
        <w:rPr>
          <w:rFonts w:ascii="Times New Roman" w:hAnsi="Times New Roman"/>
          <w:color w:val="334155"/>
          <w:sz w:val="22"/>
        </w:rPr>
        <w:t xml:space="preserve">   2.20 Jensen-Shannon Divergence (JSD) as a Statistical Distance Metric</w:t>
      </w:r>
      <w:r>
        <w:rPr>
          <w:rFonts w:ascii="Times New Roman" w:hAnsi="Times New Roman"/>
          <w:color w:val="94A3B8"/>
          <w:sz w:val="20"/>
        </w:rPr>
        <w:t xml:space="preserve"> ........... </w:t>
      </w:r>
      <w:r>
        <w:rPr>
          <w:rFonts w:ascii="Times New Roman" w:hAnsi="Times New Roman"/>
          <w:b/>
          <w:sz w:val="22"/>
        </w:rPr>
        <w:t>21</w:t>
      </w:r>
    </w:p>
    <w:p>
      <w:pPr>
        <w:spacing w:after="40" w:line="276" w:lineRule="auto"/>
      </w:pPr>
      <w:r>
        <w:rPr>
          <w:rFonts w:ascii="Times New Roman" w:hAnsi="Times New Roman"/>
          <w:color w:val="334155"/>
          <w:sz w:val="22"/>
        </w:rPr>
        <w:t xml:space="preserve">   2.21 Adaptive Weighting and Dynamic Aggregation Protocols</w:t>
      </w:r>
      <w:r>
        <w:rPr>
          <w:rFonts w:ascii="Times New Roman" w:hAnsi="Times New Roman"/>
          <w:color w:val="94A3B8"/>
          <w:sz w:val="20"/>
        </w:rPr>
        <w:t xml:space="preserve"> ....................... </w:t>
      </w:r>
      <w:r>
        <w:rPr>
          <w:rFonts w:ascii="Times New Roman" w:hAnsi="Times New Roman"/>
          <w:b/>
          <w:sz w:val="22"/>
        </w:rPr>
        <w:t>22</w:t>
      </w:r>
    </w:p>
    <w:p>
      <w:pPr>
        <w:spacing w:after="40" w:line="276" w:lineRule="auto"/>
      </w:pPr>
      <w:r>
        <w:rPr>
          <w:rFonts w:ascii="Times New Roman" w:hAnsi="Times New Roman"/>
          <w:color w:val="334155"/>
          <w:sz w:val="22"/>
        </w:rPr>
        <w:t xml:space="preserve">   2.22 Summary of Identified Gaps and Research Opportunity</w:t>
      </w:r>
      <w:r>
        <w:rPr>
          <w:rFonts w:ascii="Times New Roman" w:hAnsi="Times New Roman"/>
          <w:color w:val="94A3B8"/>
          <w:sz w:val="20"/>
        </w:rPr>
        <w:t xml:space="preserve"> ........................ </w:t>
      </w:r>
      <w:r>
        <w:rPr>
          <w:rFonts w:ascii="Times New Roman" w:hAnsi="Times New Roman"/>
          <w:b/>
          <w:sz w:val="22"/>
        </w:rPr>
        <w:t>22</w:t>
      </w:r>
    </w:p>
    <w:p>
      <w:pPr>
        <w:spacing w:after="40" w:line="276" w:lineRule="auto"/>
      </w:pPr>
      <w:r>
        <w:rPr>
          <w:rFonts w:ascii="Times New Roman" w:hAnsi="Times New Roman"/>
          <w:b/>
          <w:color w:val="0F172A"/>
          <w:sz w:val="22"/>
        </w:rPr>
        <w:t>3. RESEARCH METHODOLOGY</w:t>
      </w:r>
      <w:r>
        <w:rPr>
          <w:rFonts w:ascii="Times New Roman" w:hAnsi="Times New Roman"/>
          <w:color w:val="94A3B8"/>
          <w:sz w:val="20"/>
        </w:rPr>
        <w:t xml:space="preserve"> ............................................................ </w:t>
      </w:r>
      <w:r>
        <w:rPr>
          <w:rFonts w:ascii="Times New Roman" w:hAnsi="Times New Roman"/>
          <w:b/>
          <w:sz w:val="22"/>
        </w:rPr>
        <w:t>23</w:t>
      </w:r>
    </w:p>
    <w:p>
      <w:pPr>
        <w:spacing w:after="40" w:line="276" w:lineRule="auto"/>
      </w:pPr>
      <w:r>
        <w:rPr>
          <w:rFonts w:ascii="Times New Roman" w:hAnsi="Times New Roman"/>
          <w:color w:val="334155"/>
          <w:sz w:val="22"/>
        </w:rPr>
        <w:t xml:space="preserve">   3.1 Overview of Proposed Methodology</w:t>
      </w:r>
      <w:r>
        <w:rPr>
          <w:rFonts w:ascii="Times New Roman" w:hAnsi="Times New Roman"/>
          <w:color w:val="94A3B8"/>
          <w:sz w:val="20"/>
        </w:rPr>
        <w:t xml:space="preserve"> ............................................ </w:t>
      </w:r>
      <w:r>
        <w:rPr>
          <w:rFonts w:ascii="Times New Roman" w:hAnsi="Times New Roman"/>
          <w:b/>
          <w:sz w:val="22"/>
        </w:rPr>
        <w:t>23</w:t>
      </w:r>
    </w:p>
    <w:p>
      <w:pPr>
        <w:spacing w:after="40" w:line="276" w:lineRule="auto"/>
      </w:pPr>
      <w:r>
        <w:rPr>
          <w:rFonts w:ascii="Times New Roman" w:hAnsi="Times New Roman"/>
          <w:color w:val="334155"/>
          <w:sz w:val="22"/>
        </w:rPr>
        <w:t xml:space="preserve">   3.2 Proposed System Architecture &amp; Data-Flow Pipeline</w:t>
      </w:r>
      <w:r>
        <w:rPr>
          <w:rFonts w:ascii="Times New Roman" w:hAnsi="Times New Roman"/>
          <w:color w:val="94A3B8"/>
          <w:sz w:val="20"/>
        </w:rPr>
        <w:t xml:space="preserve"> ........................... </w:t>
      </w:r>
      <w:r>
        <w:rPr>
          <w:rFonts w:ascii="Times New Roman" w:hAnsi="Times New Roman"/>
          <w:b/>
          <w:sz w:val="22"/>
        </w:rPr>
        <w:t>23</w:t>
      </w:r>
    </w:p>
    <w:p>
      <w:pPr>
        <w:spacing w:after="40" w:line="276" w:lineRule="auto"/>
      </w:pPr>
      <w:r>
        <w:rPr>
          <w:rFonts w:ascii="Times New Roman" w:hAnsi="Times New Roman"/>
          <w:color w:val="334155"/>
          <w:sz w:val="22"/>
        </w:rPr>
        <w:t xml:space="preserve">   3.3 Target Medical Imaging Datasets &amp; Multimodal Data Strategy</w:t>
      </w:r>
      <w:r>
        <w:rPr>
          <w:rFonts w:ascii="Times New Roman" w:hAnsi="Times New Roman"/>
          <w:color w:val="94A3B8"/>
          <w:sz w:val="20"/>
        </w:rPr>
        <w:t xml:space="preserve"> .................. </w:t>
      </w:r>
      <w:r>
        <w:rPr>
          <w:rFonts w:ascii="Times New Roman" w:hAnsi="Times New Roman"/>
          <w:b/>
          <w:sz w:val="22"/>
        </w:rPr>
        <w:t>24</w:t>
      </w:r>
    </w:p>
    <w:p>
      <w:pPr>
        <w:spacing w:after="40" w:line="276" w:lineRule="auto"/>
      </w:pPr>
      <w:r>
        <w:rPr>
          <w:rFonts w:ascii="Times New Roman" w:hAnsi="Times New Roman"/>
          <w:color w:val="334155"/>
          <w:sz w:val="22"/>
        </w:rPr>
        <w:t xml:space="preserve">   3.4 Data Preprocessing, Normalization, &amp; Data Augmentation Protocol</w:t>
      </w:r>
      <w:r>
        <w:rPr>
          <w:rFonts w:ascii="Times New Roman" w:hAnsi="Times New Roman"/>
          <w:color w:val="94A3B8"/>
          <w:sz w:val="20"/>
        </w:rPr>
        <w:t xml:space="preserve"> ............. </w:t>
      </w:r>
      <w:r>
        <w:rPr>
          <w:rFonts w:ascii="Times New Roman" w:hAnsi="Times New Roman"/>
          <w:b/>
          <w:sz w:val="22"/>
        </w:rPr>
        <w:t>25</w:t>
      </w:r>
    </w:p>
    <w:p>
      <w:pPr>
        <w:spacing w:after="40" w:line="276" w:lineRule="auto"/>
      </w:pPr>
      <w:r>
        <w:rPr>
          <w:rFonts w:ascii="Times New Roman" w:hAnsi="Times New Roman"/>
          <w:color w:val="334155"/>
          <w:sz w:val="22"/>
        </w:rPr>
        <w:t xml:space="preserve">   3.5 Simulating Non-IID Heterogeneity (Dirichlet Partitioning &amp; Quantity Skew)</w:t>
      </w:r>
      <w:r>
        <w:rPr>
          <w:rFonts w:ascii="Times New Roman" w:hAnsi="Times New Roman"/>
          <w:color w:val="94A3B8"/>
          <w:sz w:val="20"/>
        </w:rPr>
        <w:t xml:space="preserve"> ..... </w:t>
      </w:r>
      <w:r>
        <w:rPr>
          <w:rFonts w:ascii="Times New Roman" w:hAnsi="Times New Roman"/>
          <w:b/>
          <w:sz w:val="22"/>
        </w:rPr>
        <w:t>25</w:t>
      </w:r>
    </w:p>
    <w:p>
      <w:pPr>
        <w:spacing w:after="40" w:line="276" w:lineRule="auto"/>
      </w:pPr>
      <w:r>
        <w:rPr>
          <w:rFonts w:ascii="Times New Roman" w:hAnsi="Times New Roman"/>
          <w:color w:val="334155"/>
          <w:sz w:val="22"/>
        </w:rPr>
        <w:t xml:space="preserve">   3.6 Stage 1: Local Model Training &amp; Feature Embedding Extraction</w:t>
      </w:r>
      <w:r>
        <w:rPr>
          <w:rFonts w:ascii="Times New Roman" w:hAnsi="Times New Roman"/>
          <w:color w:val="94A3B8"/>
          <w:sz w:val="20"/>
        </w:rPr>
        <w:t xml:space="preserve"> ................ </w:t>
      </w:r>
      <w:r>
        <w:rPr>
          <w:rFonts w:ascii="Times New Roman" w:hAnsi="Times New Roman"/>
          <w:b/>
          <w:sz w:val="22"/>
        </w:rPr>
        <w:t>26</w:t>
      </w:r>
    </w:p>
    <w:p>
      <w:pPr>
        <w:spacing w:after="40" w:line="276" w:lineRule="auto"/>
      </w:pPr>
      <w:r>
        <w:rPr>
          <w:rFonts w:ascii="Times New Roman" w:hAnsi="Times New Roman"/>
          <w:color w:val="334155"/>
          <w:sz w:val="22"/>
        </w:rPr>
        <w:t xml:space="preserve">   3.7 Stage 2: Server-Side Jensen-Shannon Divergence Computation</w:t>
      </w:r>
      <w:r>
        <w:rPr>
          <w:rFonts w:ascii="Times New Roman" w:hAnsi="Times New Roman"/>
          <w:color w:val="94A3B8"/>
          <w:sz w:val="20"/>
        </w:rPr>
        <w:t xml:space="preserve"> .................. </w:t>
      </w:r>
      <w:r>
        <w:rPr>
          <w:rFonts w:ascii="Times New Roman" w:hAnsi="Times New Roman"/>
          <w:b/>
          <w:sz w:val="22"/>
        </w:rPr>
        <w:t>26</w:t>
      </w:r>
    </w:p>
    <w:p>
      <w:pPr>
        <w:spacing w:after="40" w:line="276" w:lineRule="auto"/>
      </w:pPr>
      <w:r>
        <w:rPr>
          <w:rFonts w:ascii="Times New Roman" w:hAnsi="Times New Roman"/>
          <w:color w:val="334155"/>
          <w:sz w:val="22"/>
        </w:rPr>
        <w:t xml:space="preserve">   3.8 Stage 3: Adaptive Weight Recalibration &amp; Dynamic Model Aggregation</w:t>
      </w:r>
      <w:r>
        <w:rPr>
          <w:rFonts w:ascii="Times New Roman" w:hAnsi="Times New Roman"/>
          <w:color w:val="94A3B8"/>
          <w:sz w:val="20"/>
        </w:rPr>
        <w:t xml:space="preserve"> .......... </w:t>
      </w:r>
      <w:r>
        <w:rPr>
          <w:rFonts w:ascii="Times New Roman" w:hAnsi="Times New Roman"/>
          <w:b/>
          <w:sz w:val="22"/>
        </w:rPr>
        <w:t>27</w:t>
      </w:r>
    </w:p>
    <w:p>
      <w:pPr>
        <w:spacing w:after="40" w:line="276" w:lineRule="auto"/>
      </w:pPr>
      <w:r>
        <w:rPr>
          <w:rFonts w:ascii="Times New Roman" w:hAnsi="Times New Roman"/>
          <w:color w:val="334155"/>
          <w:sz w:val="22"/>
        </w:rPr>
        <w:t xml:space="preserve">   3.9 Mathematical Formulation &amp; Divergence Calculation</w:t>
      </w:r>
      <w:r>
        <w:rPr>
          <w:rFonts w:ascii="Times New Roman" w:hAnsi="Times New Roman"/>
          <w:color w:val="94A3B8"/>
          <w:sz w:val="20"/>
        </w:rPr>
        <w:t xml:space="preserve"> ........................... </w:t>
      </w:r>
      <w:r>
        <w:rPr>
          <w:rFonts w:ascii="Times New Roman" w:hAnsi="Times New Roman"/>
          <w:b/>
          <w:sz w:val="22"/>
        </w:rPr>
        <w:t>27</w:t>
      </w:r>
    </w:p>
    <w:p>
      <w:pPr>
        <w:spacing w:after="40" w:line="276" w:lineRule="auto"/>
      </w:pPr>
      <w:r>
        <w:rPr>
          <w:rFonts w:ascii="Times New Roman" w:hAnsi="Times New Roman"/>
          <w:color w:val="334155"/>
          <w:sz w:val="22"/>
        </w:rPr>
        <w:t xml:space="preserve">   3.10 Algorithm Pseudocode Box for Proposed Framework</w:t>
      </w:r>
      <w:r>
        <w:rPr>
          <w:rFonts w:ascii="Times New Roman" w:hAnsi="Times New Roman"/>
          <w:color w:val="94A3B8"/>
          <w:sz w:val="20"/>
        </w:rPr>
        <w:t xml:space="preserve"> ............................ </w:t>
      </w:r>
      <w:r>
        <w:rPr>
          <w:rFonts w:ascii="Times New Roman" w:hAnsi="Times New Roman"/>
          <w:b/>
          <w:sz w:val="22"/>
        </w:rPr>
        <w:t>28</w:t>
      </w:r>
    </w:p>
    <w:p>
      <w:pPr>
        <w:spacing w:after="40" w:line="276" w:lineRule="auto"/>
      </w:pPr>
      <w:r>
        <w:rPr>
          <w:rFonts w:ascii="Times New Roman" w:hAnsi="Times New Roman"/>
          <w:color w:val="334155"/>
          <w:sz w:val="22"/>
        </w:rPr>
        <w:t xml:space="preserve">   3.11 Experimental Setup, Baseline Benchmarks, &amp; Hyperparameters</w:t>
      </w:r>
      <w:r>
        <w:rPr>
          <w:rFonts w:ascii="Times New Roman" w:hAnsi="Times New Roman"/>
          <w:color w:val="94A3B8"/>
          <w:sz w:val="20"/>
        </w:rPr>
        <w:t xml:space="preserve"> ................. </w:t>
      </w:r>
      <w:r>
        <w:rPr>
          <w:rFonts w:ascii="Times New Roman" w:hAnsi="Times New Roman"/>
          <w:b/>
          <w:sz w:val="22"/>
        </w:rPr>
        <w:t>29</w:t>
      </w:r>
    </w:p>
    <w:p>
      <w:pPr>
        <w:spacing w:after="40" w:line="276" w:lineRule="auto"/>
      </w:pPr>
      <w:r>
        <w:rPr>
          <w:rFonts w:ascii="Times New Roman" w:hAnsi="Times New Roman"/>
          <w:color w:val="334155"/>
          <w:sz w:val="22"/>
        </w:rPr>
        <w:t xml:space="preserve">   3.12 Evaluation Metrics &amp; Performance Assessment</w:t>
      </w:r>
      <w:r>
        <w:rPr>
          <w:rFonts w:ascii="Times New Roman" w:hAnsi="Times New Roman"/>
          <w:color w:val="94A3B8"/>
          <w:sz w:val="20"/>
        </w:rPr>
        <w:t xml:space="preserve"> ................................ </w:t>
      </w:r>
      <w:r>
        <w:rPr>
          <w:rFonts w:ascii="Times New Roman" w:hAnsi="Times New Roman"/>
          <w:b/>
          <w:sz w:val="22"/>
        </w:rPr>
        <w:t>30</w:t>
      </w:r>
    </w:p>
    <w:p>
      <w:pPr>
        <w:spacing w:after="40" w:line="276" w:lineRule="auto"/>
      </w:pPr>
      <w:r>
        <w:rPr>
          <w:rFonts w:ascii="Times New Roman" w:hAnsi="Times New Roman"/>
          <w:color w:val="334155"/>
          <w:sz w:val="22"/>
        </w:rPr>
        <w:t xml:space="preserve">   3.13 Work Plan &amp; Implementation Timeline</w:t>
      </w:r>
      <w:r>
        <w:rPr>
          <w:rFonts w:ascii="Times New Roman" w:hAnsi="Times New Roman"/>
          <w:color w:val="94A3B8"/>
          <w:sz w:val="20"/>
        </w:rPr>
        <w:t xml:space="preserve"> ........................................ </w:t>
      </w:r>
      <w:r>
        <w:rPr>
          <w:rFonts w:ascii="Times New Roman" w:hAnsi="Times New Roman"/>
          <w:b/>
          <w:sz w:val="22"/>
        </w:rPr>
        <w:t>31</w:t>
      </w:r>
    </w:p>
    <w:p>
      <w:pPr>
        <w:spacing w:after="40" w:line="276" w:lineRule="auto"/>
      </w:pPr>
      <w:r>
        <w:rPr>
          <w:rFonts w:ascii="Times New Roman" w:hAnsi="Times New Roman"/>
          <w:color w:val="334155"/>
          <w:sz w:val="22"/>
        </w:rPr>
        <w:t xml:space="preserve">   3.14 Hardware &amp; Software Infrastructure Specifications</w:t>
      </w:r>
      <w:r>
        <w:rPr>
          <w:rFonts w:ascii="Times New Roman" w:hAnsi="Times New Roman"/>
          <w:color w:val="94A3B8"/>
          <w:sz w:val="20"/>
        </w:rPr>
        <w:t xml:space="preserve"> .......................... </w:t>
      </w:r>
      <w:r>
        <w:rPr>
          <w:rFonts w:ascii="Times New Roman" w:hAnsi="Times New Roman"/>
          <w:b/>
          <w:sz w:val="22"/>
        </w:rPr>
        <w:t>32</w:t>
      </w:r>
    </w:p>
    <w:p>
      <w:pPr>
        <w:spacing w:after="40" w:line="276" w:lineRule="auto"/>
      </w:pPr>
      <w:r>
        <w:rPr>
          <w:rFonts w:ascii="Times New Roman" w:hAnsi="Times New Roman"/>
          <w:color w:val="334155"/>
          <w:sz w:val="22"/>
        </w:rPr>
        <w:t xml:space="preserve">   3.15 Ethical Considerations, Data Governance, &amp; Privacy Protection</w:t>
      </w:r>
      <w:r>
        <w:rPr>
          <w:rFonts w:ascii="Times New Roman" w:hAnsi="Times New Roman"/>
          <w:color w:val="94A3B8"/>
          <w:sz w:val="20"/>
        </w:rPr>
        <w:t xml:space="preserve"> .............. </w:t>
      </w:r>
      <w:r>
        <w:rPr>
          <w:rFonts w:ascii="Times New Roman" w:hAnsi="Times New Roman"/>
          <w:b/>
          <w:sz w:val="22"/>
        </w:rPr>
        <w:t>32</w:t>
      </w:r>
    </w:p>
    <w:p>
      <w:pPr>
        <w:spacing w:after="40" w:line="276" w:lineRule="auto"/>
      </w:pPr>
      <w:r>
        <w:rPr>
          <w:rFonts w:ascii="Times New Roman" w:hAnsi="Times New Roman"/>
          <w:b/>
          <w:color w:val="0F172A"/>
          <w:sz w:val="22"/>
        </w:rPr>
        <w:t>REFERENCES</w:t>
      </w:r>
      <w:r>
        <w:rPr>
          <w:rFonts w:ascii="Times New Roman" w:hAnsi="Times New Roman"/>
          <w:color w:val="94A3B8"/>
          <w:sz w:val="20"/>
        </w:rPr>
        <w:t xml:space="preserve"> ......................................................................... </w:t>
      </w:r>
      <w:r>
        <w:rPr>
          <w:rFonts w:ascii="Times New Roman" w:hAnsi="Times New Roman"/>
          <w:b/>
          <w:sz w:val="22"/>
        </w:rPr>
        <w:t>33</w:t>
      </w:r>
    </w:p>
    <w:p>
      <w:r>
        <w:br w:type="page"/>
      </w:r>
    </w:p>
    <w:p>
      <w:pPr>
        <w:keepNext/>
        <w:spacing w:before="280" w:after="120"/>
      </w:pPr>
      <w:r>
        <w:rPr>
          <w:rFonts w:ascii="Times New Roman" w:hAnsi="Times New Roman"/>
          <w:b/>
          <w:color w:val="0F172A"/>
          <w:sz w:val="32"/>
        </w:rPr>
        <w:t>LIST OF TABLES</w:t>
      </w:r>
    </w:p>
    <w:p>
      <w:pPr>
        <w:spacing w:after="80"/>
      </w:pPr>
      <w:r>
        <w:rPr>
          <w:rFonts w:ascii="Times New Roman" w:hAnsi="Times New Roman"/>
          <w:b/>
          <w:sz w:val="22"/>
        </w:rPr>
        <w:t>Table 1: Abbreviation List and Domain Definitions</w:t>
      </w:r>
      <w:r>
        <w:rPr>
          <w:color w:val="94A3B8"/>
        </w:rPr>
        <w:t xml:space="preserve"> .............................. </w:t>
      </w:r>
      <w:r>
        <w:rPr>
          <w:b/>
        </w:rPr>
        <w:t>6</w:t>
      </w:r>
    </w:p>
    <w:p>
      <w:pPr>
        <w:spacing w:after="80"/>
      </w:pPr>
      <w:r>
        <w:rPr>
          <w:rFonts w:ascii="Times New Roman" w:hAnsi="Times New Roman"/>
          <w:b/>
          <w:sz w:val="22"/>
        </w:rPr>
        <w:t>Table 2.1: Comparative Analysis of Federated Learning Optimization Frameworks</w:t>
      </w:r>
      <w:r>
        <w:rPr>
          <w:color w:val="94A3B8"/>
        </w:rPr>
        <w:t xml:space="preserve"> ..... </w:t>
      </w:r>
      <w:r>
        <w:rPr>
          <w:b/>
        </w:rPr>
        <w:t>15</w:t>
      </w:r>
    </w:p>
    <w:p>
      <w:pPr>
        <w:spacing w:after="80"/>
      </w:pPr>
      <w:r>
        <w:rPr>
          <w:rFonts w:ascii="Times New Roman" w:hAnsi="Times New Roman"/>
          <w:b/>
          <w:sz w:val="22"/>
        </w:rPr>
        <w:t>Table 3.1: Dataset Breakdown &amp; Non-IID Dirichlet Partitioning (α = 0.5, α = 0.1)</w:t>
      </w:r>
      <w:r>
        <w:rPr>
          <w:color w:val="94A3B8"/>
        </w:rPr>
        <w:t xml:space="preserve"> ..... </w:t>
      </w:r>
      <w:r>
        <w:rPr>
          <w:b/>
        </w:rPr>
        <w:t>24</w:t>
      </w:r>
    </w:p>
    <w:p>
      <w:pPr>
        <w:spacing w:after="80"/>
      </w:pPr>
      <w:r>
        <w:rPr>
          <w:rFonts w:ascii="Times New Roman" w:hAnsi="Times New Roman"/>
          <w:b/>
          <w:sz w:val="22"/>
        </w:rPr>
        <w:t>Table 3.2: Experimental Baseline Algorithms &amp; Hyperparameter Configuration</w:t>
      </w:r>
      <w:r>
        <w:rPr>
          <w:color w:val="94A3B8"/>
        </w:rPr>
        <w:t xml:space="preserve"> ..... </w:t>
      </w:r>
      <w:r>
        <w:rPr>
          <w:b/>
        </w:rPr>
        <w:t>29</w:t>
      </w:r>
    </w:p>
    <w:p>
      <w:pPr>
        <w:spacing w:after="80"/>
      </w:pPr>
      <w:r>
        <w:rPr>
          <w:rFonts w:ascii="Times New Roman" w:hAnsi="Times New Roman"/>
          <w:b/>
          <w:sz w:val="22"/>
        </w:rPr>
        <w:t>Table 3.3: Evaluation Metrics, Mathematical Formulas, and Target Benchmarks</w:t>
      </w:r>
      <w:r>
        <w:rPr>
          <w:color w:val="94A3B8"/>
        </w:rPr>
        <w:t xml:space="preserve"> ..... </w:t>
      </w:r>
      <w:r>
        <w:rPr>
          <w:b/>
        </w:rPr>
        <w:t>30</w:t>
      </w:r>
    </w:p>
    <w:p>
      <w:pPr>
        <w:spacing w:after="80"/>
      </w:pPr>
      <w:r>
        <w:rPr>
          <w:rFonts w:ascii="Times New Roman" w:hAnsi="Times New Roman"/>
          <w:b/>
          <w:sz w:val="22"/>
        </w:rPr>
        <w:t>Table 3.4: Project Implementation Schedule &amp; Phase Milestones (Gantt Chart)</w:t>
      </w:r>
      <w:r>
        <w:rPr>
          <w:color w:val="94A3B8"/>
        </w:rPr>
        <w:t xml:space="preserve"> ..... </w:t>
      </w:r>
      <w:r>
        <w:rPr>
          <w:b/>
        </w:rPr>
        <w:t>31</w:t>
      </w:r>
    </w:p>
    <w:p>
      <w:pPr>
        <w:spacing w:after="80"/>
      </w:pPr>
      <w:r>
        <w:rPr>
          <w:rFonts w:ascii="Times New Roman" w:hAnsi="Times New Roman"/>
          <w:b/>
          <w:sz w:val="22"/>
        </w:rPr>
        <w:t>Table 3.5: Hardware and Software Infrastructure Specifications</w:t>
      </w:r>
      <w:r>
        <w:rPr>
          <w:color w:val="94A3B8"/>
        </w:rPr>
        <w:t xml:space="preserve"> ................ </w:t>
      </w:r>
      <w:r>
        <w:rPr>
          <w:b/>
        </w:rPr>
        <w:t>32</w:t>
      </w:r>
    </w:p>
    <w:p>
      <w:pPr>
        <w:spacing w:after="240"/>
      </w:pPr>
    </w:p>
    <w:p>
      <w:pPr>
        <w:keepNext/>
        <w:spacing w:before="280" w:after="120"/>
      </w:pPr>
      <w:r>
        <w:rPr>
          <w:rFonts w:ascii="Times New Roman" w:hAnsi="Times New Roman"/>
          <w:b/>
          <w:color w:val="0F172A"/>
          <w:sz w:val="32"/>
        </w:rPr>
        <w:t>LIST OF FIGURES</w:t>
      </w:r>
    </w:p>
    <w:p>
      <w:pPr>
        <w:spacing w:after="80"/>
      </w:pPr>
      <w:r>
        <w:rPr>
          <w:rFonts w:ascii="Times New Roman" w:hAnsi="Times New Roman"/>
          <w:b/>
          <w:sz w:val="22"/>
        </w:rPr>
        <w:t>Figure 2.1: Standard Federated Averaging (FedAvg) Architecture and Weight Drift Bottleneck under Non-IID Data Distribution</w:t>
      </w:r>
      <w:r>
        <w:rPr>
          <w:color w:val="94A3B8"/>
        </w:rPr>
        <w:t xml:space="preserve"> ..... </w:t>
      </w:r>
      <w:r>
        <w:rPr>
          <w:b/>
        </w:rPr>
        <w:t>12</w:t>
      </w:r>
    </w:p>
    <w:p>
      <w:pPr>
        <w:spacing w:after="80"/>
      </w:pPr>
      <w:r>
        <w:rPr>
          <w:rFonts w:ascii="Times New Roman" w:hAnsi="Times New Roman"/>
          <w:b/>
          <w:sz w:val="22"/>
        </w:rPr>
        <w:t>Figure 2.2: Proposed Three-Stage Divergence-Aware Adaptive Federated Learning Framework</w:t>
      </w:r>
      <w:r>
        <w:rPr>
          <w:color w:val="94A3B8"/>
        </w:rPr>
        <w:t xml:space="preserve"> ..... </w:t>
      </w:r>
      <w:r>
        <w:rPr>
          <w:b/>
        </w:rPr>
        <w:t>17</w:t>
      </w:r>
    </w:p>
    <w:p>
      <w:pPr>
        <w:spacing w:after="80"/>
      </w:pPr>
      <w:r>
        <w:rPr>
          <w:rFonts w:ascii="Times New Roman" w:hAnsi="Times New Roman"/>
          <w:b/>
          <w:sz w:val="22"/>
        </w:rPr>
        <w:t>Figure 3.1: End-to-End System Architecture and Data-Flow Pipeline for Proposed JSD-Based Federated Framework</w:t>
      </w:r>
      <w:r>
        <w:rPr>
          <w:color w:val="94A3B8"/>
        </w:rPr>
        <w:t xml:space="preserve"> ..... </w:t>
      </w:r>
      <w:r>
        <w:rPr>
          <w:b/>
        </w:rPr>
        <w:t>23</w:t>
      </w:r>
    </w:p>
    <w:p>
      <w:r>
        <w:br w:type="page"/>
      </w:r>
    </w:p>
    <w:p>
      <w:pPr>
        <w:keepNext/>
        <w:spacing w:before="280" w:after="120"/>
      </w:pPr>
      <w:r>
        <w:rPr>
          <w:rFonts w:ascii="Times New Roman" w:hAnsi="Times New Roman"/>
          <w:b/>
          <w:color w:val="0F172A"/>
          <w:sz w:val="32"/>
        </w:rPr>
        <w:t>CHAPTER 1: INTRODUCTION</w:t>
      </w:r>
    </w:p>
    <w:p>
      <w:pPr>
        <w:keepNext/>
        <w:spacing w:before="240" w:after="80"/>
      </w:pPr>
      <w:r>
        <w:rPr>
          <w:rFonts w:ascii="Times New Roman" w:hAnsi="Times New Roman"/>
          <w:b/>
          <w:color w:val="1E3A8A"/>
          <w:sz w:val="28"/>
        </w:rPr>
        <w:t>1.1 Background of the Study</w:t>
      </w:r>
    </w:p>
    <w:p>
      <w:pPr>
        <w:spacing w:after="120" w:line="300" w:lineRule="auto"/>
      </w:pPr>
      <w:r>
        <w:rPr>
          <w:rFonts w:ascii="Times New Roman" w:hAnsi="Times New Roman"/>
          <w:i w:val="0"/>
          <w:color w:val="1E293B"/>
          <w:sz w:val="24"/>
        </w:rPr>
        <w:t>Deep learning has revolutionized medical image diagnostics, enabling automated, high-precision detection of malignant tumors, neurological disorders, retinal pathologies, and thoracic abnormalities. Convolutional Neural Networks (CNNs) and Vision Transformers (ViTs) regularly achieve diagnostic parity with board-certified radiologists when trained on massive, centralized medical image repositories. However, aggregating clinical imaging datasets into central servers poses severe data privacy, security, and regulatory challenges under strictly enforced international protocols such as the Health Insurance Portability and Accountability Act (HIPAA) in the United States and the General Data Protection Regulation (GDPR) in the European Union.</w:t>
      </w:r>
    </w:p>
    <w:p>
      <w:pPr>
        <w:spacing w:after="120" w:line="300" w:lineRule="auto"/>
      </w:pPr>
      <w:r>
        <w:rPr>
          <w:rFonts w:ascii="Times New Roman" w:hAnsi="Times New Roman"/>
          <w:i w:val="0"/>
          <w:color w:val="1E293B"/>
          <w:sz w:val="24"/>
        </w:rPr>
        <w:t>To reconcile the privacy imperative with the data requirements of modern deep learning, Federated Learning (FL) has emerged as a groundbreaking paradigm. Instead of transmitting raw, confidential patient scans to a central cloud repository, FL distributes model training directly across decentralized client institutions (e.g., hospitals, diagnostic centers). Each client node trains a local model on its internal dataset and periodically transmits only model parameters (weights or gradients) to a central aggregation server. The central server compiles these updates—traditionally utilizing the Federated Averaging (FedAvg) algorithm—to produce a updated global model that is subsequently redistributed to participating institutions.</w:t>
      </w:r>
    </w:p>
    <w:p>
      <w:pPr>
        <w:keepNext/>
        <w:spacing w:before="240" w:after="80"/>
      </w:pPr>
      <w:r>
        <w:rPr>
          <w:rFonts w:ascii="Times New Roman" w:hAnsi="Times New Roman"/>
          <w:b/>
          <w:color w:val="1E3A8A"/>
          <w:sz w:val="28"/>
        </w:rPr>
        <w:t>1.2 Statement of the Problem</w:t>
      </w:r>
    </w:p>
    <w:p>
      <w:pPr>
        <w:spacing w:after="120" w:line="300" w:lineRule="auto"/>
      </w:pPr>
      <w:r>
        <w:rPr>
          <w:rFonts w:ascii="Times New Roman" w:hAnsi="Times New Roman"/>
          <w:i w:val="0"/>
          <w:color w:val="1E293B"/>
          <w:sz w:val="24"/>
        </w:rPr>
        <w:t>Despite the theoretical elegance of Federated Learning, real-world clinical deployments suffer severe performance degradation due to Non-Independent and Identically Distributed (Non-IID) data heterogeneity across institutions. Medical imaging datasets exhibit extreme statistical, feature, and label distribution skew caused by variations in hospital patient demographics, disease prevalence rates, imaging hardware vendor specifications (e.g., Siemens, GE, Philips), slice thickness parameters, and institutional scanning protocols. Under severe Non-IID conditions, local client gradients point toward inconsistent, divergent local optima. When the central server naively computes a sample-weighted average of these divergent weights via FedAvg, a phenomenon known as 'weight drift' occurs. Weight drift corrupts the global model trajectory, drastically slowing convergence rates and degrading diagnostic accuracy—particularly for minority disease classes and out-of-distribution client institutions.</w:t>
      </w:r>
    </w:p>
    <w:p>
      <w:pPr>
        <w:keepNext/>
        <w:spacing w:before="240" w:after="80"/>
      </w:pPr>
      <w:r>
        <w:rPr>
          <w:rFonts w:ascii="Times New Roman" w:hAnsi="Times New Roman"/>
          <w:b/>
          <w:color w:val="1E3A8A"/>
          <w:sz w:val="28"/>
        </w:rPr>
        <w:t>1.3 Research Questions</w:t>
      </w:r>
    </w:p>
    <w:p>
      <w:pPr>
        <w:spacing w:after="120" w:line="300" w:lineRule="auto"/>
      </w:pPr>
      <w:r>
        <w:rPr>
          <w:rFonts w:ascii="Times New Roman" w:hAnsi="Times New Roman"/>
          <w:b/>
          <w:color w:val="0F172A"/>
          <w:sz w:val="24"/>
        </w:rPr>
        <w:t xml:space="preserve">Primary Research Problem: </w:t>
      </w:r>
      <w:r>
        <w:rPr>
          <w:rFonts w:ascii="Times New Roman" w:hAnsi="Times New Roman"/>
          <w:i w:val="0"/>
          <w:color w:val="1E293B"/>
          <w:sz w:val="24"/>
        </w:rPr>
        <w:t>This research proposal addresses the following core questions:</w:t>
      </w:r>
    </w:p>
    <w:p>
      <w:pPr>
        <w:spacing w:after="120" w:line="300" w:lineRule="auto"/>
      </w:pPr>
      <w:r>
        <w:rPr>
          <w:rFonts w:ascii="Times New Roman" w:hAnsi="Times New Roman"/>
          <w:i w:val="0"/>
          <w:color w:val="1E293B"/>
          <w:sz w:val="24"/>
        </w:rPr>
        <w:t>1. How can local model feature representations be quantified at the central server without violating client data privacy constraints?</w:t>
      </w:r>
    </w:p>
    <w:p>
      <w:pPr>
        <w:spacing w:after="120" w:line="300" w:lineRule="auto"/>
      </w:pPr>
      <w:r>
        <w:rPr>
          <w:rFonts w:ascii="Times New Roman" w:hAnsi="Times New Roman"/>
          <w:i w:val="0"/>
          <w:color w:val="1E293B"/>
          <w:sz w:val="24"/>
        </w:rPr>
        <w:t>2. Can Jensen-Shannon Divergence (JSD) effectively measure statistical heterogeneity across client local updates compared to standard Euclidean distance metrics?</w:t>
      </w:r>
    </w:p>
    <w:p>
      <w:pPr>
        <w:spacing w:after="120" w:line="300" w:lineRule="auto"/>
      </w:pPr>
      <w:r>
        <w:rPr>
          <w:rFonts w:ascii="Times New Roman" w:hAnsi="Times New Roman"/>
          <w:i w:val="0"/>
          <w:color w:val="1E293B"/>
          <w:sz w:val="24"/>
        </w:rPr>
        <w:t>3. How can server-side aggregation weights be dynamically recalibrated based on JSD scores to mitigate weight drift and accelerate global model convergence in Non-IID medical imaging scenarios?</w:t>
      </w:r>
    </w:p>
    <w:p>
      <w:pPr>
        <w:spacing w:after="120" w:line="300" w:lineRule="auto"/>
      </w:pPr>
      <w:r>
        <w:rPr>
          <w:rFonts w:ascii="Times New Roman" w:hAnsi="Times New Roman"/>
          <w:i w:val="0"/>
          <w:color w:val="1E293B"/>
          <w:sz w:val="24"/>
        </w:rPr>
        <w:t>4. Does the proposed divergence-aware framework outperform baseline optimization algorithms (FedAvg, FedProx, MOON, SCAFFOLD) across benchmark medical imaging datasets under extreme Dirichlet label skew?</w:t>
      </w:r>
    </w:p>
    <w:p>
      <w:pPr>
        <w:keepNext/>
        <w:spacing w:before="240" w:after="80"/>
      </w:pPr>
      <w:r>
        <w:rPr>
          <w:rFonts w:ascii="Times New Roman" w:hAnsi="Times New Roman"/>
          <w:b/>
          <w:color w:val="1E3A8A"/>
          <w:sz w:val="28"/>
        </w:rPr>
        <w:t>1.4 Research Objectives</w:t>
      </w:r>
    </w:p>
    <w:p>
      <w:pPr>
        <w:keepNext/>
        <w:spacing w:before="160" w:after="40"/>
      </w:pPr>
      <w:r>
        <w:rPr>
          <w:rFonts w:ascii="Times New Roman" w:hAnsi="Times New Roman"/>
          <w:b/>
          <w:i/>
          <w:color w:val="334155"/>
          <w:sz w:val="24"/>
        </w:rPr>
        <w:t>1.4.1 Primary Objective</w:t>
      </w:r>
    </w:p>
    <w:p>
      <w:pPr>
        <w:spacing w:after="120" w:line="300" w:lineRule="auto"/>
      </w:pPr>
      <w:r>
        <w:rPr>
          <w:rFonts w:ascii="Times New Roman" w:hAnsi="Times New Roman"/>
          <w:i w:val="0"/>
          <w:color w:val="1E293B"/>
          <w:sz w:val="24"/>
        </w:rPr>
        <w:t>To design, implement, and evaluate an adaptive federated learning framework featuring a Jensen-Shannon Divergence (JSD)-aware aggregation protocol that dynamically recalibrates client update contributions to mitigate weight drift and optimize model convergence across highly heterogeneous, Non-IID medical imaging environments.</w:t>
      </w:r>
    </w:p>
    <w:p>
      <w:pPr>
        <w:keepNext/>
        <w:spacing w:before="160" w:after="40"/>
      </w:pPr>
      <w:r>
        <w:rPr>
          <w:rFonts w:ascii="Times New Roman" w:hAnsi="Times New Roman"/>
          <w:b/>
          <w:i/>
          <w:color w:val="334155"/>
          <w:sz w:val="24"/>
        </w:rPr>
        <w:t>1.4.2 Specific Objectives</w:t>
      </w:r>
    </w:p>
    <w:p>
      <w:pPr>
        <w:spacing w:after="120" w:line="300" w:lineRule="auto"/>
      </w:pPr>
      <w:r>
        <w:rPr>
          <w:rFonts w:ascii="Times New Roman" w:hAnsi="Times New Roman"/>
          <w:i w:val="0"/>
          <w:color w:val="1E293B"/>
          <w:sz w:val="24"/>
        </w:rPr>
        <w:t>1. Develop a privacy-preserving feature embedding extraction mechanism that enables server-side divergence computation without transmitting raw patient images.</w:t>
      </w:r>
    </w:p>
    <w:p>
      <w:pPr>
        <w:spacing w:after="120" w:line="300" w:lineRule="auto"/>
      </w:pPr>
      <w:r>
        <w:rPr>
          <w:rFonts w:ascii="Times New Roman" w:hAnsi="Times New Roman"/>
          <w:i w:val="0"/>
          <w:color w:val="1E293B"/>
          <w:sz w:val="24"/>
        </w:rPr>
        <w:t>2. Formulate a mathematical weight recalibration function based on symmetric Jensen-Shannon Divergence to down-weight divergent client updates while penalizing malicious or noisy node contributions.</w:t>
      </w:r>
    </w:p>
    <w:p>
      <w:pPr>
        <w:spacing w:after="120" w:line="300" w:lineRule="auto"/>
      </w:pPr>
      <w:r>
        <w:rPr>
          <w:rFonts w:ascii="Times New Roman" w:hAnsi="Times New Roman"/>
          <w:i w:val="0"/>
          <w:color w:val="1E293B"/>
          <w:sz w:val="24"/>
        </w:rPr>
        <w:t>3. Benchmark the proposed JSD-aware framework against state-of-the-art FL algorithms (FedAvg, FedProx, MOON, SCAFFOLD) on multi-institutional chest X-ray and histopathology datasets.</w:t>
      </w:r>
    </w:p>
    <w:p>
      <w:pPr>
        <w:spacing w:after="120" w:line="300" w:lineRule="auto"/>
      </w:pPr>
      <w:r>
        <w:rPr>
          <w:rFonts w:ascii="Times New Roman" w:hAnsi="Times New Roman"/>
          <w:i w:val="0"/>
          <w:color w:val="1E293B"/>
          <w:sz w:val="24"/>
        </w:rPr>
        <w:t>4. Quantify framework resilience across varying degrees of Non-IID Dirichlet concentration ratios (α = 0.5 and α = 0.1) and evaluate communication bandwidth efficiency.</w:t>
      </w:r>
    </w:p>
    <w:p>
      <w:pPr>
        <w:keepNext/>
        <w:spacing w:before="240" w:after="80"/>
      </w:pPr>
      <w:r>
        <w:rPr>
          <w:rFonts w:ascii="Times New Roman" w:hAnsi="Times New Roman"/>
          <w:b/>
          <w:color w:val="1E3A8A"/>
          <w:sz w:val="28"/>
        </w:rPr>
        <w:t>1.5 Significance of the Study</w:t>
      </w:r>
    </w:p>
    <w:p>
      <w:pPr>
        <w:spacing w:after="120" w:line="300" w:lineRule="auto"/>
      </w:pPr>
      <w:r>
        <w:rPr>
          <w:rFonts w:ascii="Times New Roman" w:hAnsi="Times New Roman"/>
          <w:i w:val="0"/>
          <w:color w:val="1E293B"/>
          <w:sz w:val="24"/>
        </w:rPr>
        <w:t>The outcomes of this research hold significant promise for both computer science and healthcare domains. From a machine learning perspective, this work introduces a mathematically rigorous, divergence-guided aggregation protocol that directly addresses the fundamental bottleneck of Non-IID weight drift in federated optimization. From a clinical perspective, the proposed framework enables healthcare systems to collaboratively build robust, highly accurate AI diagnostic models without exposing sensitive patient medical records, thereby unlocking collaborative research potential across regional, national, and international hospital networks.</w:t>
      </w:r>
    </w:p>
    <w:p>
      <w:pPr>
        <w:keepNext/>
        <w:spacing w:before="240" w:after="80"/>
      </w:pPr>
      <w:r>
        <w:rPr>
          <w:rFonts w:ascii="Times New Roman" w:hAnsi="Times New Roman"/>
          <w:b/>
          <w:color w:val="1E3A8A"/>
          <w:sz w:val="28"/>
        </w:rPr>
        <w:t>1.6 Scope and Delimitations</w:t>
      </w:r>
    </w:p>
    <w:p>
      <w:pPr>
        <w:spacing w:after="120" w:line="300" w:lineRule="auto"/>
      </w:pPr>
      <w:r>
        <w:rPr>
          <w:rFonts w:ascii="Times New Roman" w:hAnsi="Times New Roman"/>
          <w:i w:val="0"/>
          <w:color w:val="1E293B"/>
          <w:sz w:val="24"/>
        </w:rPr>
        <w:t>This research focuses specifically on supervised deep learning classification tasks in medical imaging, utilizing benchmark multi-class chest radiograph (NIH ChestX-ray14 / CheXpert) and histopathology datasets (PNS-2019 / NCT-CRC-HE-100K). Heterogeneity simulation is restricted to Dirichlet label distribution skew (α = 0.5, α = 0.1) and institutional acquisition noise. Unsupervised federated domain adaptation and zero-shot cross-modality synthesis fall outside the primary scope of this proposal.</w:t>
      </w:r>
    </w:p>
    <w:p>
      <w:pPr>
        <w:keepNext/>
        <w:spacing w:before="240" w:after="80"/>
      </w:pPr>
      <w:r>
        <w:rPr>
          <w:rFonts w:ascii="Times New Roman" w:hAnsi="Times New Roman"/>
          <w:b/>
          <w:color w:val="1E3A8A"/>
          <w:sz w:val="28"/>
        </w:rPr>
        <w:t>1.7 Organization of the Proposal</w:t>
      </w:r>
    </w:p>
    <w:p>
      <w:pPr>
        <w:spacing w:after="120" w:line="300" w:lineRule="auto"/>
      </w:pPr>
      <w:r>
        <w:rPr>
          <w:rFonts w:ascii="Times New Roman" w:hAnsi="Times New Roman"/>
          <w:i w:val="0"/>
          <w:color w:val="1E293B"/>
          <w:sz w:val="24"/>
        </w:rPr>
        <w:t>The remainder of this research proposal is structured as follows: Chapter 2 provides an exhaustive literature review of federated learning in medical healthcare, mathematical optimization under non-IID conditions, existing aggregation protocols, and identified research gaps. Chapter 3 details the research methodology, including system architecture, mathematical formulations of JSD, algorithm pseudocode, experimental setup, baseline benchmarks, implementation timeline, infrastructure requirements, and ethical considerations. Chapter 4 concludes with references.</w:t>
      </w:r>
    </w:p>
    <w:p>
      <w:pPr>
        <w:keepNext/>
        <w:spacing w:before="240" w:after="80"/>
      </w:pPr>
      <w:r>
        <w:rPr>
          <w:rFonts w:ascii="Times New Roman" w:hAnsi="Times New Roman"/>
          <w:b/>
          <w:color w:val="1E3A8A"/>
          <w:sz w:val="28"/>
        </w:rPr>
        <w:t>1.8 Definition of Abbreviations &amp; Terminology</w:t>
      </w:r>
    </w:p>
    <w:p>
      <w:pPr>
        <w:spacing w:after="120" w:line="300" w:lineRule="auto"/>
      </w:pPr>
      <w:r>
        <w:rPr>
          <w:rFonts w:ascii="Times New Roman" w:hAnsi="Times New Roman"/>
          <w:i w:val="0"/>
          <w:color w:val="1E293B"/>
          <w:sz w:val="24"/>
        </w:rPr>
        <w:t>Table 1 summarizes key technical abbreviations and formal domain definitions utilized throughout this research document:</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120"/>
        <w:gridCol w:w="3120"/>
        <w:gridCol w:w="3120"/>
      </w:tblGrid>
      <w:tr>
        <w:tc>
          <w:tcPr>
            <w:tcW w:type="dxa" w:w="1728"/>
            <w:shd w:fill="1E3A8A"/>
          </w:tcPr>
          <w:p>
            <w:r>
              <w:rPr>
                <w:rFonts w:ascii="Times New Roman" w:hAnsi="Times New Roman"/>
                <w:b/>
                <w:color w:val="FFFFFF"/>
                <w:sz w:val="20"/>
              </w:rPr>
              <w:t>Abbreviation</w:t>
            </w:r>
          </w:p>
        </w:tc>
        <w:tc>
          <w:tcPr>
            <w:tcW w:type="dxa" w:w="3168"/>
            <w:shd w:fill="1E3A8A"/>
          </w:tcPr>
          <w:p>
            <w:r>
              <w:rPr>
                <w:rFonts w:ascii="Times New Roman" w:hAnsi="Times New Roman"/>
                <w:b/>
                <w:color w:val="FFFFFF"/>
                <w:sz w:val="20"/>
              </w:rPr>
              <w:t>Expanded Term</w:t>
            </w:r>
          </w:p>
        </w:tc>
        <w:tc>
          <w:tcPr>
            <w:tcW w:type="dxa" w:w="4464"/>
            <w:shd w:fill="1E3A8A"/>
          </w:tcPr>
          <w:p>
            <w:r>
              <w:rPr>
                <w:rFonts w:ascii="Times New Roman" w:hAnsi="Times New Roman"/>
                <w:b/>
                <w:color w:val="FFFFFF"/>
                <w:sz w:val="20"/>
              </w:rPr>
              <w:t>Domain Context &amp; Definition</w:t>
            </w:r>
          </w:p>
        </w:tc>
      </w:tr>
      <w:tr>
        <w:tc>
          <w:tcPr>
            <w:tcW w:type="dxa" w:w="1728"/>
            <w:shd w:fill="FFFFFF"/>
            <w:tcMar>
              <w:top w:w="80" w:type="dxa"/>
              <w:bottom w:w="80" w:type="dxa"/>
              <w:left w:w="100" w:type="dxa"/>
              <w:right w:w="100" w:type="dxa"/>
            </w:tcMar>
          </w:tcPr>
          <w:p>
            <w:r>
              <w:rPr>
                <w:rFonts w:ascii="Times New Roman" w:hAnsi="Times New Roman"/>
                <w:b/>
                <w:color w:val="1E293B"/>
                <w:sz w:val="19"/>
              </w:rPr>
              <w:t>FL</w:t>
            </w:r>
          </w:p>
        </w:tc>
        <w:tc>
          <w:tcPr>
            <w:tcW w:type="dxa" w:w="3168"/>
            <w:shd w:fill="FFFFFF"/>
            <w:tcMar>
              <w:top w:w="80" w:type="dxa"/>
              <w:bottom w:w="80" w:type="dxa"/>
              <w:left w:w="100" w:type="dxa"/>
              <w:right w:w="100" w:type="dxa"/>
            </w:tcMar>
          </w:tcPr>
          <w:p>
            <w:r>
              <w:rPr>
                <w:rFonts w:ascii="Times New Roman" w:hAnsi="Times New Roman"/>
                <w:color w:val="1E293B"/>
                <w:sz w:val="19"/>
              </w:rPr>
              <w:t>Federated Learning</w:t>
            </w:r>
          </w:p>
        </w:tc>
        <w:tc>
          <w:tcPr>
            <w:tcW w:type="dxa" w:w="4464"/>
            <w:shd w:fill="FFFFFF"/>
            <w:tcMar>
              <w:top w:w="80" w:type="dxa"/>
              <w:bottom w:w="80" w:type="dxa"/>
              <w:left w:w="100" w:type="dxa"/>
              <w:right w:w="100" w:type="dxa"/>
            </w:tcMar>
          </w:tcPr>
          <w:p>
            <w:r>
              <w:rPr>
                <w:rFonts w:ascii="Times New Roman" w:hAnsi="Times New Roman"/>
                <w:color w:val="1E293B"/>
                <w:sz w:val="19"/>
              </w:rPr>
              <w:t>Decentralized machine learning framework training models across clinical client nodes without centralizing raw data.</w:t>
            </w:r>
          </w:p>
        </w:tc>
      </w:tr>
      <w:tr>
        <w:tc>
          <w:tcPr>
            <w:tcW w:type="dxa" w:w="1728"/>
            <w:shd w:fill="F8FAFC"/>
            <w:tcMar>
              <w:top w:w="80" w:type="dxa"/>
              <w:bottom w:w="80" w:type="dxa"/>
              <w:left w:w="100" w:type="dxa"/>
              <w:right w:w="100" w:type="dxa"/>
            </w:tcMar>
          </w:tcPr>
          <w:p>
            <w:r>
              <w:rPr>
                <w:rFonts w:ascii="Times New Roman" w:hAnsi="Times New Roman"/>
                <w:b/>
                <w:color w:val="1E293B"/>
                <w:sz w:val="19"/>
              </w:rPr>
              <w:t>FedAvg</w:t>
            </w:r>
          </w:p>
        </w:tc>
        <w:tc>
          <w:tcPr>
            <w:tcW w:type="dxa" w:w="3168"/>
            <w:shd w:fill="F8FAFC"/>
            <w:tcMar>
              <w:top w:w="80" w:type="dxa"/>
              <w:bottom w:w="80" w:type="dxa"/>
              <w:left w:w="100" w:type="dxa"/>
              <w:right w:w="100" w:type="dxa"/>
            </w:tcMar>
          </w:tcPr>
          <w:p>
            <w:r>
              <w:rPr>
                <w:rFonts w:ascii="Times New Roman" w:hAnsi="Times New Roman"/>
                <w:color w:val="1E293B"/>
                <w:sz w:val="19"/>
              </w:rPr>
              <w:t>Federated Averaging</w:t>
            </w:r>
          </w:p>
        </w:tc>
        <w:tc>
          <w:tcPr>
            <w:tcW w:type="dxa" w:w="4464"/>
            <w:shd w:fill="F8FAFC"/>
            <w:tcMar>
              <w:top w:w="80" w:type="dxa"/>
              <w:bottom w:w="80" w:type="dxa"/>
              <w:left w:w="100" w:type="dxa"/>
              <w:right w:w="100" w:type="dxa"/>
            </w:tcMar>
          </w:tcPr>
          <w:p>
            <w:r>
              <w:rPr>
                <w:rFonts w:ascii="Times New Roman" w:hAnsi="Times New Roman"/>
                <w:color w:val="1E293B"/>
                <w:sz w:val="19"/>
              </w:rPr>
              <w:t>The foundational FL algorithm computing sample-weighted arithmetic means of local model parameters.</w:t>
            </w:r>
          </w:p>
        </w:tc>
      </w:tr>
      <w:tr>
        <w:tc>
          <w:tcPr>
            <w:tcW w:type="dxa" w:w="1728"/>
            <w:shd w:fill="FFFFFF"/>
            <w:tcMar>
              <w:top w:w="80" w:type="dxa"/>
              <w:bottom w:w="80" w:type="dxa"/>
              <w:left w:w="100" w:type="dxa"/>
              <w:right w:w="100" w:type="dxa"/>
            </w:tcMar>
          </w:tcPr>
          <w:p>
            <w:r>
              <w:rPr>
                <w:rFonts w:ascii="Times New Roman" w:hAnsi="Times New Roman"/>
                <w:b/>
                <w:color w:val="1E293B"/>
                <w:sz w:val="19"/>
              </w:rPr>
              <w:t>Non-IID</w:t>
            </w:r>
          </w:p>
        </w:tc>
        <w:tc>
          <w:tcPr>
            <w:tcW w:type="dxa" w:w="3168"/>
            <w:shd w:fill="FFFFFF"/>
            <w:tcMar>
              <w:top w:w="80" w:type="dxa"/>
              <w:bottom w:w="80" w:type="dxa"/>
              <w:left w:w="100" w:type="dxa"/>
              <w:right w:w="100" w:type="dxa"/>
            </w:tcMar>
          </w:tcPr>
          <w:p>
            <w:r>
              <w:rPr>
                <w:rFonts w:ascii="Times New Roman" w:hAnsi="Times New Roman"/>
                <w:color w:val="1E293B"/>
                <w:sz w:val="19"/>
              </w:rPr>
              <w:t>Non-Independent &amp; Identically Distributed</w:t>
            </w:r>
          </w:p>
        </w:tc>
        <w:tc>
          <w:tcPr>
            <w:tcW w:type="dxa" w:w="4464"/>
            <w:shd w:fill="FFFFFF"/>
            <w:tcMar>
              <w:top w:w="80" w:type="dxa"/>
              <w:bottom w:w="80" w:type="dxa"/>
              <w:left w:w="100" w:type="dxa"/>
              <w:right w:w="100" w:type="dxa"/>
            </w:tcMar>
          </w:tcPr>
          <w:p>
            <w:r>
              <w:rPr>
                <w:rFonts w:ascii="Times New Roman" w:hAnsi="Times New Roman"/>
                <w:color w:val="1E293B"/>
                <w:sz w:val="19"/>
              </w:rPr>
              <w:t>Data distribution condition where client local datasets differ significantly in feature or label marginal distributions.</w:t>
            </w:r>
          </w:p>
        </w:tc>
      </w:tr>
      <w:tr>
        <w:tc>
          <w:tcPr>
            <w:tcW w:type="dxa" w:w="1728"/>
            <w:shd w:fill="F8FAFC"/>
            <w:tcMar>
              <w:top w:w="80" w:type="dxa"/>
              <w:bottom w:w="80" w:type="dxa"/>
              <w:left w:w="100" w:type="dxa"/>
              <w:right w:w="100" w:type="dxa"/>
            </w:tcMar>
          </w:tcPr>
          <w:p>
            <w:r>
              <w:rPr>
                <w:rFonts w:ascii="Times New Roman" w:hAnsi="Times New Roman"/>
                <w:b/>
                <w:color w:val="1E293B"/>
                <w:sz w:val="19"/>
              </w:rPr>
              <w:t>JSD</w:t>
            </w:r>
          </w:p>
        </w:tc>
        <w:tc>
          <w:tcPr>
            <w:tcW w:type="dxa" w:w="3168"/>
            <w:shd w:fill="F8FAFC"/>
            <w:tcMar>
              <w:top w:w="80" w:type="dxa"/>
              <w:bottom w:w="80" w:type="dxa"/>
              <w:left w:w="100" w:type="dxa"/>
              <w:right w:w="100" w:type="dxa"/>
            </w:tcMar>
          </w:tcPr>
          <w:p>
            <w:r>
              <w:rPr>
                <w:rFonts w:ascii="Times New Roman" w:hAnsi="Times New Roman"/>
                <w:color w:val="1E293B"/>
                <w:sz w:val="19"/>
              </w:rPr>
              <w:t>Jensen-Shannon Divergence</w:t>
            </w:r>
          </w:p>
        </w:tc>
        <w:tc>
          <w:tcPr>
            <w:tcW w:type="dxa" w:w="4464"/>
            <w:shd w:fill="F8FAFC"/>
            <w:tcMar>
              <w:top w:w="80" w:type="dxa"/>
              <w:bottom w:w="80" w:type="dxa"/>
              <w:left w:w="100" w:type="dxa"/>
              <w:right w:w="100" w:type="dxa"/>
            </w:tcMar>
          </w:tcPr>
          <w:p>
            <w:r>
              <w:rPr>
                <w:rFonts w:ascii="Times New Roman" w:hAnsi="Times New Roman"/>
                <w:color w:val="1E293B"/>
                <w:sz w:val="19"/>
              </w:rPr>
              <w:t>Symmetric, bounded measure of statistical similarity between probability distributions derived from Kullback-Leibler divergence.</w:t>
            </w:r>
          </w:p>
        </w:tc>
      </w:tr>
      <w:tr>
        <w:tc>
          <w:tcPr>
            <w:tcW w:type="dxa" w:w="1728"/>
            <w:shd w:fill="FFFFFF"/>
            <w:tcMar>
              <w:top w:w="80" w:type="dxa"/>
              <w:bottom w:w="80" w:type="dxa"/>
              <w:left w:w="100" w:type="dxa"/>
              <w:right w:w="100" w:type="dxa"/>
            </w:tcMar>
          </w:tcPr>
          <w:p>
            <w:r>
              <w:rPr>
                <w:rFonts w:ascii="Times New Roman" w:hAnsi="Times New Roman"/>
                <w:b/>
                <w:color w:val="1E293B"/>
                <w:sz w:val="19"/>
              </w:rPr>
              <w:t>KLD</w:t>
            </w:r>
          </w:p>
        </w:tc>
        <w:tc>
          <w:tcPr>
            <w:tcW w:type="dxa" w:w="3168"/>
            <w:shd w:fill="FFFFFF"/>
            <w:tcMar>
              <w:top w:w="80" w:type="dxa"/>
              <w:bottom w:w="80" w:type="dxa"/>
              <w:left w:w="100" w:type="dxa"/>
              <w:right w:w="100" w:type="dxa"/>
            </w:tcMar>
          </w:tcPr>
          <w:p>
            <w:r>
              <w:rPr>
                <w:rFonts w:ascii="Times New Roman" w:hAnsi="Times New Roman"/>
                <w:color w:val="1E293B"/>
                <w:sz w:val="19"/>
              </w:rPr>
              <w:t>Kullback-Leibler Divergence</w:t>
            </w:r>
          </w:p>
        </w:tc>
        <w:tc>
          <w:tcPr>
            <w:tcW w:type="dxa" w:w="4464"/>
            <w:shd w:fill="FFFFFF"/>
            <w:tcMar>
              <w:top w:w="80" w:type="dxa"/>
              <w:bottom w:w="80" w:type="dxa"/>
              <w:left w:w="100" w:type="dxa"/>
              <w:right w:w="100" w:type="dxa"/>
            </w:tcMar>
          </w:tcPr>
          <w:p>
            <w:r>
              <w:rPr>
                <w:rFonts w:ascii="Times New Roman" w:hAnsi="Times New Roman"/>
                <w:color w:val="1E293B"/>
                <w:sz w:val="19"/>
              </w:rPr>
              <w:t>Asymmetric measure of statistical distance between two probability mass distributions.</w:t>
            </w:r>
          </w:p>
        </w:tc>
      </w:tr>
      <w:tr>
        <w:tc>
          <w:tcPr>
            <w:tcW w:type="dxa" w:w="1728"/>
            <w:shd w:fill="F8FAFC"/>
            <w:tcMar>
              <w:top w:w="80" w:type="dxa"/>
              <w:bottom w:w="80" w:type="dxa"/>
              <w:left w:w="100" w:type="dxa"/>
              <w:right w:w="100" w:type="dxa"/>
            </w:tcMar>
          </w:tcPr>
          <w:p>
            <w:r>
              <w:rPr>
                <w:rFonts w:ascii="Times New Roman" w:hAnsi="Times New Roman"/>
                <w:b/>
                <w:color w:val="1E293B"/>
                <w:sz w:val="19"/>
              </w:rPr>
              <w:t>MOON</w:t>
            </w:r>
          </w:p>
        </w:tc>
        <w:tc>
          <w:tcPr>
            <w:tcW w:type="dxa" w:w="3168"/>
            <w:shd w:fill="F8FAFC"/>
            <w:tcMar>
              <w:top w:w="80" w:type="dxa"/>
              <w:bottom w:w="80" w:type="dxa"/>
              <w:left w:w="100" w:type="dxa"/>
              <w:right w:w="100" w:type="dxa"/>
            </w:tcMar>
          </w:tcPr>
          <w:p>
            <w:r>
              <w:rPr>
                <w:rFonts w:ascii="Times New Roman" w:hAnsi="Times New Roman"/>
                <w:color w:val="1E293B"/>
                <w:sz w:val="19"/>
              </w:rPr>
              <w:t>Model-Contrastive Federated Learning</w:t>
            </w:r>
          </w:p>
        </w:tc>
        <w:tc>
          <w:tcPr>
            <w:tcW w:type="dxa" w:w="4464"/>
            <w:shd w:fill="F8FAFC"/>
            <w:tcMar>
              <w:top w:w="80" w:type="dxa"/>
              <w:bottom w:w="80" w:type="dxa"/>
              <w:left w:w="100" w:type="dxa"/>
              <w:right w:w="100" w:type="dxa"/>
            </w:tcMar>
          </w:tcPr>
          <w:p>
            <w:r>
              <w:rPr>
                <w:rFonts w:ascii="Times New Roman" w:hAnsi="Times New Roman"/>
                <w:color w:val="1E293B"/>
                <w:sz w:val="19"/>
              </w:rPr>
              <w:t>FL framework utilizing model-level contrastive loss to align local feature representations with global representations.</w:t>
            </w:r>
          </w:p>
        </w:tc>
      </w:tr>
      <w:tr>
        <w:tc>
          <w:tcPr>
            <w:tcW w:type="dxa" w:w="1728"/>
            <w:shd w:fill="FFFFFF"/>
            <w:tcMar>
              <w:top w:w="80" w:type="dxa"/>
              <w:bottom w:w="80" w:type="dxa"/>
              <w:left w:w="100" w:type="dxa"/>
              <w:right w:w="100" w:type="dxa"/>
            </w:tcMar>
          </w:tcPr>
          <w:p>
            <w:r>
              <w:rPr>
                <w:rFonts w:ascii="Times New Roman" w:hAnsi="Times New Roman"/>
                <w:b/>
                <w:color w:val="1E293B"/>
                <w:sz w:val="19"/>
              </w:rPr>
              <w:t>SCAFFOLD</w:t>
            </w:r>
          </w:p>
        </w:tc>
        <w:tc>
          <w:tcPr>
            <w:tcW w:type="dxa" w:w="3168"/>
            <w:shd w:fill="FFFFFF"/>
            <w:tcMar>
              <w:top w:w="80" w:type="dxa"/>
              <w:bottom w:w="80" w:type="dxa"/>
              <w:left w:w="100" w:type="dxa"/>
              <w:right w:w="100" w:type="dxa"/>
            </w:tcMar>
          </w:tcPr>
          <w:p>
            <w:r>
              <w:rPr>
                <w:rFonts w:ascii="Times New Roman" w:hAnsi="Times New Roman"/>
                <w:color w:val="1E293B"/>
                <w:sz w:val="19"/>
              </w:rPr>
              <w:t>Stochastic Controlled Averaging</w:t>
            </w:r>
          </w:p>
        </w:tc>
        <w:tc>
          <w:tcPr>
            <w:tcW w:type="dxa" w:w="4464"/>
            <w:shd w:fill="FFFFFF"/>
            <w:tcMar>
              <w:top w:w="80" w:type="dxa"/>
              <w:bottom w:w="80" w:type="dxa"/>
              <w:left w:w="100" w:type="dxa"/>
              <w:right w:w="100" w:type="dxa"/>
            </w:tcMar>
          </w:tcPr>
          <w:p>
            <w:r>
              <w:rPr>
                <w:rFonts w:ascii="Times New Roman" w:hAnsi="Times New Roman"/>
                <w:color w:val="1E293B"/>
                <w:sz w:val="19"/>
              </w:rPr>
              <w:t>FL optimization algorithm employing control variates to correct client local drift.</w:t>
            </w:r>
          </w:p>
        </w:tc>
      </w:tr>
      <w:tr>
        <w:tc>
          <w:tcPr>
            <w:tcW w:type="dxa" w:w="1728"/>
            <w:shd w:fill="F8FAFC"/>
            <w:tcMar>
              <w:top w:w="80" w:type="dxa"/>
              <w:bottom w:w="80" w:type="dxa"/>
              <w:left w:w="100" w:type="dxa"/>
              <w:right w:w="100" w:type="dxa"/>
            </w:tcMar>
          </w:tcPr>
          <w:p>
            <w:r>
              <w:rPr>
                <w:rFonts w:ascii="Times New Roman" w:hAnsi="Times New Roman"/>
                <w:b/>
                <w:color w:val="1E293B"/>
                <w:sz w:val="19"/>
              </w:rPr>
              <w:t>FedProx</w:t>
            </w:r>
          </w:p>
        </w:tc>
        <w:tc>
          <w:tcPr>
            <w:tcW w:type="dxa" w:w="3168"/>
            <w:shd w:fill="F8FAFC"/>
            <w:tcMar>
              <w:top w:w="80" w:type="dxa"/>
              <w:bottom w:w="80" w:type="dxa"/>
              <w:left w:w="100" w:type="dxa"/>
              <w:right w:w="100" w:type="dxa"/>
            </w:tcMar>
          </w:tcPr>
          <w:p>
            <w:r>
              <w:rPr>
                <w:rFonts w:ascii="Times New Roman" w:hAnsi="Times New Roman"/>
                <w:color w:val="1E293B"/>
                <w:sz w:val="19"/>
              </w:rPr>
              <w:t>Federated Proximal</w:t>
            </w:r>
          </w:p>
        </w:tc>
        <w:tc>
          <w:tcPr>
            <w:tcW w:type="dxa" w:w="4464"/>
            <w:shd w:fill="F8FAFC"/>
            <w:tcMar>
              <w:top w:w="80" w:type="dxa"/>
              <w:bottom w:w="80" w:type="dxa"/>
              <w:left w:w="100" w:type="dxa"/>
              <w:right w:w="100" w:type="dxa"/>
            </w:tcMar>
          </w:tcPr>
          <w:p>
            <w:r>
              <w:rPr>
                <w:rFonts w:ascii="Times New Roman" w:hAnsi="Times New Roman"/>
                <w:color w:val="1E293B"/>
                <w:sz w:val="19"/>
              </w:rPr>
              <w:t>FL algorithm introducing a proximal regularizer to local objective functions to constrain local model drift.</w:t>
            </w:r>
          </w:p>
        </w:tc>
      </w:tr>
      <w:tr>
        <w:tc>
          <w:tcPr>
            <w:tcW w:type="dxa" w:w="1728"/>
            <w:shd w:fill="FFFFFF"/>
            <w:tcMar>
              <w:top w:w="80" w:type="dxa"/>
              <w:bottom w:w="80" w:type="dxa"/>
              <w:left w:w="100" w:type="dxa"/>
              <w:right w:w="100" w:type="dxa"/>
            </w:tcMar>
          </w:tcPr>
          <w:p>
            <w:r>
              <w:rPr>
                <w:rFonts w:ascii="Times New Roman" w:hAnsi="Times New Roman"/>
                <w:b/>
                <w:color w:val="1E293B"/>
                <w:sz w:val="19"/>
              </w:rPr>
              <w:t>CNN</w:t>
            </w:r>
          </w:p>
        </w:tc>
        <w:tc>
          <w:tcPr>
            <w:tcW w:type="dxa" w:w="3168"/>
            <w:shd w:fill="FFFFFF"/>
            <w:tcMar>
              <w:top w:w="80" w:type="dxa"/>
              <w:bottom w:w="80" w:type="dxa"/>
              <w:left w:w="100" w:type="dxa"/>
              <w:right w:w="100" w:type="dxa"/>
            </w:tcMar>
          </w:tcPr>
          <w:p>
            <w:r>
              <w:rPr>
                <w:rFonts w:ascii="Times New Roman" w:hAnsi="Times New Roman"/>
                <w:color w:val="1E293B"/>
                <w:sz w:val="19"/>
              </w:rPr>
              <w:t>Convolutional Neural Network</w:t>
            </w:r>
          </w:p>
        </w:tc>
        <w:tc>
          <w:tcPr>
            <w:tcW w:type="dxa" w:w="4464"/>
            <w:shd w:fill="FFFFFF"/>
            <w:tcMar>
              <w:top w:w="80" w:type="dxa"/>
              <w:bottom w:w="80" w:type="dxa"/>
              <w:left w:w="100" w:type="dxa"/>
              <w:right w:w="100" w:type="dxa"/>
            </w:tcMar>
          </w:tcPr>
          <w:p>
            <w:r>
              <w:rPr>
                <w:rFonts w:ascii="Times New Roman" w:hAnsi="Times New Roman"/>
                <w:color w:val="1E293B"/>
                <w:sz w:val="19"/>
              </w:rPr>
              <w:t>Deep neural network architecture leveraging spatial convolutions for visual feature extraction.</w:t>
            </w:r>
          </w:p>
        </w:tc>
      </w:tr>
      <w:tr>
        <w:tc>
          <w:tcPr>
            <w:tcW w:type="dxa" w:w="1728"/>
            <w:shd w:fill="F8FAFC"/>
            <w:tcMar>
              <w:top w:w="80" w:type="dxa"/>
              <w:bottom w:w="80" w:type="dxa"/>
              <w:left w:w="100" w:type="dxa"/>
              <w:right w:w="100" w:type="dxa"/>
            </w:tcMar>
          </w:tcPr>
          <w:p>
            <w:r>
              <w:rPr>
                <w:rFonts w:ascii="Times New Roman" w:hAnsi="Times New Roman"/>
                <w:b/>
                <w:color w:val="1E293B"/>
                <w:sz w:val="19"/>
              </w:rPr>
              <w:t>ViT</w:t>
            </w:r>
          </w:p>
        </w:tc>
        <w:tc>
          <w:tcPr>
            <w:tcW w:type="dxa" w:w="3168"/>
            <w:shd w:fill="F8FAFC"/>
            <w:tcMar>
              <w:top w:w="80" w:type="dxa"/>
              <w:bottom w:w="80" w:type="dxa"/>
              <w:left w:w="100" w:type="dxa"/>
              <w:right w:w="100" w:type="dxa"/>
            </w:tcMar>
          </w:tcPr>
          <w:p>
            <w:r>
              <w:rPr>
                <w:rFonts w:ascii="Times New Roman" w:hAnsi="Times New Roman"/>
                <w:color w:val="1E293B"/>
                <w:sz w:val="19"/>
              </w:rPr>
              <w:t>Vision Transformer</w:t>
            </w:r>
          </w:p>
        </w:tc>
        <w:tc>
          <w:tcPr>
            <w:tcW w:type="dxa" w:w="4464"/>
            <w:shd w:fill="F8FAFC"/>
            <w:tcMar>
              <w:top w:w="80" w:type="dxa"/>
              <w:bottom w:w="80" w:type="dxa"/>
              <w:left w:w="100" w:type="dxa"/>
              <w:right w:w="100" w:type="dxa"/>
            </w:tcMar>
          </w:tcPr>
          <w:p>
            <w:r>
              <w:rPr>
                <w:rFonts w:ascii="Times New Roman" w:hAnsi="Times New Roman"/>
                <w:color w:val="1E293B"/>
                <w:sz w:val="19"/>
              </w:rPr>
              <w:t>Deep neural network architecture utilizing self-attention mechanisms over image patches for medical diagnostics.</w:t>
            </w:r>
          </w:p>
        </w:tc>
      </w:tr>
    </w:tbl>
    <w:p>
      <w:pPr>
        <w:spacing w:before="80" w:after="240"/>
        <w:jc w:val="center"/>
      </w:pPr>
      <w:r>
        <w:rPr>
          <w:rFonts w:ascii="Times New Roman" w:hAnsi="Times New Roman"/>
          <w:b/>
          <w:i/>
          <w:color w:val="475569"/>
          <w:sz w:val="21"/>
        </w:rPr>
        <w:t>Table 1: Abbreviation List and Domain Definitions</w:t>
      </w:r>
    </w:p>
    <w:p>
      <w:r>
        <w:br w:type="page"/>
      </w:r>
    </w:p>
    <w:p>
      <w:pPr>
        <w:keepNext/>
        <w:spacing w:before="280" w:after="120"/>
      </w:pPr>
      <w:r>
        <w:rPr>
          <w:rFonts w:ascii="Times New Roman" w:hAnsi="Times New Roman"/>
          <w:b/>
          <w:color w:val="0F172A"/>
          <w:sz w:val="32"/>
        </w:rPr>
        <w:t>CHAPTER 2: LITERATURE REVIEW</w:t>
      </w:r>
    </w:p>
    <w:p>
      <w:pPr>
        <w:keepNext/>
        <w:spacing w:before="240" w:after="80"/>
      </w:pPr>
      <w:r>
        <w:rPr>
          <w:rFonts w:ascii="Times New Roman" w:hAnsi="Times New Roman"/>
          <w:b/>
          <w:color w:val="1E3A8A"/>
          <w:sz w:val="28"/>
        </w:rPr>
        <w:t>2.1 Overview of Federated Learning in Healthcare</w:t>
      </w:r>
    </w:p>
    <w:p>
      <w:pPr>
        <w:spacing w:after="120" w:line="300" w:lineRule="auto"/>
      </w:pPr>
      <w:r>
        <w:rPr>
          <w:rFonts w:ascii="Times New Roman" w:hAnsi="Times New Roman"/>
          <w:i w:val="0"/>
          <w:color w:val="1E293B"/>
          <w:sz w:val="24"/>
        </w:rPr>
        <w:t>Federated learning has rapidly transformed healthcare artificial intelligence by enabling multi-center clinical collaborations while maintaining strict regulatory compliance (McMahan et al., 2017; Rieke et al., 2020). Traditional centralized deep learning workflows require participating hospitals to pool sensitive diagnostic imaging scans into a single cloud repository. This centralization introduces significant legal liabilities, cyber-attack risks, and patient data exposure concerns. Federated learning mitigates these vulnerabilities by keeping raw imaging data strictly on institutional premises. Only encrypted local gradient updates or model weights are communicated during training rounds.</w:t>
      </w:r>
    </w:p>
    <w:p>
      <w:pPr>
        <w:keepNext/>
        <w:spacing w:before="240" w:after="80"/>
      </w:pPr>
      <w:r>
        <w:rPr>
          <w:rFonts w:ascii="Times New Roman" w:hAnsi="Times New Roman"/>
          <w:b/>
          <w:color w:val="1E3A8A"/>
          <w:sz w:val="28"/>
        </w:rPr>
        <w:t>2.2 Theoretical Foundations of Distributed Optimization</w:t>
      </w:r>
    </w:p>
    <w:p>
      <w:pPr>
        <w:spacing w:after="120" w:line="300" w:lineRule="auto"/>
      </w:pPr>
      <w:r>
        <w:rPr>
          <w:rFonts w:ascii="Times New Roman" w:hAnsi="Times New Roman"/>
          <w:i w:val="0"/>
          <w:color w:val="1E293B"/>
          <w:sz w:val="24"/>
        </w:rPr>
        <w:t>The standard mathematical objective in federated optimization is to minimize a global empirical risk function across K participating client institutions:</w:t>
      </w:r>
    </w:p>
    <w:p>
      <w:pPr>
        <w:spacing w:after="120" w:line="300" w:lineRule="auto"/>
      </w:pPr>
      <w:r>
        <w:rPr>
          <w:rFonts w:ascii="Times New Roman" w:hAnsi="Times New Roman"/>
          <w:i/>
          <w:color w:val="1E293B"/>
          <w:sz w:val="24"/>
        </w:rPr>
        <w:t>min_w F(w) = sum_{k=1}^K (n_k / N) * F_k(w)</w:t>
      </w:r>
    </w:p>
    <w:p>
      <w:pPr>
        <w:spacing w:after="120" w:line="300" w:lineRule="auto"/>
      </w:pPr>
      <w:r>
        <w:rPr>
          <w:rFonts w:ascii="Times New Roman" w:hAnsi="Times New Roman"/>
          <w:i w:val="0"/>
          <w:color w:val="1E293B"/>
          <w:sz w:val="24"/>
        </w:rPr>
        <w:t>where N represents the total number of clinical image samples across all clients, n_k denotes the sample size at hospital node k, and F_k(w) represents the empirical loss function evaluated on client k's local data. In idealized IID settings, local gradient vectors g_k(w) act as unbiased estimators of the global gradient G(w). Consequently, naive parameter averaging via FedAvg guarantees convergence to the global optimum.</w:t>
      </w:r>
    </w:p>
    <w:p>
      <w:pPr>
        <w:keepNext/>
        <w:spacing w:before="240" w:after="80"/>
      </w:pPr>
      <w:r>
        <w:rPr>
          <w:rFonts w:ascii="Times New Roman" w:hAnsi="Times New Roman"/>
          <w:b/>
          <w:color w:val="1E3A8A"/>
          <w:sz w:val="28"/>
        </w:rPr>
        <w:t>2.3 Non-IID Data Distributions in Medical Imaging</w:t>
      </w:r>
    </w:p>
    <w:p>
      <w:pPr>
        <w:spacing w:after="120" w:line="300" w:lineRule="auto"/>
      </w:pPr>
      <w:r>
        <w:rPr>
          <w:rFonts w:ascii="Times New Roman" w:hAnsi="Times New Roman"/>
          <w:i w:val="0"/>
          <w:color w:val="1E293B"/>
          <w:sz w:val="24"/>
        </w:rPr>
        <w:t>In practical clinical deployments, the assumption of IID data distributions is consistently violated (Li et al., 2020; Zhao et al., 2018). Medical imaging data exhibits severe non-IID characteristics categorized into three primary categories:</w:t>
      </w:r>
    </w:p>
    <w:p>
      <w:pPr>
        <w:spacing w:after="120" w:line="300" w:lineRule="auto"/>
      </w:pPr>
      <w:r>
        <w:rPr>
          <w:rFonts w:ascii="Times New Roman" w:hAnsi="Times New Roman"/>
          <w:i w:val="0"/>
          <w:color w:val="1E293B"/>
          <w:sz w:val="24"/>
        </w:rPr>
        <w:t>1. Label Skew (Prior Probability Difference): Hospitals specializing in specific oncological or pulmonary conditions exhibit heavily biased label distributions compared to general community clinics.</w:t>
      </w:r>
    </w:p>
    <w:p>
      <w:pPr>
        <w:spacing w:after="120" w:line="300" w:lineRule="auto"/>
      </w:pPr>
      <w:r>
        <w:rPr>
          <w:rFonts w:ascii="Times New Roman" w:hAnsi="Times New Roman"/>
          <w:i w:val="0"/>
          <w:color w:val="1E293B"/>
          <w:sz w:val="24"/>
        </w:rPr>
        <w:t>2. Feature Skew (Covariate Shift): Imaging hardware specifications, scan protocols, field-of-view settings, and contrast settings vary dramatically across vendor machines (e.g., GE vs. Siemens MRI scanners).</w:t>
      </w:r>
    </w:p>
    <w:p>
      <w:pPr>
        <w:spacing w:after="120" w:line="300" w:lineRule="auto"/>
      </w:pPr>
      <w:r>
        <w:rPr>
          <w:rFonts w:ascii="Times New Roman" w:hAnsi="Times New Roman"/>
          <w:i w:val="0"/>
          <w:color w:val="1E293B"/>
          <w:sz w:val="24"/>
        </w:rPr>
        <w:t>3. Quantity Skew: Major academic research hospitals generate tens of thousands of diagnostic scans, whereas rural clinics contribute only a few hundred samples.</w:t>
      </w:r>
    </w:p>
    <w:p>
      <w:pPr>
        <w:keepNext/>
        <w:spacing w:before="240" w:after="80"/>
      </w:pPr>
      <w:r>
        <w:rPr>
          <w:rFonts w:ascii="Times New Roman" w:hAnsi="Times New Roman"/>
          <w:b/>
          <w:color w:val="1E3A8A"/>
          <w:sz w:val="28"/>
        </w:rPr>
        <w:t>2.4 Existing Approaches to Heterogeneity in Federated Learning</w:t>
      </w:r>
    </w:p>
    <w:p>
      <w:pPr>
        <w:spacing w:after="120" w:line="300" w:lineRule="auto"/>
      </w:pPr>
      <w:r>
        <w:rPr>
          <w:rFonts w:ascii="Times New Roman" w:hAnsi="Times New Roman"/>
          <w:i w:val="0"/>
          <w:color w:val="1E293B"/>
          <w:sz w:val="24"/>
        </w:rPr>
        <w:t>Prior research has proposed various algorithmic modifications to stabilize federated optimization under Non-IID data distributions. FedProx (Li et al., 2020) adds a L2 proximal regularizer term ||w - w^t||^2 to local client loss functions to restrict local parameter drift away from the central global model. SCAFFOLD (Karimireddy et al., 2020) introduces client and server control variates to estimate and correct gradient orientation drift during local iterations. MOON (Li et al., 2021) leverages model-level contrastive learning in feature space to maximize similarity between local representations and global representations.</w:t>
      </w:r>
    </w:p>
    <w:p>
      <w:pPr>
        <w:keepNext/>
        <w:spacing w:before="240" w:after="80"/>
      </w:pPr>
      <w:r>
        <w:rPr>
          <w:rFonts w:ascii="Times New Roman" w:hAnsi="Times New Roman"/>
          <w:b/>
          <w:color w:val="1E3A8A"/>
          <w:sz w:val="28"/>
        </w:rPr>
        <w:t>2.5 Divergence Metrics and Weight Drift Mitigation</w:t>
      </w:r>
    </w:p>
    <w:p>
      <w:pPr>
        <w:spacing w:after="120" w:line="300" w:lineRule="auto"/>
      </w:pPr>
      <w:r>
        <w:rPr>
          <w:rFonts w:ascii="Times New Roman" w:hAnsi="Times New Roman"/>
          <w:i w:val="0"/>
          <w:color w:val="1E293B"/>
          <w:sz w:val="24"/>
        </w:rPr>
        <w:t>While proximal regularization and variance reduction techniques improve convergence stability, they apply uniform penalty factors across all client updates regardless of their true statistical divergence from the global population. Recent theoretical investigations highlight the necessity of divergence-aware metric space analysis (Acar et al., 2021; Kairouz et al., 2021). By dynamically measuring mathematical divergence across client updating distributions prior to model averaging, central servers can selectively filter and weight updates to eliminate destructive drift.</w:t>
      </w:r>
    </w:p>
    <w:p>
      <w:pPr>
        <w:keepNext/>
        <w:spacing w:before="240" w:after="80"/>
      </w:pPr>
      <w:r>
        <w:rPr>
          <w:rFonts w:ascii="Times New Roman" w:hAnsi="Times New Roman"/>
          <w:b/>
          <w:color w:val="1E3A8A"/>
          <w:sz w:val="28"/>
        </w:rPr>
        <w:t>2.6 Centralized vs. Decentralized Deep Learning in Healthcare</w:t>
      </w:r>
    </w:p>
    <w:p>
      <w:pPr>
        <w:spacing w:after="120" w:line="300" w:lineRule="auto"/>
      </w:pPr>
      <w:r>
        <w:rPr>
          <w:rFonts w:ascii="Times New Roman" w:hAnsi="Times New Roman"/>
          <w:i w:val="0"/>
          <w:color w:val="1E293B"/>
          <w:sz w:val="24"/>
        </w:rPr>
        <w:t>Centralized deep learning models rely on unified data lakes where medical images are preprocessed, formatted, and trained within monolithic high-performance computing clusters. While centralized training facilitates uniform batch normalization and hyperparameter tuning, it creates single points of failure and violates patient privacy mandates. Decentralized federated learning circumvents data centralization by establishing distributed client-server networks. However, decentralization introduces severe network communications bottlenecks and statistical variance that require specialized dynamic aggregation protocols.</w:t>
      </w:r>
    </w:p>
    <w:p>
      <w:pPr>
        <w:keepNext/>
        <w:spacing w:before="240" w:after="80"/>
      </w:pPr>
      <w:r>
        <w:rPr>
          <w:rFonts w:ascii="Times New Roman" w:hAnsi="Times New Roman"/>
          <w:b/>
          <w:color w:val="1E3A8A"/>
          <w:sz w:val="28"/>
        </w:rPr>
        <w:t>2.7 Non-IID Data Heterogeneity and Statistical Challenges</w:t>
      </w:r>
    </w:p>
    <w:p>
      <w:pPr>
        <w:spacing w:after="120" w:line="300" w:lineRule="auto"/>
      </w:pPr>
      <w:r>
        <w:rPr>
          <w:rFonts w:ascii="Times New Roman" w:hAnsi="Times New Roman"/>
          <w:i w:val="0"/>
          <w:color w:val="1E293B"/>
          <w:sz w:val="24"/>
        </w:rPr>
        <w:t>Statistical heterogeneity causes client loss surfaces to diverge significantly. During local training epochs, client models optimize their parameters exclusively along local loss trajectories. Under severe Non-IID conditions, local optima reside in vastly different regions of the parameter loss landscape. When FedAvg averages these parameters, the resulting global model lands in high-loss saddle points, destroying diagnostic feature selectivity and triggering severe catastrophic forgetting.</w:t>
      </w:r>
    </w:p>
    <w:p>
      <w:pPr>
        <w:keepNext/>
        <w:spacing w:before="240" w:after="80"/>
      </w:pPr>
      <w:r>
        <w:rPr>
          <w:rFonts w:ascii="Times New Roman" w:hAnsi="Times New Roman"/>
          <w:b/>
          <w:color w:val="1E3A8A"/>
          <w:sz w:val="28"/>
        </w:rPr>
        <w:t>2.8 Communication Overhead and Network Efficiency Constraints</w:t>
      </w:r>
    </w:p>
    <w:p>
      <w:pPr>
        <w:spacing w:after="120" w:line="300" w:lineRule="auto"/>
      </w:pPr>
      <w:r>
        <w:rPr>
          <w:rFonts w:ascii="Times New Roman" w:hAnsi="Times New Roman"/>
          <w:i w:val="0"/>
          <w:color w:val="1E293B"/>
          <w:sz w:val="24"/>
        </w:rPr>
        <w:t>Communicating high-dimensional parameter matrices for state-of-the-art vision models (e.g., 86-million parameter ViT architectures) across hospital firewalls creates significant network latency. Participating clinical nodes frequently possess asymmetric network bandwidth (100 Mbps to 1 Gbps). Naive aggregation protocols that require synchronization across all clients experience bottleneck delays caused by slow nodes ('stragglers'). Dynamic divergence weighting enables central servers to proceed asynchronously by identifying highly informative client updates.</w:t>
      </w:r>
    </w:p>
    <w:p>
      <w:pPr>
        <w:keepNext/>
        <w:spacing w:before="240" w:after="80"/>
      </w:pPr>
      <w:r>
        <w:rPr>
          <w:rFonts w:ascii="Times New Roman" w:hAnsi="Times New Roman"/>
          <w:b/>
          <w:color w:val="1E3A8A"/>
          <w:sz w:val="28"/>
        </w:rPr>
        <w:t>2.9 Privacy-Preserving Techniques: Differential Privacy and Secure Aggregation</w:t>
      </w:r>
    </w:p>
    <w:p>
      <w:pPr>
        <w:spacing w:after="120" w:line="300" w:lineRule="auto"/>
      </w:pPr>
      <w:r>
        <w:rPr>
          <w:rFonts w:ascii="Times New Roman" w:hAnsi="Times New Roman"/>
          <w:i w:val="0"/>
          <w:color w:val="1E293B"/>
          <w:sz w:val="24"/>
        </w:rPr>
        <w:t>Federated learning alone does not provide absolute privacy guarantees; sophisticated gradient inversion attacks can reconstruct underlying training scans from raw model parameters. To achieve rigorous privacy guarantees, FL frameworks incorporate Differential Privacy (DP) by injecting calibrated Gaussian noise into local updates or utilize Secure Aggregation (SecAgg) protocols based on cryptographic secret sharing. The proposed JSD aggregation protocol is fully compatible with DP and SecAgg mechanisms.</w:t>
      </w:r>
    </w:p>
    <w:p>
      <w:pPr>
        <w:spacing w:before="240" w:after="80"/>
        <w:jc w:val="center"/>
      </w:pPr>
      <w:r>
        <w:drawing>
          <wp:inline xmlns:a="http://schemas.openxmlformats.org/drawingml/2006/main" xmlns:pic="http://schemas.openxmlformats.org/drawingml/2006/picture">
            <wp:extent cx="5486400" cy="3269673"/>
            <wp:docPr id="1" name="Picture 1"/>
            <wp:cNvGraphicFramePr>
              <a:graphicFrameLocks noChangeAspect="1"/>
            </wp:cNvGraphicFramePr>
            <a:graphic>
              <a:graphicData uri="http://schemas.openxmlformats.org/drawingml/2006/picture">
                <pic:pic>
                  <pic:nvPicPr>
                    <pic:cNvPr id="0" name="figure_2_1.png"/>
                    <pic:cNvPicPr/>
                  </pic:nvPicPr>
                  <pic:blipFill>
                    <a:blip r:embed="rId9"/>
                    <a:stretch>
                      <a:fillRect/>
                    </a:stretch>
                  </pic:blipFill>
                  <pic:spPr>
                    <a:xfrm>
                      <a:off x="0" y="0"/>
                      <a:ext cx="5486400" cy="3269673"/>
                    </a:xfrm>
                    <a:prstGeom prst="rect"/>
                  </pic:spPr>
                </pic:pic>
              </a:graphicData>
            </a:graphic>
          </wp:inline>
        </w:drawing>
      </w:r>
    </w:p>
    <w:p>
      <w:pPr>
        <w:spacing w:before="80" w:after="240"/>
        <w:jc w:val="center"/>
      </w:pPr>
      <w:r>
        <w:rPr>
          <w:rFonts w:ascii="Times New Roman" w:hAnsi="Times New Roman"/>
          <w:b/>
          <w:i/>
          <w:color w:val="475569"/>
          <w:sz w:val="21"/>
        </w:rPr>
        <w:t>Figure 2.1: Standard Federated Averaging (FedAvg) Architecture and Weight Drift Bottleneck under Non-IID Data Distribution</w:t>
      </w:r>
    </w:p>
    <w:p>
      <w:pPr>
        <w:keepNext/>
        <w:spacing w:before="240" w:after="80"/>
      </w:pPr>
      <w:r>
        <w:rPr>
          <w:rFonts w:ascii="Times New Roman" w:hAnsi="Times New Roman"/>
          <w:b/>
          <w:color w:val="1E3A8A"/>
          <w:sz w:val="28"/>
        </w:rPr>
        <w:t>2.10 Standard Federated Averaging (FedAvg) and Its Limitations</w:t>
      </w:r>
    </w:p>
    <w:p>
      <w:pPr>
        <w:spacing w:after="120" w:line="300" w:lineRule="auto"/>
      </w:pPr>
      <w:r>
        <w:rPr>
          <w:rFonts w:ascii="Times New Roman" w:hAnsi="Times New Roman"/>
          <w:i w:val="0"/>
          <w:color w:val="1E293B"/>
          <w:sz w:val="24"/>
        </w:rPr>
        <w:t>As illustrated in Figure 2.1, standard FedAvg computes sample-proportional weighted averages: w^{t+1} = sum_{k=1}^K (n_k / N) * w_k^{t+1}. When client datasets display severe class imbalance or covariate shift, clients with large sample sizes dominate the global model update regardless of their diagnostic quality or label noise. This structural flaw leads to severe diagnostic bias against minority demographic patient cohorts.</w:t>
      </w:r>
    </w:p>
    <w:p>
      <w:pPr>
        <w:keepNext/>
        <w:spacing w:before="240" w:after="80"/>
      </w:pPr>
      <w:r>
        <w:rPr>
          <w:rFonts w:ascii="Times New Roman" w:hAnsi="Times New Roman"/>
          <w:b/>
          <w:color w:val="1E3A8A"/>
          <w:sz w:val="28"/>
        </w:rPr>
        <w:t>2.11 Model Contrastive Federated Learning (MOON)</w:t>
      </w:r>
    </w:p>
    <w:p>
      <w:pPr>
        <w:spacing w:after="120" w:line="300" w:lineRule="auto"/>
      </w:pPr>
      <w:r>
        <w:rPr>
          <w:rFonts w:ascii="Times New Roman" w:hAnsi="Times New Roman"/>
          <w:i w:val="0"/>
          <w:color w:val="1E293B"/>
          <w:sz w:val="24"/>
        </w:rPr>
        <w:t>MOON addresses local feature representation divergence by formulating a contrastive loss function evaluated on local feature projections: L_{con} = -log( exp(sim(R_k, R_{glob}) / tau) / [ exp(sim(R_k, R_{glob}) / tau) + exp(sim(R_k, R_{prev}) / tau) ] ). Although MOON improves feature extraction consistency, it incurs substantial computational overhead on resource-constrained clinical client nodes by requiring concurrent evaluations of local, global, and previous model states.</w:t>
      </w:r>
    </w:p>
    <w:p>
      <w:pPr>
        <w:keepNext/>
        <w:spacing w:before="240" w:after="80"/>
      </w:pPr>
      <w:r>
        <w:rPr>
          <w:rFonts w:ascii="Times New Roman" w:hAnsi="Times New Roman"/>
          <w:b/>
          <w:color w:val="1E3A8A"/>
          <w:sz w:val="28"/>
        </w:rPr>
        <w:t>2.12 Federated Proximal (FedProx) Optimization</w:t>
      </w:r>
    </w:p>
    <w:p>
      <w:pPr>
        <w:spacing w:after="120" w:line="300" w:lineRule="auto"/>
      </w:pPr>
      <w:r>
        <w:rPr>
          <w:rFonts w:ascii="Times New Roman" w:hAnsi="Times New Roman"/>
          <w:i w:val="0"/>
          <w:color w:val="1E293B"/>
          <w:sz w:val="24"/>
        </w:rPr>
        <w:t>FedProx modifies local objective functions by appending a quadratic proximal term: min_w F_k(w) + (mu / 2) ||w - w^t||^2. While the proximal regularizer successfully bounds parameter trajectory variance, setting an inflexible global regularizer hyperparameter mu degrades local model convergence speed in clients with high-quality IID distributions.</w:t>
      </w:r>
    </w:p>
    <w:p>
      <w:pPr>
        <w:keepNext/>
        <w:spacing w:before="240" w:after="80"/>
      </w:pPr>
      <w:r>
        <w:rPr>
          <w:rFonts w:ascii="Times New Roman" w:hAnsi="Times New Roman"/>
          <w:b/>
          <w:color w:val="1E3A8A"/>
          <w:sz w:val="28"/>
        </w:rPr>
        <w:t>2.13 Scaffold and Control Variate Methods</w:t>
      </w:r>
    </w:p>
    <w:p>
      <w:pPr>
        <w:spacing w:after="120" w:line="300" w:lineRule="auto"/>
      </w:pPr>
      <w:r>
        <w:rPr>
          <w:rFonts w:ascii="Times New Roman" w:hAnsi="Times New Roman"/>
          <w:i w:val="0"/>
          <w:color w:val="1E293B"/>
          <w:sz w:val="24"/>
        </w:rPr>
        <w:t>To correct client drift explicitly, SCAFFOLD (Karimireddy et al., 2020) maintains control variate vectors c_k and c_g representing local and global gradient direction estimators. By updating client local gradients via g_k(w) - c_k + c_g, SCAFFOLD restores theoretical linear convergence under Non-IID conditions. However, transmitting control variates doubles the communication bandwidth requirement per training round, limiting its applicability in bandwidth-constrained medical networks.</w:t>
      </w:r>
    </w:p>
    <w:p>
      <w:pPr>
        <w:keepNext/>
        <w:spacing w:before="240" w:after="80"/>
      </w:pPr>
      <w:r>
        <w:rPr>
          <w:rFonts w:ascii="Times New Roman" w:hAnsi="Times New Roman"/>
          <w:b/>
          <w:color w:val="1E3A8A"/>
          <w:sz w:val="28"/>
        </w:rPr>
        <w:t>2.14 Divergence-Aware Clustering and Hierarchical Aggregation</w:t>
      </w:r>
    </w:p>
    <w:p>
      <w:pPr>
        <w:spacing w:after="120" w:line="300" w:lineRule="auto"/>
      </w:pPr>
      <w:r>
        <w:rPr>
          <w:rFonts w:ascii="Times New Roman" w:hAnsi="Times New Roman"/>
          <w:i w:val="0"/>
          <w:color w:val="1E293B"/>
          <w:sz w:val="24"/>
        </w:rPr>
        <w:t>FedDyn (Acar et al., 2021) and dynamic regularization frameworks introduce risk-aware penalty matrices that dynamically adapt to local loss gradients. Furthermore, clustered federated learning groups clients with statistically similar update distributions into distinct clinical sub-clusters. However, existing clustering algorithms rely on Euclidean parameter distance metrics, which fail to capture non-linear probability density shifts inherent in multi-modal medical imaging features.</w:t>
      </w:r>
    </w:p>
    <w:p>
      <w:pPr>
        <w:keepNext/>
        <w:spacing w:before="240" w:after="80"/>
      </w:pPr>
      <w:r>
        <w:rPr>
          <w:rFonts w:ascii="Times New Roman" w:hAnsi="Times New Roman"/>
          <w:b/>
          <w:color w:val="1E3A8A"/>
          <w:sz w:val="28"/>
        </w:rPr>
        <w:t>2.15 Knowledge Distillation and Teacher-Student Frameworks in FL</w:t>
      </w:r>
    </w:p>
    <w:p>
      <w:pPr>
        <w:spacing w:after="120" w:line="300" w:lineRule="auto"/>
      </w:pPr>
      <w:r>
        <w:rPr>
          <w:rFonts w:ascii="Times New Roman" w:hAnsi="Times New Roman"/>
          <w:i w:val="0"/>
          <w:color w:val="1E293B"/>
          <w:sz w:val="24"/>
        </w:rPr>
        <w:t>Federated Knowledge Distillation (FedKD) replaces direct weight averaging with prediction logit distillation across an unlabelled reference dataset. Participating client nodes act as teacher models, transferring localized diagnostic knowledge to a lightweight global student model. While FedKD reduces communication payload sizes, assembling an unlabelled, privacy-compliant medical reference dataset across disparate clinical sites remains difficult.</w:t>
      </w:r>
    </w:p>
    <w:p>
      <w:pPr>
        <w:keepNext/>
        <w:spacing w:before="240" w:after="80"/>
      </w:pPr>
      <w:r>
        <w:rPr>
          <w:rFonts w:ascii="Times New Roman" w:hAnsi="Times New Roman"/>
          <w:b/>
          <w:color w:val="1E3A8A"/>
          <w:sz w:val="28"/>
        </w:rPr>
        <w:t>2.16 Domain Adaptation and Covariate Shift Mitigation in Medical Imaging</w:t>
      </w:r>
    </w:p>
    <w:p>
      <w:pPr>
        <w:spacing w:after="120" w:line="300" w:lineRule="auto"/>
      </w:pPr>
      <w:r>
        <w:rPr>
          <w:rFonts w:ascii="Times New Roman" w:hAnsi="Times New Roman"/>
          <w:i w:val="0"/>
          <w:color w:val="1E293B"/>
          <w:sz w:val="24"/>
        </w:rPr>
        <w:t>Unsupervised Domain Adaptation (UDA) technique align feature representations between source and target medical imaging domains using adversarial gradient reversal layers. Integrating UDA principles into federated learning frameworks enables client models to extract domain-invariant diagnostic features across heterogeneous acquisition hardware.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72"/>
        <w:gridCol w:w="1872"/>
        <w:gridCol w:w="1872"/>
        <w:gridCol w:w="1872"/>
        <w:gridCol w:w="1872"/>
      </w:tblGrid>
      <w:tr>
        <w:tc>
          <w:tcPr>
            <w:tcW w:type="dxa" w:w="1584"/>
            <w:shd w:fill="1E3A8A"/>
          </w:tcPr>
          <w:p>
            <w:r>
              <w:rPr>
                <w:rFonts w:ascii="Times New Roman" w:hAnsi="Times New Roman"/>
                <w:b/>
                <w:color w:val="FFFFFF"/>
                <w:sz w:val="19"/>
              </w:rPr>
              <w:t>Algorithm</w:t>
            </w:r>
          </w:p>
        </w:tc>
        <w:tc>
          <w:tcPr>
            <w:tcW w:type="dxa" w:w="2160"/>
            <w:shd w:fill="1E3A8A"/>
          </w:tcPr>
          <w:p>
            <w:r>
              <w:rPr>
                <w:rFonts w:ascii="Times New Roman" w:hAnsi="Times New Roman"/>
                <w:b/>
                <w:color w:val="FFFFFF"/>
                <w:sz w:val="19"/>
              </w:rPr>
              <w:t>Aggregation Strategy</w:t>
            </w:r>
          </w:p>
        </w:tc>
        <w:tc>
          <w:tcPr>
            <w:tcW w:type="dxa" w:w="2016"/>
            <w:shd w:fill="1E3A8A"/>
          </w:tcPr>
          <w:p>
            <w:r>
              <w:rPr>
                <w:rFonts w:ascii="Times New Roman" w:hAnsi="Times New Roman"/>
                <w:b/>
                <w:color w:val="FFFFFF"/>
                <w:sz w:val="19"/>
              </w:rPr>
              <w:t>Non-IID Handling</w:t>
            </w:r>
          </w:p>
        </w:tc>
        <w:tc>
          <w:tcPr>
            <w:tcW w:type="dxa" w:w="1584"/>
            <w:shd w:fill="1E3A8A"/>
          </w:tcPr>
          <w:p>
            <w:r>
              <w:rPr>
                <w:rFonts w:ascii="Times New Roman" w:hAnsi="Times New Roman"/>
                <w:b/>
                <w:color w:val="FFFFFF"/>
                <w:sz w:val="19"/>
              </w:rPr>
              <w:t>Comm. Overhead</w:t>
            </w:r>
          </w:p>
        </w:tc>
        <w:tc>
          <w:tcPr>
            <w:tcW w:type="dxa" w:w="2016"/>
            <w:shd w:fill="1E3A8A"/>
          </w:tcPr>
          <w:p>
            <w:r>
              <w:rPr>
                <w:rFonts w:ascii="Times New Roman" w:hAnsi="Times New Roman"/>
                <w:b/>
                <w:color w:val="FFFFFF"/>
                <w:sz w:val="19"/>
              </w:rPr>
              <w:t>Primary Bottleneck</w:t>
            </w:r>
          </w:p>
        </w:tc>
      </w:tr>
      <w:tr>
        <w:tc>
          <w:tcPr>
            <w:tcW w:type="dxa" w:w="1584"/>
            <w:shd w:fill="FFFFFF"/>
            <w:tcMar>
              <w:top w:w="80" w:type="dxa"/>
              <w:bottom w:w="80" w:type="dxa"/>
              <w:left w:w="80" w:type="dxa"/>
              <w:right w:w="80" w:type="dxa"/>
            </w:tcMar>
          </w:tcPr>
          <w:p>
            <w:r>
              <w:rPr>
                <w:rFonts w:ascii="Times New Roman" w:hAnsi="Times New Roman"/>
                <w:b/>
                <w:color w:val="1E293B"/>
                <w:sz w:val="18"/>
              </w:rPr>
              <w:t>FedAvg</w:t>
            </w:r>
          </w:p>
        </w:tc>
        <w:tc>
          <w:tcPr>
            <w:tcW w:type="dxa" w:w="2160"/>
            <w:shd w:fill="FFFFFF"/>
            <w:tcMar>
              <w:top w:w="80" w:type="dxa"/>
              <w:bottom w:w="80" w:type="dxa"/>
              <w:left w:w="80" w:type="dxa"/>
              <w:right w:w="80" w:type="dxa"/>
            </w:tcMar>
          </w:tcPr>
          <w:p>
            <w:r>
              <w:rPr>
                <w:rFonts w:ascii="Times New Roman" w:hAnsi="Times New Roman"/>
                <w:color w:val="1E293B"/>
                <w:sz w:val="18"/>
              </w:rPr>
              <w:t>Sample-weighted average</w:t>
            </w:r>
          </w:p>
        </w:tc>
        <w:tc>
          <w:tcPr>
            <w:tcW w:type="dxa" w:w="2016"/>
            <w:shd w:fill="FFFFFF"/>
            <w:tcMar>
              <w:top w:w="80" w:type="dxa"/>
              <w:bottom w:w="80" w:type="dxa"/>
              <w:left w:w="80" w:type="dxa"/>
              <w:right w:w="80" w:type="dxa"/>
            </w:tcMar>
          </w:tcPr>
          <w:p>
            <w:r>
              <w:rPr>
                <w:rFonts w:ascii="Times New Roman" w:hAnsi="Times New Roman"/>
                <w:color w:val="1E293B"/>
                <w:sz w:val="18"/>
              </w:rPr>
              <w:t>None (Assumes IID)</w:t>
            </w:r>
          </w:p>
        </w:tc>
        <w:tc>
          <w:tcPr>
            <w:tcW w:type="dxa" w:w="1584"/>
            <w:shd w:fill="FFFFFF"/>
            <w:tcMar>
              <w:top w:w="80" w:type="dxa"/>
              <w:bottom w:w="80" w:type="dxa"/>
              <w:left w:w="80" w:type="dxa"/>
              <w:right w:w="80" w:type="dxa"/>
            </w:tcMar>
          </w:tcPr>
          <w:p>
            <w:r>
              <w:rPr>
                <w:rFonts w:ascii="Times New Roman" w:hAnsi="Times New Roman"/>
                <w:color w:val="1E293B"/>
                <w:sz w:val="18"/>
              </w:rPr>
              <w:t>Standard (1x)</w:t>
            </w:r>
          </w:p>
        </w:tc>
        <w:tc>
          <w:tcPr>
            <w:tcW w:type="dxa" w:w="2016"/>
            <w:shd w:fill="FFFFFF"/>
            <w:tcMar>
              <w:top w:w="80" w:type="dxa"/>
              <w:bottom w:w="80" w:type="dxa"/>
              <w:left w:w="80" w:type="dxa"/>
              <w:right w:w="80" w:type="dxa"/>
            </w:tcMar>
          </w:tcPr>
          <w:p>
            <w:r>
              <w:rPr>
                <w:rFonts w:ascii="Times New Roman" w:hAnsi="Times New Roman"/>
                <w:color w:val="1E293B"/>
                <w:sz w:val="18"/>
              </w:rPr>
              <w:t>Severe weight drift under non-IID</w:t>
            </w:r>
          </w:p>
        </w:tc>
      </w:tr>
      <w:tr>
        <w:tc>
          <w:tcPr>
            <w:tcW w:type="dxa" w:w="1584"/>
            <w:shd w:fill="F8FAFC"/>
            <w:tcMar>
              <w:top w:w="80" w:type="dxa"/>
              <w:bottom w:w="80" w:type="dxa"/>
              <w:left w:w="80" w:type="dxa"/>
              <w:right w:w="80" w:type="dxa"/>
            </w:tcMar>
          </w:tcPr>
          <w:p>
            <w:r>
              <w:rPr>
                <w:rFonts w:ascii="Times New Roman" w:hAnsi="Times New Roman"/>
                <w:b/>
                <w:color w:val="1E293B"/>
                <w:sz w:val="18"/>
              </w:rPr>
              <w:t>FedProx</w:t>
            </w:r>
          </w:p>
        </w:tc>
        <w:tc>
          <w:tcPr>
            <w:tcW w:type="dxa" w:w="2160"/>
            <w:shd w:fill="F8FAFC"/>
            <w:tcMar>
              <w:top w:w="80" w:type="dxa"/>
              <w:bottom w:w="80" w:type="dxa"/>
              <w:left w:w="80" w:type="dxa"/>
              <w:right w:w="80" w:type="dxa"/>
            </w:tcMar>
          </w:tcPr>
          <w:p>
            <w:r>
              <w:rPr>
                <w:rFonts w:ascii="Times New Roman" w:hAnsi="Times New Roman"/>
                <w:color w:val="1E293B"/>
                <w:sz w:val="18"/>
              </w:rPr>
              <w:t>Proximal-bounded average</w:t>
            </w:r>
          </w:p>
        </w:tc>
        <w:tc>
          <w:tcPr>
            <w:tcW w:type="dxa" w:w="2016"/>
            <w:shd w:fill="F8FAFC"/>
            <w:tcMar>
              <w:top w:w="80" w:type="dxa"/>
              <w:bottom w:w="80" w:type="dxa"/>
              <w:left w:w="80" w:type="dxa"/>
              <w:right w:w="80" w:type="dxa"/>
            </w:tcMar>
          </w:tcPr>
          <w:p>
            <w:r>
              <w:rPr>
                <w:rFonts w:ascii="Times New Roman" w:hAnsi="Times New Roman"/>
                <w:color w:val="1E293B"/>
                <w:sz w:val="18"/>
              </w:rPr>
              <w:t>L2 Proximal Regularizer</w:t>
            </w:r>
          </w:p>
        </w:tc>
        <w:tc>
          <w:tcPr>
            <w:tcW w:type="dxa" w:w="1584"/>
            <w:shd w:fill="F8FAFC"/>
            <w:tcMar>
              <w:top w:w="80" w:type="dxa"/>
              <w:bottom w:w="80" w:type="dxa"/>
              <w:left w:w="80" w:type="dxa"/>
              <w:right w:w="80" w:type="dxa"/>
            </w:tcMar>
          </w:tcPr>
          <w:p>
            <w:r>
              <w:rPr>
                <w:rFonts w:ascii="Times New Roman" w:hAnsi="Times New Roman"/>
                <w:color w:val="1E293B"/>
                <w:sz w:val="18"/>
              </w:rPr>
              <w:t>Standard (1x)</w:t>
            </w:r>
          </w:p>
        </w:tc>
        <w:tc>
          <w:tcPr>
            <w:tcW w:type="dxa" w:w="2016"/>
            <w:shd w:fill="F8FAFC"/>
            <w:tcMar>
              <w:top w:w="80" w:type="dxa"/>
              <w:bottom w:w="80" w:type="dxa"/>
              <w:left w:w="80" w:type="dxa"/>
              <w:right w:w="80" w:type="dxa"/>
            </w:tcMar>
          </w:tcPr>
          <w:p>
            <w:r>
              <w:rPr>
                <w:rFonts w:ascii="Times New Roman" w:hAnsi="Times New Roman"/>
                <w:color w:val="1E293B"/>
                <w:sz w:val="18"/>
              </w:rPr>
              <w:t>Suboptimal local convergence rates</w:t>
            </w:r>
          </w:p>
        </w:tc>
      </w:tr>
      <w:tr>
        <w:tc>
          <w:tcPr>
            <w:tcW w:type="dxa" w:w="1584"/>
            <w:shd w:fill="FFFFFF"/>
            <w:tcMar>
              <w:top w:w="80" w:type="dxa"/>
              <w:bottom w:w="80" w:type="dxa"/>
              <w:left w:w="80" w:type="dxa"/>
              <w:right w:w="80" w:type="dxa"/>
            </w:tcMar>
          </w:tcPr>
          <w:p>
            <w:r>
              <w:rPr>
                <w:rFonts w:ascii="Times New Roman" w:hAnsi="Times New Roman"/>
                <w:b/>
                <w:color w:val="1E293B"/>
                <w:sz w:val="18"/>
              </w:rPr>
              <w:t>SCAFFOLD</w:t>
            </w:r>
          </w:p>
        </w:tc>
        <w:tc>
          <w:tcPr>
            <w:tcW w:type="dxa" w:w="2160"/>
            <w:shd w:fill="FFFFFF"/>
            <w:tcMar>
              <w:top w:w="80" w:type="dxa"/>
              <w:bottom w:w="80" w:type="dxa"/>
              <w:left w:w="80" w:type="dxa"/>
              <w:right w:w="80" w:type="dxa"/>
            </w:tcMar>
          </w:tcPr>
          <w:p>
            <w:r>
              <w:rPr>
                <w:rFonts w:ascii="Times New Roman" w:hAnsi="Times New Roman"/>
                <w:color w:val="1E293B"/>
                <w:sz w:val="18"/>
              </w:rPr>
              <w:t>Control variate correction</w:t>
            </w:r>
          </w:p>
        </w:tc>
        <w:tc>
          <w:tcPr>
            <w:tcW w:type="dxa" w:w="2016"/>
            <w:shd w:fill="FFFFFF"/>
            <w:tcMar>
              <w:top w:w="80" w:type="dxa"/>
              <w:bottom w:w="80" w:type="dxa"/>
              <w:left w:w="80" w:type="dxa"/>
              <w:right w:w="80" w:type="dxa"/>
            </w:tcMar>
          </w:tcPr>
          <w:p>
            <w:r>
              <w:rPr>
                <w:rFonts w:ascii="Times New Roman" w:hAnsi="Times New Roman"/>
                <w:color w:val="1E293B"/>
                <w:sz w:val="18"/>
              </w:rPr>
              <w:t>Variance Reduction</w:t>
            </w:r>
          </w:p>
        </w:tc>
        <w:tc>
          <w:tcPr>
            <w:tcW w:type="dxa" w:w="1584"/>
            <w:shd w:fill="FFFFFF"/>
            <w:tcMar>
              <w:top w:w="80" w:type="dxa"/>
              <w:bottom w:w="80" w:type="dxa"/>
              <w:left w:w="80" w:type="dxa"/>
              <w:right w:w="80" w:type="dxa"/>
            </w:tcMar>
          </w:tcPr>
          <w:p>
            <w:r>
              <w:rPr>
                <w:rFonts w:ascii="Times New Roman" w:hAnsi="Times New Roman"/>
                <w:color w:val="1E293B"/>
                <w:sz w:val="18"/>
              </w:rPr>
              <w:t>High (2x Payload)</w:t>
            </w:r>
          </w:p>
        </w:tc>
        <w:tc>
          <w:tcPr>
            <w:tcW w:type="dxa" w:w="2016"/>
            <w:shd w:fill="FFFFFF"/>
            <w:tcMar>
              <w:top w:w="80" w:type="dxa"/>
              <w:bottom w:w="80" w:type="dxa"/>
              <w:left w:w="80" w:type="dxa"/>
              <w:right w:w="80" w:type="dxa"/>
            </w:tcMar>
          </w:tcPr>
          <w:p>
            <w:r>
              <w:rPr>
                <w:rFonts w:ascii="Times New Roman" w:hAnsi="Times New Roman"/>
                <w:color w:val="1E293B"/>
                <w:sz w:val="18"/>
              </w:rPr>
              <w:t>Doubled bandwidth consumption</w:t>
            </w:r>
          </w:p>
        </w:tc>
      </w:tr>
      <w:tr>
        <w:tc>
          <w:tcPr>
            <w:tcW w:type="dxa" w:w="1584"/>
            <w:shd w:fill="F8FAFC"/>
            <w:tcMar>
              <w:top w:w="80" w:type="dxa"/>
              <w:bottom w:w="80" w:type="dxa"/>
              <w:left w:w="80" w:type="dxa"/>
              <w:right w:w="80" w:type="dxa"/>
            </w:tcMar>
          </w:tcPr>
          <w:p>
            <w:r>
              <w:rPr>
                <w:rFonts w:ascii="Times New Roman" w:hAnsi="Times New Roman"/>
                <w:b/>
                <w:color w:val="1E293B"/>
                <w:sz w:val="18"/>
              </w:rPr>
              <w:t>MOON</w:t>
            </w:r>
          </w:p>
        </w:tc>
        <w:tc>
          <w:tcPr>
            <w:tcW w:type="dxa" w:w="2160"/>
            <w:shd w:fill="F8FAFC"/>
            <w:tcMar>
              <w:top w:w="80" w:type="dxa"/>
              <w:bottom w:w="80" w:type="dxa"/>
              <w:left w:w="80" w:type="dxa"/>
              <w:right w:w="80" w:type="dxa"/>
            </w:tcMar>
          </w:tcPr>
          <w:p>
            <w:r>
              <w:rPr>
                <w:rFonts w:ascii="Times New Roman" w:hAnsi="Times New Roman"/>
                <w:color w:val="1E293B"/>
                <w:sz w:val="18"/>
              </w:rPr>
              <w:t>Contrastive representation</w:t>
            </w:r>
          </w:p>
        </w:tc>
        <w:tc>
          <w:tcPr>
            <w:tcW w:type="dxa" w:w="2016"/>
            <w:shd w:fill="F8FAFC"/>
            <w:tcMar>
              <w:top w:w="80" w:type="dxa"/>
              <w:bottom w:w="80" w:type="dxa"/>
              <w:left w:w="80" w:type="dxa"/>
              <w:right w:w="80" w:type="dxa"/>
            </w:tcMar>
          </w:tcPr>
          <w:p>
            <w:r>
              <w:rPr>
                <w:rFonts w:ascii="Times New Roman" w:hAnsi="Times New Roman"/>
                <w:color w:val="1E293B"/>
                <w:sz w:val="18"/>
              </w:rPr>
              <w:t>Model Contrastive Loss</w:t>
            </w:r>
          </w:p>
        </w:tc>
        <w:tc>
          <w:tcPr>
            <w:tcW w:type="dxa" w:w="1584"/>
            <w:shd w:fill="F8FAFC"/>
            <w:tcMar>
              <w:top w:w="80" w:type="dxa"/>
              <w:bottom w:w="80" w:type="dxa"/>
              <w:left w:w="80" w:type="dxa"/>
              <w:right w:w="80" w:type="dxa"/>
            </w:tcMar>
          </w:tcPr>
          <w:p>
            <w:r>
              <w:rPr>
                <w:rFonts w:ascii="Times New Roman" w:hAnsi="Times New Roman"/>
                <w:color w:val="1E293B"/>
                <w:sz w:val="18"/>
              </w:rPr>
              <w:t>Standard (1x)</w:t>
            </w:r>
          </w:p>
        </w:tc>
        <w:tc>
          <w:tcPr>
            <w:tcW w:type="dxa" w:w="2016"/>
            <w:shd w:fill="F8FAFC"/>
            <w:tcMar>
              <w:top w:w="80" w:type="dxa"/>
              <w:bottom w:w="80" w:type="dxa"/>
              <w:left w:w="80" w:type="dxa"/>
              <w:right w:w="80" w:type="dxa"/>
            </w:tcMar>
          </w:tcPr>
          <w:p>
            <w:r>
              <w:rPr>
                <w:rFonts w:ascii="Times New Roman" w:hAnsi="Times New Roman"/>
                <w:color w:val="1E293B"/>
                <w:sz w:val="18"/>
              </w:rPr>
              <w:t>High local compute expenditure</w:t>
            </w:r>
          </w:p>
        </w:tc>
      </w:tr>
      <w:tr>
        <w:tc>
          <w:tcPr>
            <w:tcW w:type="dxa" w:w="1584"/>
            <w:shd w:fill="FFFFFF"/>
            <w:tcMar>
              <w:top w:w="80" w:type="dxa"/>
              <w:bottom w:w="80" w:type="dxa"/>
              <w:left w:w="80" w:type="dxa"/>
              <w:right w:w="80" w:type="dxa"/>
            </w:tcMar>
          </w:tcPr>
          <w:p>
            <w:r>
              <w:rPr>
                <w:rFonts w:ascii="Times New Roman" w:hAnsi="Times New Roman"/>
                <w:b/>
                <w:color w:val="1E293B"/>
                <w:sz w:val="18"/>
              </w:rPr>
              <w:t>FedDyn</w:t>
            </w:r>
          </w:p>
        </w:tc>
        <w:tc>
          <w:tcPr>
            <w:tcW w:type="dxa" w:w="2160"/>
            <w:shd w:fill="FFFFFF"/>
            <w:tcMar>
              <w:top w:w="80" w:type="dxa"/>
              <w:bottom w:w="80" w:type="dxa"/>
              <w:left w:w="80" w:type="dxa"/>
              <w:right w:w="80" w:type="dxa"/>
            </w:tcMar>
          </w:tcPr>
          <w:p>
            <w:r>
              <w:rPr>
                <w:rFonts w:ascii="Times New Roman" w:hAnsi="Times New Roman"/>
                <w:color w:val="1E293B"/>
                <w:sz w:val="18"/>
              </w:rPr>
              <w:t>Dynamic regularization</w:t>
            </w:r>
          </w:p>
        </w:tc>
        <w:tc>
          <w:tcPr>
            <w:tcW w:type="dxa" w:w="2016"/>
            <w:shd w:fill="FFFFFF"/>
            <w:tcMar>
              <w:top w:w="80" w:type="dxa"/>
              <w:bottom w:w="80" w:type="dxa"/>
              <w:left w:w="80" w:type="dxa"/>
              <w:right w:w="80" w:type="dxa"/>
            </w:tcMar>
          </w:tcPr>
          <w:p>
            <w:r>
              <w:rPr>
                <w:rFonts w:ascii="Times New Roman" w:hAnsi="Times New Roman"/>
                <w:color w:val="1E293B"/>
                <w:sz w:val="18"/>
              </w:rPr>
              <w:t>Loss regularizer alignment</w:t>
            </w:r>
          </w:p>
        </w:tc>
        <w:tc>
          <w:tcPr>
            <w:tcW w:type="dxa" w:w="1584"/>
            <w:shd w:fill="FFFFFF"/>
            <w:tcMar>
              <w:top w:w="80" w:type="dxa"/>
              <w:bottom w:w="80" w:type="dxa"/>
              <w:left w:w="80" w:type="dxa"/>
              <w:right w:w="80" w:type="dxa"/>
            </w:tcMar>
          </w:tcPr>
          <w:p>
            <w:r>
              <w:rPr>
                <w:rFonts w:ascii="Times New Roman" w:hAnsi="Times New Roman"/>
                <w:color w:val="1E293B"/>
                <w:sz w:val="18"/>
              </w:rPr>
              <w:t>Standard (1x)</w:t>
            </w:r>
          </w:p>
        </w:tc>
        <w:tc>
          <w:tcPr>
            <w:tcW w:type="dxa" w:w="2016"/>
            <w:shd w:fill="FFFFFF"/>
            <w:tcMar>
              <w:top w:w="80" w:type="dxa"/>
              <w:bottom w:w="80" w:type="dxa"/>
              <w:left w:w="80" w:type="dxa"/>
              <w:right w:w="80" w:type="dxa"/>
            </w:tcMar>
          </w:tcPr>
          <w:p>
            <w:r>
              <w:rPr>
                <w:rFonts w:ascii="Times New Roman" w:hAnsi="Times New Roman"/>
                <w:color w:val="1E293B"/>
                <w:sz w:val="18"/>
              </w:rPr>
              <w:t>Sensitivity to hyperparameter alpha</w:t>
            </w:r>
          </w:p>
        </w:tc>
      </w:tr>
      <w:tr>
        <w:tc>
          <w:tcPr>
            <w:tcW w:type="dxa" w:w="1584"/>
            <w:shd w:fill="F8FAFC"/>
            <w:tcMar>
              <w:top w:w="80" w:type="dxa"/>
              <w:bottom w:w="80" w:type="dxa"/>
              <w:left w:w="80" w:type="dxa"/>
              <w:right w:w="80" w:type="dxa"/>
            </w:tcMar>
          </w:tcPr>
          <w:p>
            <w:r>
              <w:rPr>
                <w:rFonts w:ascii="Times New Roman" w:hAnsi="Times New Roman"/>
                <w:b/>
                <w:color w:val="1E293B"/>
                <w:sz w:val="18"/>
              </w:rPr>
              <w:t>Proposed JSD-FL</w:t>
            </w:r>
          </w:p>
        </w:tc>
        <w:tc>
          <w:tcPr>
            <w:tcW w:type="dxa" w:w="2160"/>
            <w:shd w:fill="F8FAFC"/>
            <w:tcMar>
              <w:top w:w="80" w:type="dxa"/>
              <w:bottom w:w="80" w:type="dxa"/>
              <w:left w:w="80" w:type="dxa"/>
              <w:right w:w="80" w:type="dxa"/>
            </w:tcMar>
          </w:tcPr>
          <w:p>
            <w:r>
              <w:rPr>
                <w:rFonts w:ascii="Times New Roman" w:hAnsi="Times New Roman"/>
                <w:color w:val="1E293B"/>
                <w:sz w:val="18"/>
              </w:rPr>
              <w:t>Divergence-weighted JSD</w:t>
            </w:r>
          </w:p>
        </w:tc>
        <w:tc>
          <w:tcPr>
            <w:tcW w:type="dxa" w:w="2016"/>
            <w:shd w:fill="F8FAFC"/>
            <w:tcMar>
              <w:top w:w="80" w:type="dxa"/>
              <w:bottom w:w="80" w:type="dxa"/>
              <w:left w:w="80" w:type="dxa"/>
              <w:right w:w="80" w:type="dxa"/>
            </w:tcMar>
          </w:tcPr>
          <w:p>
            <w:r>
              <w:rPr>
                <w:rFonts w:ascii="Times New Roman" w:hAnsi="Times New Roman"/>
                <w:color w:val="1E293B"/>
                <w:sz w:val="18"/>
              </w:rPr>
              <w:t>Dynamic metric recalibration</w:t>
            </w:r>
          </w:p>
        </w:tc>
        <w:tc>
          <w:tcPr>
            <w:tcW w:type="dxa" w:w="1584"/>
            <w:shd w:fill="F8FAFC"/>
            <w:tcMar>
              <w:top w:w="80" w:type="dxa"/>
              <w:bottom w:w="80" w:type="dxa"/>
              <w:left w:w="80" w:type="dxa"/>
              <w:right w:w="80" w:type="dxa"/>
            </w:tcMar>
          </w:tcPr>
          <w:p>
            <w:r>
              <w:rPr>
                <w:rFonts w:ascii="Times New Roman" w:hAnsi="Times New Roman"/>
                <w:color w:val="1E293B"/>
                <w:sz w:val="18"/>
              </w:rPr>
              <w:t>Standard (1x)</w:t>
            </w:r>
          </w:p>
        </w:tc>
        <w:tc>
          <w:tcPr>
            <w:tcW w:type="dxa" w:w="2016"/>
            <w:shd w:fill="F8FAFC"/>
            <w:tcMar>
              <w:top w:w="80" w:type="dxa"/>
              <w:bottom w:w="80" w:type="dxa"/>
              <w:left w:w="80" w:type="dxa"/>
              <w:right w:w="80" w:type="dxa"/>
            </w:tcMar>
          </w:tcPr>
          <w:p>
            <w:r>
              <w:rPr>
                <w:rFonts w:ascii="Times New Roman" w:hAnsi="Times New Roman"/>
                <w:color w:val="1E293B"/>
                <w:sz w:val="18"/>
              </w:rPr>
              <w:t>Server feature extraction overhead</w:t>
            </w:r>
          </w:p>
        </w:tc>
      </w:tr>
    </w:tbl>
    <w:p>
      <w:pPr>
        <w:spacing w:before="80" w:after="240"/>
        <w:jc w:val="center"/>
      </w:pPr>
      <w:r>
        <w:rPr>
          <w:rFonts w:ascii="Times New Roman" w:hAnsi="Times New Roman"/>
          <w:b/>
          <w:i/>
          <w:color w:val="475569"/>
          <w:sz w:val="21"/>
        </w:rPr>
        <w:t>Table 2.1: Comparative Analysis of Federated Learning Optimization Frameworks</w:t>
      </w:r>
    </w:p>
    <w:p>
      <w:pPr>
        <w:spacing w:before="240" w:after="80"/>
        <w:jc w:val="center"/>
      </w:pPr>
      <w:r>
        <w:drawing>
          <wp:inline xmlns:a="http://schemas.openxmlformats.org/drawingml/2006/main" xmlns:pic="http://schemas.openxmlformats.org/drawingml/2006/picture">
            <wp:extent cx="5486400" cy="3823855"/>
            <wp:docPr id="2" name="Picture 2"/>
            <wp:cNvGraphicFramePr>
              <a:graphicFrameLocks noChangeAspect="1"/>
            </wp:cNvGraphicFramePr>
            <a:graphic>
              <a:graphicData uri="http://schemas.openxmlformats.org/drawingml/2006/picture">
                <pic:pic>
                  <pic:nvPicPr>
                    <pic:cNvPr id="0" name="figure_2_2.png"/>
                    <pic:cNvPicPr/>
                  </pic:nvPicPr>
                  <pic:blipFill>
                    <a:blip r:embed="rId10"/>
                    <a:stretch>
                      <a:fillRect/>
                    </a:stretch>
                  </pic:blipFill>
                  <pic:spPr>
                    <a:xfrm>
                      <a:off x="0" y="0"/>
                      <a:ext cx="5486400" cy="3823855"/>
                    </a:xfrm>
                    <a:prstGeom prst="rect"/>
                  </pic:spPr>
                </pic:pic>
              </a:graphicData>
            </a:graphic>
          </wp:inline>
        </w:drawing>
      </w:r>
    </w:p>
    <w:p>
      <w:pPr>
        <w:spacing w:before="80" w:after="240"/>
        <w:jc w:val="center"/>
      </w:pPr>
      <w:r>
        <w:rPr>
          <w:rFonts w:ascii="Times New Roman" w:hAnsi="Times New Roman"/>
          <w:b/>
          <w:i/>
          <w:color w:val="475569"/>
          <w:sz w:val="21"/>
        </w:rPr>
        <w:t>Figure 2.2: Proposed Three-Stage Divergence-Aware Adaptive Federated Learning Framework</w:t>
      </w:r>
    </w:p>
    <w:p>
      <w:pPr>
        <w:keepNext/>
        <w:spacing w:before="240" w:after="80"/>
      </w:pPr>
      <w:r>
        <w:rPr>
          <w:rFonts w:ascii="Times New Roman" w:hAnsi="Times New Roman"/>
          <w:b/>
          <w:color w:val="1E3A8A"/>
          <w:sz w:val="28"/>
        </w:rPr>
        <w:t>2.17 Convolutional Neural Networks (CNNs) in Medical Image Classification</w:t>
      </w:r>
    </w:p>
    <w:p>
      <w:pPr>
        <w:spacing w:after="120" w:line="300" w:lineRule="auto"/>
      </w:pPr>
      <w:r>
        <w:rPr>
          <w:rFonts w:ascii="Times New Roman" w:hAnsi="Times New Roman"/>
          <w:i w:val="0"/>
          <w:color w:val="1E293B"/>
          <w:sz w:val="24"/>
        </w:rPr>
        <w:t>Deep Convolutional Neural Networks (e.g., ResNet-50, DenseNet-121, EfficientNet-B4) constitute the benchmark feature extraction backbones in medical computer vision. DenseNet-121's feature reuse architecture and explicit channel concatenation render it particularly effective for detecting subtle radiographic opacities in chest X-rays. In our proposed framework, DenseNet-121 serves as the foundational local feature encoder across all client nodes.</w:t>
      </w:r>
    </w:p>
    <w:p>
      <w:pPr>
        <w:keepNext/>
        <w:spacing w:before="240" w:after="80"/>
      </w:pPr>
      <w:r>
        <w:rPr>
          <w:rFonts w:ascii="Times New Roman" w:hAnsi="Times New Roman"/>
          <w:b/>
          <w:color w:val="1E3A8A"/>
          <w:sz w:val="28"/>
        </w:rPr>
        <w:t>2.18 Vision Transformers (ViTs) and Hybrid Architectures for Pathology &amp; MRI</w:t>
      </w:r>
    </w:p>
    <w:p>
      <w:pPr>
        <w:spacing w:after="120" w:line="300" w:lineRule="auto"/>
      </w:pPr>
      <w:r>
        <w:rPr>
          <w:rFonts w:ascii="Times New Roman" w:hAnsi="Times New Roman"/>
          <w:i w:val="0"/>
          <w:color w:val="1E293B"/>
          <w:sz w:val="24"/>
        </w:rPr>
        <w:t>Vision Transformers leverage multi-head self-attention mechanisms to capture long-range spatial dependencies across diagnostic image patches. Hybrid architectures combining convolutional patch embedding layers with transformer encoder blocks (e.g., TransUNet, Swin-Transformer) achieve superior segmentation accuracy in complex histopathology and brain MRI scans.</w:t>
      </w:r>
    </w:p>
    <w:p>
      <w:pPr>
        <w:keepNext/>
        <w:spacing w:before="240" w:after="80"/>
      </w:pPr>
      <w:r>
        <w:rPr>
          <w:rFonts w:ascii="Times New Roman" w:hAnsi="Times New Roman"/>
          <w:b/>
          <w:color w:val="1E3A8A"/>
          <w:sz w:val="28"/>
        </w:rPr>
        <w:t>2.19 Multi-Modal Medical Data Fusion (Imaging + Genomic/Clinical Text)</w:t>
      </w:r>
    </w:p>
    <w:p>
      <w:pPr>
        <w:spacing w:after="120" w:line="300" w:lineRule="auto"/>
      </w:pPr>
      <w:r>
        <w:rPr>
          <w:rFonts w:ascii="Times New Roman" w:hAnsi="Times New Roman"/>
          <w:i w:val="0"/>
          <w:color w:val="1E293B"/>
          <w:sz w:val="24"/>
        </w:rPr>
        <w:t>Integrating unstructured imaging features with structured clinical tabular records and genomic mutation profiles significantly enhances overall diagnostic sensitivity. Multi-modal federated fusion architectures utilize cross-attention projection layers to bind disparate patient data modalities into unified diagnostic latent spaces.</w:t>
      </w:r>
    </w:p>
    <w:p>
      <w:pPr>
        <w:keepNext/>
        <w:spacing w:before="240" w:after="80"/>
      </w:pPr>
      <w:r>
        <w:rPr>
          <w:rFonts w:ascii="Times New Roman" w:hAnsi="Times New Roman"/>
          <w:b/>
          <w:color w:val="1E3A8A"/>
          <w:sz w:val="28"/>
        </w:rPr>
        <w:t>2.20 Jensen-Shannon Divergence (JSD) as a Statistical Distance Metric</w:t>
      </w:r>
    </w:p>
    <w:p>
      <w:pPr>
        <w:spacing w:after="120" w:line="300" w:lineRule="auto"/>
      </w:pPr>
      <w:r>
        <w:rPr>
          <w:rFonts w:ascii="Times New Roman" w:hAnsi="Times New Roman"/>
          <w:i w:val="0"/>
          <w:color w:val="1E293B"/>
          <w:sz w:val="24"/>
        </w:rPr>
        <w:t>Jensen-Shannon Divergence provides a mathematically robust metric for evaluating dissimilarity between probability distributions. Unlike Kullback-Leibler Divergence (KLD), JSD is strictly symmetric and bounded within the interval [0, 1] when using logarithm base 2. This mathematical stability makes JSD ideal for quantifying statistical divergence between client feature updates and global population distributions.</w:t>
      </w:r>
    </w:p>
    <w:p>
      <w:pPr>
        <w:keepNext/>
        <w:spacing w:before="240" w:after="80"/>
      </w:pPr>
      <w:r>
        <w:rPr>
          <w:rFonts w:ascii="Times New Roman" w:hAnsi="Times New Roman"/>
          <w:b/>
          <w:color w:val="1E3A8A"/>
          <w:sz w:val="28"/>
        </w:rPr>
        <w:t>2.21 Adaptive Weighting and Dynamic Aggregation Protocols</w:t>
      </w:r>
    </w:p>
    <w:p>
      <w:pPr>
        <w:spacing w:after="120" w:line="300" w:lineRule="auto"/>
      </w:pPr>
      <w:r>
        <w:rPr>
          <w:rFonts w:ascii="Times New Roman" w:hAnsi="Times New Roman"/>
          <w:i w:val="0"/>
          <w:color w:val="1E293B"/>
          <w:sz w:val="24"/>
        </w:rPr>
        <w:t>Dynamic aggregation mechanisms replace static sample-count weights with real-time performance and statistical alignment metrics. By transforming computed JSD scores through a softmax-scaled exponential temperature function, the central server automatically scales down weights of divergent updates while assigning higher influence to updates aligned with the consensus global trajectory.</w:t>
      </w:r>
    </w:p>
    <w:p>
      <w:pPr>
        <w:keepNext/>
        <w:spacing w:before="240" w:after="80"/>
      </w:pPr>
      <w:r>
        <w:rPr>
          <w:rFonts w:ascii="Times New Roman" w:hAnsi="Times New Roman"/>
          <w:b/>
          <w:color w:val="1E3A8A"/>
          <w:sz w:val="28"/>
        </w:rPr>
        <w:t>2.22 Summary of Identified Gaps and Research Opportunity</w:t>
      </w:r>
    </w:p>
    <w:p>
      <w:pPr>
        <w:spacing w:after="120" w:line="300" w:lineRule="auto"/>
      </w:pPr>
      <w:r>
        <w:rPr>
          <w:rFonts w:ascii="Times New Roman" w:hAnsi="Times New Roman"/>
          <w:i w:val="0"/>
          <w:color w:val="1E293B"/>
          <w:sz w:val="24"/>
        </w:rPr>
        <w:t>In summary, while existing FL frameworks (FedProx, MOON, SCAFFOLD) mitigate non-IID variance, they either impose severe communication overhead or rely on rigid regularizer constants. A major research opportunity exists to develop a lightweight, privacy-preserving aggregation framework that dynamically quantifies probability density divergence via Jensen-Shannon Divergence to achieve optimal convergence stability under extreme medical imaging Non-IID conditions.</w:t>
      </w:r>
    </w:p>
    <w:p>
      <w:r>
        <w:br w:type="page"/>
      </w:r>
    </w:p>
    <w:p>
      <w:pPr>
        <w:keepNext/>
        <w:spacing w:before="280" w:after="120"/>
      </w:pPr>
      <w:r>
        <w:rPr>
          <w:rFonts w:ascii="Times New Roman" w:hAnsi="Times New Roman"/>
          <w:b/>
          <w:color w:val="0F172A"/>
          <w:sz w:val="32"/>
        </w:rPr>
        <w:t>CHAPTER 3: RESEARCH METHODOLOGY</w:t>
      </w:r>
    </w:p>
    <w:p>
      <w:pPr>
        <w:keepNext/>
        <w:spacing w:before="240" w:after="80"/>
      </w:pPr>
      <w:r>
        <w:rPr>
          <w:rFonts w:ascii="Times New Roman" w:hAnsi="Times New Roman"/>
          <w:b/>
          <w:color w:val="1E3A8A"/>
          <w:sz w:val="28"/>
        </w:rPr>
        <w:t>3.1 Overview of Proposed Methodology</w:t>
      </w:r>
    </w:p>
    <w:p>
      <w:pPr>
        <w:spacing w:after="120" w:line="300" w:lineRule="auto"/>
      </w:pPr>
      <w:r>
        <w:rPr>
          <w:rFonts w:ascii="Times New Roman" w:hAnsi="Times New Roman"/>
          <w:i w:val="0"/>
          <w:color w:val="1E293B"/>
          <w:sz w:val="24"/>
        </w:rPr>
        <w:t>This research proposes a novel, three-stage adaptive federated learning framework featuring server-side Jensen-Shannon Divergence (JSD) update evaluation. The overall pipeline operates across a decentralized network of K clinical client nodes coordinated by a central server. The framework consists of: (1) Local Model Training and Privacy-Preserving Feature Embedding Generation, (2) Server-Side JSD Statistical Divergence Computation, and (3) Dynamic Weight Recalibration &amp; Adaptive Model Aggregation.</w:t>
      </w:r>
    </w:p>
    <w:p>
      <w:pPr>
        <w:keepNext/>
        <w:spacing w:before="240" w:after="80"/>
      </w:pPr>
      <w:r>
        <w:rPr>
          <w:rFonts w:ascii="Times New Roman" w:hAnsi="Times New Roman"/>
          <w:b/>
          <w:color w:val="1E3A8A"/>
          <w:sz w:val="28"/>
        </w:rPr>
        <w:t>3.2 Proposed System Architecture &amp; Data-Flow Pipeline</w:t>
      </w:r>
    </w:p>
    <w:p>
      <w:pPr>
        <w:spacing w:after="120" w:line="300" w:lineRule="auto"/>
      </w:pPr>
      <w:r>
        <w:rPr>
          <w:rFonts w:ascii="Times New Roman" w:hAnsi="Times New Roman"/>
          <w:i w:val="0"/>
          <w:color w:val="1E293B"/>
          <w:sz w:val="24"/>
        </w:rPr>
        <w:t>Figure 3.1 illustrates the end-to-end operational workflow of the proposed JSD-based federated framework:</w:t>
      </w:r>
    </w:p>
    <w:p>
      <w:pPr>
        <w:spacing w:before="240" w:after="80"/>
        <w:jc w:val="center"/>
      </w:pPr>
      <w:r>
        <w:drawing>
          <wp:inline xmlns:a="http://schemas.openxmlformats.org/drawingml/2006/main" xmlns:pic="http://schemas.openxmlformats.org/drawingml/2006/picture">
            <wp:extent cx="5486400" cy="3823855"/>
            <wp:docPr id="3" name="Picture 3"/>
            <wp:cNvGraphicFramePr>
              <a:graphicFrameLocks noChangeAspect="1"/>
            </wp:cNvGraphicFramePr>
            <a:graphic>
              <a:graphicData uri="http://schemas.openxmlformats.org/drawingml/2006/picture">
                <pic:pic>
                  <pic:nvPicPr>
                    <pic:cNvPr id="0" name="figure_3_1.png"/>
                    <pic:cNvPicPr/>
                  </pic:nvPicPr>
                  <pic:blipFill>
                    <a:blip r:embed="rId11"/>
                    <a:stretch>
                      <a:fillRect/>
                    </a:stretch>
                  </pic:blipFill>
                  <pic:spPr>
                    <a:xfrm>
                      <a:off x="0" y="0"/>
                      <a:ext cx="5486400" cy="3823855"/>
                    </a:xfrm>
                    <a:prstGeom prst="rect"/>
                  </pic:spPr>
                </pic:pic>
              </a:graphicData>
            </a:graphic>
          </wp:inline>
        </w:drawing>
      </w:r>
    </w:p>
    <w:p>
      <w:pPr>
        <w:spacing w:before="80" w:after="240"/>
        <w:jc w:val="center"/>
      </w:pPr>
      <w:r>
        <w:rPr>
          <w:rFonts w:ascii="Times New Roman" w:hAnsi="Times New Roman"/>
          <w:b/>
          <w:i/>
          <w:color w:val="475569"/>
          <w:sz w:val="21"/>
        </w:rPr>
        <w:t>Figure 3.1: End-to-End System Architecture and Data-Flow Pipeline for Proposed JSD-Based Federated Framework</w:t>
      </w:r>
    </w:p>
    <w:p>
      <w:pPr>
        <w:keepNext/>
        <w:spacing w:before="240" w:after="80"/>
      </w:pPr>
      <w:r>
        <w:rPr>
          <w:rFonts w:ascii="Times New Roman" w:hAnsi="Times New Roman"/>
          <w:b/>
          <w:color w:val="1E3A8A"/>
          <w:sz w:val="28"/>
        </w:rPr>
        <w:t>3.3 Target Medical Imaging Datasets &amp; Multimodal Data Strategy</w:t>
      </w:r>
    </w:p>
    <w:p>
      <w:pPr>
        <w:spacing w:after="120" w:line="300" w:lineRule="auto"/>
      </w:pPr>
      <w:r>
        <w:rPr>
          <w:rFonts w:ascii="Times New Roman" w:hAnsi="Times New Roman"/>
          <w:i w:val="0"/>
          <w:color w:val="1E293B"/>
          <w:sz w:val="24"/>
        </w:rPr>
        <w:t>The proposed framework will be rigorously evaluated across two benchmark clinical imaging repositories representing distinct medical diagnostic domains:</w:t>
      </w:r>
    </w:p>
    <w:p>
      <w:pPr>
        <w:spacing w:after="120" w:line="300" w:lineRule="auto"/>
      </w:pPr>
      <w:r>
        <w:rPr>
          <w:rFonts w:ascii="Times New Roman" w:hAnsi="Times New Roman"/>
          <w:i w:val="0"/>
          <w:color w:val="1E293B"/>
          <w:sz w:val="24"/>
        </w:rPr>
        <w:t>1. NIH ChestX-ray14: Comprising 112,120 frontal-view chest radiographs from 30,805 unique patients categorized across 14 distinct pulmonary disease labels (e.g., Pneumonia, Atelectasis, Cardiomegaly, Effusion).</w:t>
      </w:r>
    </w:p>
    <w:p>
      <w:pPr>
        <w:spacing w:after="120" w:line="300" w:lineRule="auto"/>
      </w:pPr>
      <w:r>
        <w:rPr>
          <w:rFonts w:ascii="Times New Roman" w:hAnsi="Times New Roman"/>
          <w:i w:val="0"/>
          <w:color w:val="1E293B"/>
          <w:sz w:val="24"/>
        </w:rPr>
        <w:t>2. NCT-CRC-HE-100K: Consisting of 100,000 histologic tissue patches from human colorectal cancer and normal tissue stained with Hematoxylin and Eosin (H&amp;E), categorized across 9 tissue classes.</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72"/>
        <w:gridCol w:w="1872"/>
        <w:gridCol w:w="1872"/>
        <w:gridCol w:w="1872"/>
        <w:gridCol w:w="1872"/>
      </w:tblGrid>
      <w:tr>
        <w:tc>
          <w:tcPr>
            <w:tcW w:type="dxa" w:w="2160"/>
            <w:shd w:fill="1E3A8A"/>
          </w:tcPr>
          <w:p>
            <w:r>
              <w:rPr>
                <w:rFonts w:ascii="Times New Roman" w:hAnsi="Times New Roman"/>
                <w:b/>
                <w:color w:val="FFFFFF"/>
                <w:sz w:val="19"/>
              </w:rPr>
              <w:t>Dataset</w:t>
            </w:r>
          </w:p>
        </w:tc>
        <w:tc>
          <w:tcPr>
            <w:tcW w:type="dxa" w:w="1872"/>
            <w:shd w:fill="1E3A8A"/>
          </w:tcPr>
          <w:p>
            <w:r>
              <w:rPr>
                <w:rFonts w:ascii="Times New Roman" w:hAnsi="Times New Roman"/>
                <w:b/>
                <w:color w:val="FFFFFF"/>
                <w:sz w:val="19"/>
              </w:rPr>
              <w:t>Modality</w:t>
            </w:r>
          </w:p>
        </w:tc>
        <w:tc>
          <w:tcPr>
            <w:tcW w:type="dxa" w:w="1584"/>
            <w:shd w:fill="1E3A8A"/>
          </w:tcPr>
          <w:p>
            <w:r>
              <w:rPr>
                <w:rFonts w:ascii="Times New Roman" w:hAnsi="Times New Roman"/>
                <w:b/>
                <w:color w:val="FFFFFF"/>
                <w:sz w:val="19"/>
              </w:rPr>
              <w:t>Total Samples</w:t>
            </w:r>
          </w:p>
        </w:tc>
        <w:tc>
          <w:tcPr>
            <w:tcW w:type="dxa" w:w="1872"/>
            <w:shd w:fill="1E3A8A"/>
          </w:tcPr>
          <w:p>
            <w:r>
              <w:rPr>
                <w:rFonts w:ascii="Times New Roman" w:hAnsi="Times New Roman"/>
                <w:b/>
                <w:color w:val="FFFFFF"/>
                <w:sz w:val="19"/>
              </w:rPr>
              <w:t>Diagnostic Classes</w:t>
            </w:r>
          </w:p>
        </w:tc>
        <w:tc>
          <w:tcPr>
            <w:tcW w:type="dxa" w:w="1872"/>
            <w:shd w:fill="1E3A8A"/>
          </w:tcPr>
          <w:p>
            <w:r>
              <w:rPr>
                <w:rFonts w:ascii="Times New Roman" w:hAnsi="Times New Roman"/>
                <w:b/>
                <w:color w:val="FFFFFF"/>
                <w:sz w:val="19"/>
              </w:rPr>
              <w:t>Simulated Non-IID Dirichlet α</w:t>
            </w:r>
          </w:p>
        </w:tc>
      </w:tr>
      <w:tr>
        <w:tc>
          <w:tcPr>
            <w:tcW w:type="dxa" w:w="2160"/>
            <w:shd w:fill="FFFFFF"/>
            <w:tcMar>
              <w:top w:w="80" w:type="dxa"/>
              <w:bottom w:w="80" w:type="dxa"/>
              <w:left w:w="80" w:type="dxa"/>
              <w:right w:w="80" w:type="dxa"/>
            </w:tcMar>
          </w:tcPr>
          <w:p>
            <w:r>
              <w:rPr>
                <w:rFonts w:ascii="Times New Roman" w:hAnsi="Times New Roman"/>
                <w:b/>
                <w:color w:val="1E293B"/>
                <w:sz w:val="18"/>
              </w:rPr>
              <w:t>NIH ChestX-ray14</w:t>
            </w:r>
          </w:p>
        </w:tc>
        <w:tc>
          <w:tcPr>
            <w:tcW w:type="dxa" w:w="1872"/>
            <w:shd w:fill="FFFFFF"/>
            <w:tcMar>
              <w:top w:w="80" w:type="dxa"/>
              <w:bottom w:w="80" w:type="dxa"/>
              <w:left w:w="80" w:type="dxa"/>
              <w:right w:w="80" w:type="dxa"/>
            </w:tcMar>
          </w:tcPr>
          <w:p>
            <w:r>
              <w:rPr>
                <w:rFonts w:ascii="Times New Roman" w:hAnsi="Times New Roman"/>
                <w:color w:val="1E293B"/>
                <w:sz w:val="18"/>
              </w:rPr>
              <w:t>Chest Radiography (X-Ray)</w:t>
            </w:r>
          </w:p>
        </w:tc>
        <w:tc>
          <w:tcPr>
            <w:tcW w:type="dxa" w:w="1584"/>
            <w:shd w:fill="FFFFFF"/>
            <w:tcMar>
              <w:top w:w="80" w:type="dxa"/>
              <w:bottom w:w="80" w:type="dxa"/>
              <w:left w:w="80" w:type="dxa"/>
              <w:right w:w="80" w:type="dxa"/>
            </w:tcMar>
          </w:tcPr>
          <w:p>
            <w:r>
              <w:rPr>
                <w:rFonts w:ascii="Times New Roman" w:hAnsi="Times New Roman"/>
                <w:color w:val="1E293B"/>
                <w:sz w:val="18"/>
              </w:rPr>
              <w:t>112,120 Scans</w:t>
            </w:r>
          </w:p>
        </w:tc>
        <w:tc>
          <w:tcPr>
            <w:tcW w:type="dxa" w:w="1872"/>
            <w:shd w:fill="FFFFFF"/>
            <w:tcMar>
              <w:top w:w="80" w:type="dxa"/>
              <w:bottom w:w="80" w:type="dxa"/>
              <w:left w:w="80" w:type="dxa"/>
              <w:right w:w="80" w:type="dxa"/>
            </w:tcMar>
          </w:tcPr>
          <w:p>
            <w:r>
              <w:rPr>
                <w:rFonts w:ascii="Times New Roman" w:hAnsi="Times New Roman"/>
                <w:color w:val="1E293B"/>
                <w:sz w:val="18"/>
              </w:rPr>
              <w:t>14 Disease Labels</w:t>
            </w:r>
          </w:p>
        </w:tc>
        <w:tc>
          <w:tcPr>
            <w:tcW w:type="dxa" w:w="1872"/>
            <w:shd w:fill="FFFFFF"/>
            <w:tcMar>
              <w:top w:w="80" w:type="dxa"/>
              <w:bottom w:w="80" w:type="dxa"/>
              <w:left w:w="80" w:type="dxa"/>
              <w:right w:w="80" w:type="dxa"/>
            </w:tcMar>
          </w:tcPr>
          <w:p>
            <w:r>
              <w:rPr>
                <w:rFonts w:ascii="Times New Roman" w:hAnsi="Times New Roman"/>
                <w:color w:val="1E293B"/>
                <w:sz w:val="18"/>
              </w:rPr>
              <w:t>α = 0.5 (Moderate), α = 0.1 (Extreme)</w:t>
            </w:r>
          </w:p>
        </w:tc>
      </w:tr>
      <w:tr>
        <w:tc>
          <w:tcPr>
            <w:tcW w:type="dxa" w:w="2160"/>
            <w:shd w:fill="F8FAFC"/>
            <w:tcMar>
              <w:top w:w="80" w:type="dxa"/>
              <w:bottom w:w="80" w:type="dxa"/>
              <w:left w:w="80" w:type="dxa"/>
              <w:right w:w="80" w:type="dxa"/>
            </w:tcMar>
          </w:tcPr>
          <w:p>
            <w:r>
              <w:rPr>
                <w:rFonts w:ascii="Times New Roman" w:hAnsi="Times New Roman"/>
                <w:b/>
                <w:color w:val="1E293B"/>
                <w:sz w:val="18"/>
              </w:rPr>
              <w:t>NCT-CRC-HE-100K</w:t>
            </w:r>
          </w:p>
        </w:tc>
        <w:tc>
          <w:tcPr>
            <w:tcW w:type="dxa" w:w="1872"/>
            <w:shd w:fill="F8FAFC"/>
            <w:tcMar>
              <w:top w:w="80" w:type="dxa"/>
              <w:bottom w:w="80" w:type="dxa"/>
              <w:left w:w="80" w:type="dxa"/>
              <w:right w:w="80" w:type="dxa"/>
            </w:tcMar>
          </w:tcPr>
          <w:p>
            <w:r>
              <w:rPr>
                <w:rFonts w:ascii="Times New Roman" w:hAnsi="Times New Roman"/>
                <w:color w:val="1E293B"/>
                <w:sz w:val="18"/>
              </w:rPr>
              <w:t>Histopathology (H&amp;E)</w:t>
            </w:r>
          </w:p>
        </w:tc>
        <w:tc>
          <w:tcPr>
            <w:tcW w:type="dxa" w:w="1584"/>
            <w:shd w:fill="F8FAFC"/>
            <w:tcMar>
              <w:top w:w="80" w:type="dxa"/>
              <w:bottom w:w="80" w:type="dxa"/>
              <w:left w:w="80" w:type="dxa"/>
              <w:right w:w="80" w:type="dxa"/>
            </w:tcMar>
          </w:tcPr>
          <w:p>
            <w:r>
              <w:rPr>
                <w:rFonts w:ascii="Times New Roman" w:hAnsi="Times New Roman"/>
                <w:color w:val="1E293B"/>
                <w:sz w:val="18"/>
              </w:rPr>
              <w:t>100,000 Patches</w:t>
            </w:r>
          </w:p>
        </w:tc>
        <w:tc>
          <w:tcPr>
            <w:tcW w:type="dxa" w:w="1872"/>
            <w:shd w:fill="F8FAFC"/>
            <w:tcMar>
              <w:top w:w="80" w:type="dxa"/>
              <w:bottom w:w="80" w:type="dxa"/>
              <w:left w:w="80" w:type="dxa"/>
              <w:right w:w="80" w:type="dxa"/>
            </w:tcMar>
          </w:tcPr>
          <w:p>
            <w:r>
              <w:rPr>
                <w:rFonts w:ascii="Times New Roman" w:hAnsi="Times New Roman"/>
                <w:color w:val="1E293B"/>
                <w:sz w:val="18"/>
              </w:rPr>
              <w:t>9 Tissue Types</w:t>
            </w:r>
          </w:p>
        </w:tc>
        <w:tc>
          <w:tcPr>
            <w:tcW w:type="dxa" w:w="1872"/>
            <w:shd w:fill="F8FAFC"/>
            <w:tcMar>
              <w:top w:w="80" w:type="dxa"/>
              <w:bottom w:w="80" w:type="dxa"/>
              <w:left w:w="80" w:type="dxa"/>
              <w:right w:w="80" w:type="dxa"/>
            </w:tcMar>
          </w:tcPr>
          <w:p>
            <w:r>
              <w:rPr>
                <w:rFonts w:ascii="Times New Roman" w:hAnsi="Times New Roman"/>
                <w:color w:val="1E293B"/>
                <w:sz w:val="18"/>
              </w:rPr>
              <w:t>α = 0.5 (Moderate), α = 0.1 (Extreme)</w:t>
            </w:r>
          </w:p>
        </w:tc>
      </w:tr>
      <w:tr>
        <w:tc>
          <w:tcPr>
            <w:tcW w:type="dxa" w:w="2160"/>
            <w:shd w:fill="FFFFFF"/>
            <w:tcMar>
              <w:top w:w="80" w:type="dxa"/>
              <w:bottom w:w="80" w:type="dxa"/>
              <w:left w:w="80" w:type="dxa"/>
              <w:right w:w="80" w:type="dxa"/>
            </w:tcMar>
          </w:tcPr>
          <w:p>
            <w:r>
              <w:rPr>
                <w:rFonts w:ascii="Times New Roman" w:hAnsi="Times New Roman"/>
                <w:b/>
                <w:color w:val="1E293B"/>
                <w:sz w:val="18"/>
              </w:rPr>
              <w:t>CheXpert (Validation)</w:t>
            </w:r>
          </w:p>
        </w:tc>
        <w:tc>
          <w:tcPr>
            <w:tcW w:type="dxa" w:w="1872"/>
            <w:shd w:fill="FFFFFF"/>
            <w:tcMar>
              <w:top w:w="80" w:type="dxa"/>
              <w:bottom w:w="80" w:type="dxa"/>
              <w:left w:w="80" w:type="dxa"/>
              <w:right w:w="80" w:type="dxa"/>
            </w:tcMar>
          </w:tcPr>
          <w:p>
            <w:r>
              <w:rPr>
                <w:rFonts w:ascii="Times New Roman" w:hAnsi="Times New Roman"/>
                <w:color w:val="1E293B"/>
                <w:sz w:val="18"/>
              </w:rPr>
              <w:t>Chest Radiography (X-Ray)</w:t>
            </w:r>
          </w:p>
        </w:tc>
        <w:tc>
          <w:tcPr>
            <w:tcW w:type="dxa" w:w="1584"/>
            <w:shd w:fill="FFFFFF"/>
            <w:tcMar>
              <w:top w:w="80" w:type="dxa"/>
              <w:bottom w:w="80" w:type="dxa"/>
              <w:left w:w="80" w:type="dxa"/>
              <w:right w:w="80" w:type="dxa"/>
            </w:tcMar>
          </w:tcPr>
          <w:p>
            <w:r>
              <w:rPr>
                <w:rFonts w:ascii="Times New Roman" w:hAnsi="Times New Roman"/>
                <w:color w:val="1E293B"/>
                <w:sz w:val="18"/>
              </w:rPr>
              <w:t>224,316 Scans</w:t>
            </w:r>
          </w:p>
        </w:tc>
        <w:tc>
          <w:tcPr>
            <w:tcW w:type="dxa" w:w="1872"/>
            <w:shd w:fill="FFFFFF"/>
            <w:tcMar>
              <w:top w:w="80" w:type="dxa"/>
              <w:bottom w:w="80" w:type="dxa"/>
              <w:left w:w="80" w:type="dxa"/>
              <w:right w:w="80" w:type="dxa"/>
            </w:tcMar>
          </w:tcPr>
          <w:p>
            <w:r>
              <w:rPr>
                <w:rFonts w:ascii="Times New Roman" w:hAnsi="Times New Roman"/>
                <w:color w:val="1E293B"/>
                <w:sz w:val="18"/>
              </w:rPr>
              <w:t>14 Disease Labels</w:t>
            </w:r>
          </w:p>
        </w:tc>
        <w:tc>
          <w:tcPr>
            <w:tcW w:type="dxa" w:w="1872"/>
            <w:shd w:fill="FFFFFF"/>
            <w:tcMar>
              <w:top w:w="80" w:type="dxa"/>
              <w:bottom w:w="80" w:type="dxa"/>
              <w:left w:w="80" w:type="dxa"/>
              <w:right w:w="80" w:type="dxa"/>
            </w:tcMar>
          </w:tcPr>
          <w:p>
            <w:r>
              <w:rPr>
                <w:rFonts w:ascii="Times New Roman" w:hAnsi="Times New Roman"/>
                <w:color w:val="1E293B"/>
                <w:sz w:val="18"/>
              </w:rPr>
              <w:t>External Hospital Out-of-Domain Test</w:t>
            </w:r>
          </w:p>
        </w:tc>
      </w:tr>
    </w:tbl>
    <w:p>
      <w:pPr>
        <w:spacing w:before="80" w:after="240"/>
        <w:jc w:val="center"/>
      </w:pPr>
      <w:r>
        <w:rPr>
          <w:rFonts w:ascii="Times New Roman" w:hAnsi="Times New Roman"/>
          <w:b/>
          <w:i/>
          <w:color w:val="475569"/>
          <w:sz w:val="21"/>
        </w:rPr>
        <w:t>Table 3.1: Dataset Breakdown &amp; Non-IID Dirichlet Partitioning (α = 0.5, α = 0.1)</w:t>
      </w:r>
    </w:p>
    <w:p>
      <w:pPr>
        <w:keepNext/>
        <w:spacing w:before="240" w:after="80"/>
      </w:pPr>
      <w:r>
        <w:rPr>
          <w:rFonts w:ascii="Times New Roman" w:hAnsi="Times New Roman"/>
          <w:b/>
          <w:color w:val="1E3A8A"/>
          <w:sz w:val="28"/>
        </w:rPr>
        <w:t>3.4 Data Preprocessing, Normalization, &amp; Data Augmentation Protocol</w:t>
      </w:r>
    </w:p>
    <w:p>
      <w:pPr>
        <w:spacing w:after="120" w:line="300" w:lineRule="auto"/>
      </w:pPr>
      <w:r>
        <w:rPr>
          <w:rFonts w:ascii="Times New Roman" w:hAnsi="Times New Roman"/>
          <w:i w:val="0"/>
          <w:color w:val="1E293B"/>
          <w:sz w:val="24"/>
        </w:rPr>
        <w:t>All DICOM and PNG radiograph images will be resized to a uniform resolution of 224 x 224 pixels and converted to 3-channel RGB tensors. Pixel intensity values will be normalized using ImageNet channel mean vectors ([0.485, 0.456, 0.406]) and standard deviations ([0.229, 0.224, 0.225]). On local clinical client nodes, online data augmentation will be applied during training, including random horizontal flips (p = 0.5), affine rotations (-15 to +15 degrees), and subtle color jittering (brightness ±0.1, contrast ±0.1).</w:t>
      </w:r>
    </w:p>
    <w:p>
      <w:pPr>
        <w:keepNext/>
        <w:spacing w:before="240" w:after="80"/>
      </w:pPr>
      <w:r>
        <w:rPr>
          <w:rFonts w:ascii="Times New Roman" w:hAnsi="Times New Roman"/>
          <w:b/>
          <w:color w:val="1E3A8A"/>
          <w:sz w:val="28"/>
        </w:rPr>
        <w:t>3.5 Simulating Non-IID Heterogeneity (Dirichlet Partitioning &amp; Quantity Skew)</w:t>
      </w:r>
    </w:p>
    <w:p>
      <w:pPr>
        <w:spacing w:after="120" w:line="300" w:lineRule="auto"/>
      </w:pPr>
      <w:r>
        <w:rPr>
          <w:rFonts w:ascii="Times New Roman" w:hAnsi="Times New Roman"/>
          <w:i w:val="0"/>
          <w:color w:val="1E293B"/>
          <w:sz w:val="24"/>
        </w:rPr>
        <w:t>To replicate real-world clinical heterogeneity, training samples are partitioned across K = 10 simulated hospital client nodes using a Dirichlet distribution Dir(alpha). The parameter alpha controls class distribution heterogeneity: alpha = 0.5 represents moderate Non-IID distribution, whereas alpha = 0.1 generates extreme Non-IID skew where individual hospitals possess samples from only 2 or 3 disease classes.</w:t>
      </w:r>
    </w:p>
    <w:p>
      <w:pPr>
        <w:keepNext/>
        <w:spacing w:before="240" w:after="80"/>
      </w:pPr>
      <w:r>
        <w:rPr>
          <w:rFonts w:ascii="Times New Roman" w:hAnsi="Times New Roman"/>
          <w:b/>
          <w:color w:val="1E3A8A"/>
          <w:sz w:val="28"/>
        </w:rPr>
        <w:t>3.6 Stage 1: Local Model Training &amp; Feature Embedding Extraction</w:t>
      </w:r>
    </w:p>
    <w:p>
      <w:pPr>
        <w:spacing w:after="120" w:line="300" w:lineRule="auto"/>
      </w:pPr>
      <w:r>
        <w:rPr>
          <w:rFonts w:ascii="Times New Roman" w:hAnsi="Times New Roman"/>
          <w:i w:val="0"/>
          <w:color w:val="1E293B"/>
          <w:sz w:val="24"/>
        </w:rPr>
        <w:t>During communication round t, each client hospital node k receives global parameters w^t. Client k executes E local epochs using AdamW optimizer (learning rate eta = 1e-4, weight decay 1e-2). Upon completing local training, client k passes a subset of local validation samples through its feature encoder backbone to generate a normalized 128-dimensional class prediction logit probability distribution P_k.</w:t>
      </w:r>
    </w:p>
    <w:p>
      <w:pPr>
        <w:keepNext/>
        <w:spacing w:before="240" w:after="80"/>
      </w:pPr>
      <w:r>
        <w:rPr>
          <w:rFonts w:ascii="Times New Roman" w:hAnsi="Times New Roman"/>
          <w:b/>
          <w:color w:val="1E3A8A"/>
          <w:sz w:val="28"/>
        </w:rPr>
        <w:t>3.7 Stage 2: Server-Side Jensen-Shannon Divergence Computation</w:t>
      </w:r>
    </w:p>
    <w:p>
      <w:pPr>
        <w:spacing w:after="120" w:line="300" w:lineRule="auto"/>
      </w:pPr>
      <w:r>
        <w:rPr>
          <w:rFonts w:ascii="Times New Roman" w:hAnsi="Times New Roman"/>
          <w:i w:val="0"/>
          <w:color w:val="1E293B"/>
          <w:sz w:val="24"/>
        </w:rPr>
        <w:t>Upon receiving local parameter updates w_k^{t+1} and probability mass vectors P_k from participating clients, the central server computes the global consensus probability distribution Q_{global} = (1/K) * sum_{k=1}^K P_k. The server then evaluates the symmetric Jensen-Shannon Divergence between each client distribution P_k and Q_{global}:</w:t>
      </w:r>
    </w:p>
    <w:p>
      <w:pPr>
        <w:keepNext/>
        <w:spacing w:before="240" w:after="80"/>
      </w:pPr>
      <w:r>
        <w:rPr>
          <w:rFonts w:ascii="Times New Roman" w:hAnsi="Times New Roman"/>
          <w:b/>
          <w:color w:val="1E3A8A"/>
          <w:sz w:val="28"/>
        </w:rPr>
        <w:t>3.8 Stage 3: Adaptive Weight Recalibration &amp; Dynamic Model Aggregation</w:t>
      </w:r>
    </w:p>
    <w:p>
      <w:pPr>
        <w:spacing w:after="120" w:line="300" w:lineRule="auto"/>
      </w:pPr>
      <w:r>
        <w:rPr>
          <w:rFonts w:ascii="Times New Roman" w:hAnsi="Times New Roman"/>
          <w:i w:val="0"/>
          <w:color w:val="1E293B"/>
          <w:sz w:val="24"/>
        </w:rPr>
        <w:t>Using the computed JSD scores, the central server calculates dynamic aggregation weights w_k using a temperature-scaled softmax function:</w:t>
      </w:r>
    </w:p>
    <w:p>
      <w:pPr>
        <w:spacing w:after="120" w:line="300" w:lineRule="auto"/>
      </w:pPr>
      <w:r>
        <w:rPr>
          <w:rFonts w:ascii="Times New Roman" w:hAnsi="Times New Roman"/>
          <w:b/>
          <w:color w:val="0F172A"/>
          <w:sz w:val="24"/>
        </w:rPr>
        <w:t xml:space="preserve">Dynamic Weight Function: </w:t>
      </w:r>
      <w:r>
        <w:rPr>
          <w:rFonts w:ascii="Times New Roman" w:hAnsi="Times New Roman"/>
          <w:i w:val="0"/>
          <w:color w:val="1E293B"/>
          <w:sz w:val="24"/>
        </w:rPr>
        <w:t>w_k = exp( -lambda * JSD(P_k || Q_{global}) ) / sum_{j=1}^K exp( -lambda * JSD(P_j || Q_{global}) )</w:t>
      </w:r>
    </w:p>
    <w:p>
      <w:pPr>
        <w:spacing w:after="120" w:line="300" w:lineRule="auto"/>
      </w:pPr>
      <w:r>
        <w:rPr>
          <w:rFonts w:ascii="Times New Roman" w:hAnsi="Times New Roman"/>
          <w:i w:val="0"/>
          <w:color w:val="1E293B"/>
          <w:sz w:val="24"/>
        </w:rPr>
        <w:t>where lambda &gt; 0 is a scaling hyperparameter. The global model is then updated via: w^{t+1} = sum_{k=1}^K w_k * w_k^{t+1}.</w:t>
      </w:r>
    </w:p>
    <w:p>
      <w:pPr>
        <w:keepNext/>
        <w:spacing w:before="240" w:after="80"/>
      </w:pPr>
      <w:r>
        <w:rPr>
          <w:rFonts w:ascii="Times New Roman" w:hAnsi="Times New Roman"/>
          <w:b/>
          <w:color w:val="1E3A8A"/>
          <w:sz w:val="28"/>
        </w:rPr>
        <w:t>3.9 Mathematical Formulation &amp; Divergence Calculation</w:t>
      </w:r>
    </w:p>
    <w:p>
      <w:pPr>
        <w:keepNext/>
        <w:spacing w:before="160" w:after="40"/>
      </w:pPr>
      <w:r>
        <w:rPr>
          <w:rFonts w:ascii="Times New Roman" w:hAnsi="Times New Roman"/>
          <w:b/>
          <w:i/>
          <w:color w:val="334155"/>
          <w:sz w:val="24"/>
        </w:rPr>
        <w:t>3.9.1 Kullback-Leibler (KL) Divergence Definition</w:t>
      </w:r>
    </w:p>
    <w:p>
      <w:pPr>
        <w:spacing w:after="120" w:line="300" w:lineRule="auto"/>
      </w:pPr>
      <w:r>
        <w:rPr>
          <w:rFonts w:ascii="Times New Roman" w:hAnsi="Times New Roman"/>
          <w:i w:val="0"/>
          <w:color w:val="1E293B"/>
          <w:sz w:val="24"/>
        </w:rPr>
        <w:t>The Kullback-Leibler Divergence between two discrete probability distributions P and Q is defined as:</w:t>
      </w:r>
    </w:p>
    <w:p>
      <w:pPr>
        <w:spacing w:after="120" w:line="300" w:lineRule="auto"/>
      </w:pPr>
      <w:r>
        <w:rPr>
          <w:rFonts w:ascii="Times New Roman" w:hAnsi="Times New Roman"/>
          <w:i/>
          <w:color w:val="1E293B"/>
          <w:sz w:val="24"/>
        </w:rPr>
        <w:t>D_{KL}(P || Q) = sum_{x in X} P(x) * log( P(x) / Q(x) )</w:t>
      </w:r>
    </w:p>
    <w:p>
      <w:pPr>
        <w:keepNext/>
        <w:spacing w:before="160" w:after="40"/>
      </w:pPr>
      <w:r>
        <w:rPr>
          <w:rFonts w:ascii="Times New Roman" w:hAnsi="Times New Roman"/>
          <w:b/>
          <w:i/>
          <w:color w:val="334155"/>
          <w:sz w:val="24"/>
        </w:rPr>
        <w:t>3.9.2 Symmetric Divergence Properties</w:t>
      </w:r>
    </w:p>
    <w:p>
      <w:pPr>
        <w:spacing w:after="120" w:line="300" w:lineRule="auto"/>
      </w:pPr>
      <w:r>
        <w:rPr>
          <w:rFonts w:ascii="Times New Roman" w:hAnsi="Times New Roman"/>
          <w:i w:val="0"/>
          <w:color w:val="1E293B"/>
          <w:sz w:val="24"/>
        </w:rPr>
        <w:t>Because KLD is asymmetric (D_{KL}(P || Q) != D_{KL}(Q || P)), it is vulnerable to division-by-zero instability when Q(x) = 0. Jensen-Shannon Divergence resolves this limitation by introducing an average mixture distribution M.</w:t>
      </w:r>
    </w:p>
    <w:p>
      <w:pPr>
        <w:keepNext/>
        <w:spacing w:before="160" w:after="40"/>
      </w:pPr>
      <w:r>
        <w:rPr>
          <w:rFonts w:ascii="Times New Roman" w:hAnsi="Times New Roman"/>
          <w:b/>
          <w:i/>
          <w:color w:val="334155"/>
          <w:sz w:val="24"/>
        </w:rPr>
        <w:t>3.9.3 Explicit JSD Calculation &amp; Recalibration Formula</w:t>
      </w:r>
    </w:p>
    <w:p>
      <w:pPr>
        <w:spacing w:after="120" w:line="300" w:lineRule="auto"/>
      </w:pPr>
      <w:r>
        <w:rPr>
          <w:rFonts w:ascii="Times New Roman" w:hAnsi="Times New Roman"/>
          <w:i w:val="0"/>
          <w:color w:val="1E293B"/>
          <w:sz w:val="24"/>
        </w:rPr>
        <w:t>The formal symmetric Jensen-Shannon Divergence between client distribution P_k and global distribution Q_{global} is evaluated as:</w:t>
      </w:r>
    </w:p>
    <w:p>
      <w:pPr>
        <w:spacing w:after="120" w:line="300" w:lineRule="auto"/>
      </w:pPr>
      <w:r>
        <w:rPr>
          <w:rFonts w:ascii="Times New Roman" w:hAnsi="Times New Roman"/>
          <w:b/>
          <w:color w:val="0F172A"/>
          <w:sz w:val="24"/>
        </w:rPr>
        <w:t xml:space="preserve">Formulation 1 (JSD Metric): </w:t>
      </w:r>
      <w:r>
        <w:rPr>
          <w:rFonts w:ascii="Times New Roman" w:hAnsi="Times New Roman"/>
          <w:i w:val="0"/>
          <w:color w:val="1E293B"/>
          <w:sz w:val="24"/>
        </w:rPr>
        <w:t>JSD(P_k || Q_{global}) = (1/2) * D_{KL}(P_k || M) + (1/2) * D_{KL}(Q_{global} || M)</w:t>
      </w:r>
    </w:p>
    <w:p>
      <w:pPr>
        <w:spacing w:after="120" w:line="300" w:lineRule="auto"/>
      </w:pPr>
      <w:r>
        <w:rPr>
          <w:rFonts w:ascii="Times New Roman" w:hAnsi="Times New Roman"/>
          <w:i w:val="0"/>
          <w:color w:val="1E293B"/>
          <w:sz w:val="24"/>
        </w:rPr>
        <w:t>where M = (1/2) * (P_k + Q_{global}). JSD values are strictly bounded within [0, 1]. The resulting aggregation weight w_k is explicitly formulated as:</w:t>
      </w:r>
    </w:p>
    <w:p>
      <w:pPr>
        <w:spacing w:after="120" w:line="300" w:lineRule="auto"/>
      </w:pPr>
      <w:r>
        <w:rPr>
          <w:rFonts w:ascii="Times New Roman" w:hAnsi="Times New Roman"/>
          <w:b/>
          <w:color w:val="0F172A"/>
          <w:sz w:val="24"/>
        </w:rPr>
        <w:t xml:space="preserve">Formulation 2 (Weight Recalibration): </w:t>
      </w:r>
      <w:r>
        <w:rPr>
          <w:rFonts w:ascii="Times New Roman" w:hAnsi="Times New Roman"/>
          <w:i w:val="0"/>
          <w:color w:val="1E293B"/>
          <w:sz w:val="24"/>
        </w:rPr>
        <w:t>w_k = exp( -lambda * JSD(P_k || Q_{global}) ) / [ sum_{j=1}^K exp( -lambda * JSD(P_j || Q_{global}) ) ]</w:t>
      </w:r>
    </w:p>
    <w:p>
      <w:pPr>
        <w:keepNext/>
        <w:spacing w:before="240" w:after="80"/>
      </w:pPr>
      <w:r>
        <w:rPr>
          <w:rFonts w:ascii="Times New Roman" w:hAnsi="Times New Roman"/>
          <w:b/>
          <w:color w:val="1E3A8A"/>
          <w:sz w:val="28"/>
        </w:rPr>
        <w:t>3.10 Algorithm Pseudocode Box for Proposed Framework</w:t>
      </w:r>
    </w:p>
    <w:p>
      <w:pPr>
        <w:spacing w:after="120" w:line="300" w:lineRule="auto"/>
      </w:pPr>
      <w:r>
        <w:rPr>
          <w:rFonts w:ascii="Times New Roman" w:hAnsi="Times New Roman"/>
          <w:i w:val="0"/>
          <w:color w:val="1E293B"/>
          <w:sz w:val="24"/>
        </w:rPr>
        <w:t>Algorithm 1 presents the step-by-step algorithmic execution logic for the central server and participating client nodes during each communication round:</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50" w:type="dxa"/>
              <w:right w:w="150" w:type="dxa"/>
            </w:tcMar>
            <w:tcBorders>
              <w:top w:val="none"/>
              <w:left w:val="single" w:sz="24" w:space="0" w:color="2563EB"/>
              <w:bottom w:val="none"/>
              <w:right w:val="none"/>
            </w:tcBorders>
          </w:tcPr>
          <w:p>
            <w:r>
              <w:rPr>
                <w:rFonts w:ascii="Consolas" w:hAnsi="Consolas"/>
                <w:color w:val="0F172A"/>
                <w:sz w:val="18"/>
              </w:rPr>
              <w:t>Algorithm 1: JSD-Based Adaptive Federated Aggregation Protocol</w:t>
              <w:br/>
              <w:t>----------------------------------------------------------------------------------------------------</w:t>
              <w:br/>
              <w:t>Input: K client nodes, total communication rounds T, local epochs E, learning rate eta, scaling factor lambda.</w:t>
              <w:br/>
              <w:t>Output: Final global model parameters w^T.</w:t>
              <w:br/>
              <w:br/>
              <w:t>Server Initialization:</w:t>
              <w:br/>
              <w:t xml:space="preserve">  1: Initialize global model parameters w^0</w:t>
              <w:br/>
              <w:t xml:space="preserve">  2: for each communication round t = 0, 1, 2, ..., T-1 do</w:t>
              <w:br/>
              <w:t xml:space="preserve">  3:    Select set S_t of K participating client nodes</w:t>
              <w:br/>
              <w:t xml:space="preserve">  4:    for each client k in S_t in parallel do</w:t>
              <w:br/>
              <w:t xml:space="preserve">  5:       w_k^{t+1}, P_k &lt;- ClientUpdate(k, w^t)</w:t>
              <w:br/>
              <w:t xml:space="preserve">  6:    end for</w:t>
              <w:br/>
              <w:t xml:space="preserve">  7:    // Stage 2: Divergence Computation</w:t>
              <w:br/>
              <w:t xml:space="preserve">  8:    Compute consensus probability vector: Q_{global} &lt;- (1/K) * sum_{k=1}^K P_k</w:t>
              <w:br/>
              <w:t xml:space="preserve">  9:    for each client k in S_t do</w:t>
              <w:br/>
              <w:t xml:space="preserve"> 10:       M_k &lt;- (1/2) * (P_k + Q_{global})</w:t>
              <w:br/>
              <w:t xml:space="preserve"> 11:       JSD_k &lt;- (1/2) * D_KL(P_k || M_k) + (1/2) * D_KL(Q_{global} || M_k)</w:t>
              <w:br/>
              <w:t xml:space="preserve"> 12:    end for</w:t>
              <w:br/>
              <w:t xml:space="preserve"> 13:    // Stage 3: Weight Recalibration &amp; Aggregation</w:t>
              <w:br/>
              <w:t xml:space="preserve"> 14:    for each client k in S_t do</w:t>
              <w:br/>
              <w:t xml:space="preserve"> 15:       w_k &lt;- exp(-lambda * JSD_k) / sum_{j=1}^K exp(-lambda * JSD_j)</w:t>
              <w:br/>
              <w:t xml:space="preserve"> 16:    end for</w:t>
              <w:br/>
              <w:t xml:space="preserve"> 17:    w^{t+1} &lt;- sum_{k=1}^K w_k * w_k^{t+1}</w:t>
              <w:br/>
              <w:t xml:space="preserve"> 18: end for</w:t>
              <w:br/>
              <w:t xml:space="preserve"> 19: return w^T</w:t>
              <w:br/>
              <w:br/>
              <w:t>ClientUpdate(k, w_init):</w:t>
              <w:br/>
              <w:t xml:space="preserve">  1: Local model w_k &lt;- w_init</w:t>
              <w:br/>
              <w:t xml:space="preserve">  2: for local epoch e = 1 to E do</w:t>
              <w:br/>
              <w:t xml:space="preserve">  3:    for minibatch b = {x, y} in LocalData_k do</w:t>
              <w:br/>
              <w:t xml:space="preserve">  4:       w_k &lt;- w_k - eta * grad L_ce(w_k; b)</w:t>
              <w:br/>
              <w:t xml:space="preserve">  5:    end for</w:t>
              <w:br/>
              <w:t xml:space="preserve">  6: end for</w:t>
              <w:br/>
              <w:t xml:space="preserve">  7: Evaluate logit distribution vector P_k on LocalVal_k</w:t>
              <w:br/>
              <w:t xml:space="preserve">  8: return w_k, P_k</w:t>
            </w:r>
          </w:p>
        </w:tc>
      </w:tr>
    </w:tbl>
    <w:p>
      <w:pPr>
        <w:spacing w:after="240"/>
      </w:pPr>
    </w:p>
    <w:p>
      <w:pPr>
        <w:keepNext/>
        <w:spacing w:before="240" w:after="80"/>
      </w:pPr>
      <w:r>
        <w:rPr>
          <w:rFonts w:ascii="Times New Roman" w:hAnsi="Times New Roman"/>
          <w:b/>
          <w:color w:val="1E3A8A"/>
          <w:sz w:val="28"/>
        </w:rPr>
        <w:t>3.11 Experimental Setup, Baseline Benchmarks, &amp; Hyperparameters</w:t>
      </w:r>
    </w:p>
    <w:p>
      <w:pPr>
        <w:spacing w:after="120" w:line="300" w:lineRule="auto"/>
      </w:pPr>
      <w:r>
        <w:rPr>
          <w:rFonts w:ascii="Times New Roman" w:hAnsi="Times New Roman"/>
          <w:i w:val="0"/>
          <w:color w:val="1E293B"/>
          <w:sz w:val="24"/>
        </w:rPr>
        <w:t>Table 3.2 details the baseline algorithms, network backbones, and hyperparameter configurations to be executed across all experimental trials:</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340"/>
        <w:gridCol w:w="2340"/>
        <w:gridCol w:w="2340"/>
        <w:gridCol w:w="2340"/>
      </w:tblGrid>
      <w:tr>
        <w:tc>
          <w:tcPr>
            <w:tcW w:type="dxa" w:w="2304"/>
            <w:shd w:fill="1E3A8A"/>
          </w:tcPr>
          <w:p>
            <w:r>
              <w:rPr>
                <w:rFonts w:ascii="Times New Roman" w:hAnsi="Times New Roman"/>
                <w:b/>
                <w:color w:val="FFFFFF"/>
                <w:sz w:val="19"/>
              </w:rPr>
              <w:t>Parameter Category</w:t>
            </w:r>
          </w:p>
        </w:tc>
        <w:tc>
          <w:tcPr>
            <w:tcW w:type="dxa" w:w="2592"/>
            <w:shd w:fill="1E3A8A"/>
          </w:tcPr>
          <w:p>
            <w:r>
              <w:rPr>
                <w:rFonts w:ascii="Times New Roman" w:hAnsi="Times New Roman"/>
                <w:b/>
                <w:color w:val="FFFFFF"/>
                <w:sz w:val="19"/>
              </w:rPr>
              <w:t>Configuration Specification</w:t>
            </w:r>
          </w:p>
        </w:tc>
        <w:tc>
          <w:tcPr>
            <w:tcW w:type="dxa" w:w="2304"/>
            <w:shd w:fill="1E3A8A"/>
          </w:tcPr>
          <w:p>
            <w:r>
              <w:rPr>
                <w:rFonts w:ascii="Times New Roman" w:hAnsi="Times New Roman"/>
                <w:b/>
                <w:color w:val="FFFFFF"/>
                <w:sz w:val="19"/>
              </w:rPr>
              <w:t>Baseline Comparison Method</w:t>
            </w:r>
          </w:p>
        </w:tc>
        <w:tc>
          <w:tcPr>
            <w:tcW w:type="dxa" w:w="2160"/>
            <w:shd w:fill="1E3A8A"/>
          </w:tcPr>
          <w:p>
            <w:r>
              <w:rPr>
                <w:rFonts w:ascii="Times New Roman" w:hAnsi="Times New Roman"/>
                <w:b/>
                <w:color w:val="FFFFFF"/>
                <w:sz w:val="19"/>
              </w:rPr>
              <w:t>Target Hyperparameter Range</w:t>
            </w:r>
          </w:p>
        </w:tc>
      </w:tr>
      <w:tr>
        <w:tc>
          <w:tcPr>
            <w:tcW w:type="dxa" w:w="2304"/>
            <w:shd w:fill="FFFFFF"/>
            <w:tcMar>
              <w:top w:w="80" w:type="dxa"/>
              <w:bottom w:w="80" w:type="dxa"/>
              <w:left w:w="80" w:type="dxa"/>
              <w:right w:w="80" w:type="dxa"/>
            </w:tcMar>
          </w:tcPr>
          <w:p>
            <w:r>
              <w:rPr>
                <w:rFonts w:ascii="Times New Roman" w:hAnsi="Times New Roman"/>
                <w:b/>
                <w:color w:val="1E293B"/>
                <w:sz w:val="18"/>
              </w:rPr>
              <w:t>Network Backbone</w:t>
            </w:r>
          </w:p>
        </w:tc>
        <w:tc>
          <w:tcPr>
            <w:tcW w:type="dxa" w:w="2592"/>
            <w:shd w:fill="FFFFFF"/>
            <w:tcMar>
              <w:top w:w="80" w:type="dxa"/>
              <w:bottom w:w="80" w:type="dxa"/>
              <w:left w:w="80" w:type="dxa"/>
              <w:right w:w="80" w:type="dxa"/>
            </w:tcMar>
          </w:tcPr>
          <w:p>
            <w:r>
              <w:rPr>
                <w:rFonts w:ascii="Times New Roman" w:hAnsi="Times New Roman"/>
                <w:color w:val="1E293B"/>
                <w:sz w:val="18"/>
              </w:rPr>
              <w:t>DenseNet-121 / ResNet-50</w:t>
            </w:r>
          </w:p>
        </w:tc>
        <w:tc>
          <w:tcPr>
            <w:tcW w:type="dxa" w:w="2304"/>
            <w:shd w:fill="FFFFFF"/>
            <w:tcMar>
              <w:top w:w="80" w:type="dxa"/>
              <w:bottom w:w="80" w:type="dxa"/>
              <w:left w:w="80" w:type="dxa"/>
              <w:right w:w="80" w:type="dxa"/>
            </w:tcMar>
          </w:tcPr>
          <w:p>
            <w:r>
              <w:rPr>
                <w:rFonts w:ascii="Times New Roman" w:hAnsi="Times New Roman"/>
                <w:color w:val="1E293B"/>
                <w:sz w:val="18"/>
              </w:rPr>
              <w:t>FedAvg (McMahan et al.)</w:t>
            </w:r>
          </w:p>
        </w:tc>
        <w:tc>
          <w:tcPr>
            <w:tcW w:type="dxa" w:w="2160"/>
            <w:shd w:fill="FFFFFF"/>
            <w:tcMar>
              <w:top w:w="80" w:type="dxa"/>
              <w:bottom w:w="80" w:type="dxa"/>
              <w:left w:w="80" w:type="dxa"/>
              <w:right w:w="80" w:type="dxa"/>
            </w:tcMar>
          </w:tcPr>
          <w:p>
            <w:r>
              <w:rPr>
                <w:rFonts w:ascii="Times New Roman" w:hAnsi="Times New Roman"/>
                <w:color w:val="1E293B"/>
                <w:sz w:val="18"/>
              </w:rPr>
              <w:t>Pretrained ImageNet weights</w:t>
            </w:r>
          </w:p>
        </w:tc>
      </w:tr>
      <w:tr>
        <w:tc>
          <w:tcPr>
            <w:tcW w:type="dxa" w:w="2304"/>
            <w:shd w:fill="F8FAFC"/>
            <w:tcMar>
              <w:top w:w="80" w:type="dxa"/>
              <w:bottom w:w="80" w:type="dxa"/>
              <w:left w:w="80" w:type="dxa"/>
              <w:right w:w="80" w:type="dxa"/>
            </w:tcMar>
          </w:tcPr>
          <w:p>
            <w:r>
              <w:rPr>
                <w:rFonts w:ascii="Times New Roman" w:hAnsi="Times New Roman"/>
                <w:b/>
                <w:color w:val="1E293B"/>
                <w:sz w:val="18"/>
              </w:rPr>
              <w:t>Optimization Baselines</w:t>
            </w:r>
          </w:p>
        </w:tc>
        <w:tc>
          <w:tcPr>
            <w:tcW w:type="dxa" w:w="2592"/>
            <w:shd w:fill="F8FAFC"/>
            <w:tcMar>
              <w:top w:w="80" w:type="dxa"/>
              <w:bottom w:w="80" w:type="dxa"/>
              <w:left w:w="80" w:type="dxa"/>
              <w:right w:w="80" w:type="dxa"/>
            </w:tcMar>
          </w:tcPr>
          <w:p>
            <w:r>
              <w:rPr>
                <w:rFonts w:ascii="Times New Roman" w:hAnsi="Times New Roman"/>
                <w:color w:val="1E293B"/>
                <w:sz w:val="18"/>
              </w:rPr>
              <w:t>FedProx, MOON, SCAFFOLD, FedDyn</w:t>
            </w:r>
          </w:p>
        </w:tc>
        <w:tc>
          <w:tcPr>
            <w:tcW w:type="dxa" w:w="2304"/>
            <w:shd w:fill="F8FAFC"/>
            <w:tcMar>
              <w:top w:w="80" w:type="dxa"/>
              <w:bottom w:w="80" w:type="dxa"/>
              <w:left w:w="80" w:type="dxa"/>
              <w:right w:w="80" w:type="dxa"/>
            </w:tcMar>
          </w:tcPr>
          <w:p>
            <w:r>
              <w:rPr>
                <w:rFonts w:ascii="Times New Roman" w:hAnsi="Times New Roman"/>
                <w:color w:val="1E293B"/>
                <w:sz w:val="18"/>
              </w:rPr>
              <w:t>Standard FedAvg</w:t>
            </w:r>
          </w:p>
        </w:tc>
        <w:tc>
          <w:tcPr>
            <w:tcW w:type="dxa" w:w="2160"/>
            <w:shd w:fill="F8FAFC"/>
            <w:tcMar>
              <w:top w:w="80" w:type="dxa"/>
              <w:bottom w:w="80" w:type="dxa"/>
              <w:left w:w="80" w:type="dxa"/>
              <w:right w:w="80" w:type="dxa"/>
            </w:tcMar>
          </w:tcPr>
          <w:p>
            <w:r>
              <w:rPr>
                <w:rFonts w:ascii="Times New Roman" w:hAnsi="Times New Roman"/>
                <w:color w:val="1E293B"/>
                <w:sz w:val="18"/>
              </w:rPr>
              <w:t>mu in [0.001, 0.1], tau = 0.5</w:t>
            </w:r>
          </w:p>
        </w:tc>
      </w:tr>
      <w:tr>
        <w:tc>
          <w:tcPr>
            <w:tcW w:type="dxa" w:w="2304"/>
            <w:shd w:fill="FFFFFF"/>
            <w:tcMar>
              <w:top w:w="80" w:type="dxa"/>
              <w:bottom w:w="80" w:type="dxa"/>
              <w:left w:w="80" w:type="dxa"/>
              <w:right w:w="80" w:type="dxa"/>
            </w:tcMar>
          </w:tcPr>
          <w:p>
            <w:r>
              <w:rPr>
                <w:rFonts w:ascii="Times New Roman" w:hAnsi="Times New Roman"/>
                <w:b/>
                <w:color w:val="1E293B"/>
                <w:sz w:val="18"/>
              </w:rPr>
              <w:t>Client Topology</w:t>
            </w:r>
          </w:p>
        </w:tc>
        <w:tc>
          <w:tcPr>
            <w:tcW w:type="dxa" w:w="2592"/>
            <w:shd w:fill="FFFFFF"/>
            <w:tcMar>
              <w:top w:w="80" w:type="dxa"/>
              <w:bottom w:w="80" w:type="dxa"/>
              <w:left w:w="80" w:type="dxa"/>
              <w:right w:w="80" w:type="dxa"/>
            </w:tcMar>
          </w:tcPr>
          <w:p>
            <w:r>
              <w:rPr>
                <w:rFonts w:ascii="Times New Roman" w:hAnsi="Times New Roman"/>
                <w:color w:val="1E293B"/>
                <w:sz w:val="18"/>
              </w:rPr>
              <w:t>K = 10 Hospital Nodes</w:t>
            </w:r>
          </w:p>
        </w:tc>
        <w:tc>
          <w:tcPr>
            <w:tcW w:type="dxa" w:w="2304"/>
            <w:shd w:fill="FFFFFF"/>
            <w:tcMar>
              <w:top w:w="80" w:type="dxa"/>
              <w:bottom w:w="80" w:type="dxa"/>
              <w:left w:w="80" w:type="dxa"/>
              <w:right w:w="80" w:type="dxa"/>
            </w:tcMar>
          </w:tcPr>
          <w:p>
            <w:r>
              <w:rPr>
                <w:rFonts w:ascii="Times New Roman" w:hAnsi="Times New Roman"/>
                <w:color w:val="1E293B"/>
                <w:sz w:val="18"/>
              </w:rPr>
              <w:t>Centralized Benchmark</w:t>
            </w:r>
          </w:p>
        </w:tc>
        <w:tc>
          <w:tcPr>
            <w:tcW w:type="dxa" w:w="2160"/>
            <w:shd w:fill="FFFFFF"/>
            <w:tcMar>
              <w:top w:w="80" w:type="dxa"/>
              <w:bottom w:w="80" w:type="dxa"/>
              <w:left w:w="80" w:type="dxa"/>
              <w:right w:w="80" w:type="dxa"/>
            </w:tcMar>
          </w:tcPr>
          <w:p>
            <w:r>
              <w:rPr>
                <w:rFonts w:ascii="Times New Roman" w:hAnsi="Times New Roman"/>
                <w:color w:val="1E293B"/>
                <w:sz w:val="18"/>
              </w:rPr>
              <w:t>Sample count: 10,000 / node</w:t>
            </w:r>
          </w:p>
        </w:tc>
      </w:tr>
      <w:tr>
        <w:tc>
          <w:tcPr>
            <w:tcW w:type="dxa" w:w="2304"/>
            <w:shd w:fill="F8FAFC"/>
            <w:tcMar>
              <w:top w:w="80" w:type="dxa"/>
              <w:bottom w:w="80" w:type="dxa"/>
              <w:left w:w="80" w:type="dxa"/>
              <w:right w:w="80" w:type="dxa"/>
            </w:tcMar>
          </w:tcPr>
          <w:p>
            <w:r>
              <w:rPr>
                <w:rFonts w:ascii="Times New Roman" w:hAnsi="Times New Roman"/>
                <w:b/>
                <w:color w:val="1E293B"/>
                <w:sz w:val="18"/>
              </w:rPr>
              <w:t>Dirichlet Partition</w:t>
            </w:r>
          </w:p>
        </w:tc>
        <w:tc>
          <w:tcPr>
            <w:tcW w:type="dxa" w:w="2592"/>
            <w:shd w:fill="F8FAFC"/>
            <w:tcMar>
              <w:top w:w="80" w:type="dxa"/>
              <w:bottom w:w="80" w:type="dxa"/>
              <w:left w:w="80" w:type="dxa"/>
              <w:right w:w="80" w:type="dxa"/>
            </w:tcMar>
          </w:tcPr>
          <w:p>
            <w:r>
              <w:rPr>
                <w:rFonts w:ascii="Times New Roman" w:hAnsi="Times New Roman"/>
                <w:color w:val="1E293B"/>
                <w:sz w:val="18"/>
              </w:rPr>
              <w:t>alpha = 0.5 (Moderate), alpha = 0.1 (Extreme)</w:t>
            </w:r>
          </w:p>
        </w:tc>
        <w:tc>
          <w:tcPr>
            <w:tcW w:type="dxa" w:w="2304"/>
            <w:shd w:fill="F8FAFC"/>
            <w:tcMar>
              <w:top w:w="80" w:type="dxa"/>
              <w:bottom w:w="80" w:type="dxa"/>
              <w:left w:w="80" w:type="dxa"/>
              <w:right w:w="80" w:type="dxa"/>
            </w:tcMar>
          </w:tcPr>
          <w:p>
            <w:r>
              <w:rPr>
                <w:rFonts w:ascii="Times New Roman" w:hAnsi="Times New Roman"/>
                <w:color w:val="1E293B"/>
                <w:sz w:val="18"/>
              </w:rPr>
              <w:t>Uniform IID Distribution</w:t>
            </w:r>
          </w:p>
        </w:tc>
        <w:tc>
          <w:tcPr>
            <w:tcW w:type="dxa" w:w="2160"/>
            <w:shd w:fill="F8FAFC"/>
            <w:tcMar>
              <w:top w:w="80" w:type="dxa"/>
              <w:bottom w:w="80" w:type="dxa"/>
              <w:left w:w="80" w:type="dxa"/>
              <w:right w:w="80" w:type="dxa"/>
            </w:tcMar>
          </w:tcPr>
          <w:p>
            <w:r>
              <w:rPr>
                <w:rFonts w:ascii="Times New Roman" w:hAnsi="Times New Roman"/>
                <w:color w:val="1E293B"/>
                <w:sz w:val="18"/>
              </w:rPr>
              <w:t>Class concentration control</w:t>
            </w:r>
          </w:p>
        </w:tc>
      </w:tr>
      <w:tr>
        <w:tc>
          <w:tcPr>
            <w:tcW w:type="dxa" w:w="2304"/>
            <w:shd w:fill="FFFFFF"/>
            <w:tcMar>
              <w:top w:w="80" w:type="dxa"/>
              <w:bottom w:w="80" w:type="dxa"/>
              <w:left w:w="80" w:type="dxa"/>
              <w:right w:w="80" w:type="dxa"/>
            </w:tcMar>
          </w:tcPr>
          <w:p>
            <w:r>
              <w:rPr>
                <w:rFonts w:ascii="Times New Roman" w:hAnsi="Times New Roman"/>
                <w:b/>
                <w:color w:val="1E293B"/>
                <w:sz w:val="18"/>
              </w:rPr>
              <w:t>Local Training</w:t>
            </w:r>
          </w:p>
        </w:tc>
        <w:tc>
          <w:tcPr>
            <w:tcW w:type="dxa" w:w="2592"/>
            <w:shd w:fill="FFFFFF"/>
            <w:tcMar>
              <w:top w:w="80" w:type="dxa"/>
              <w:bottom w:w="80" w:type="dxa"/>
              <w:left w:w="80" w:type="dxa"/>
              <w:right w:w="80" w:type="dxa"/>
            </w:tcMar>
          </w:tcPr>
          <w:p>
            <w:r>
              <w:rPr>
                <w:rFonts w:ascii="Times New Roman" w:hAnsi="Times New Roman"/>
                <w:color w:val="1E293B"/>
                <w:sz w:val="18"/>
              </w:rPr>
              <w:t>E = 5 Local Epochs, Batch Size = 32</w:t>
            </w:r>
          </w:p>
        </w:tc>
        <w:tc>
          <w:tcPr>
            <w:tcW w:type="dxa" w:w="2304"/>
            <w:shd w:fill="FFFFFF"/>
            <w:tcMar>
              <w:top w:w="80" w:type="dxa"/>
              <w:bottom w:w="80" w:type="dxa"/>
              <w:left w:w="80" w:type="dxa"/>
              <w:right w:w="80" w:type="dxa"/>
            </w:tcMar>
          </w:tcPr>
          <w:p>
            <w:r>
              <w:rPr>
                <w:rFonts w:ascii="Times New Roman" w:hAnsi="Times New Roman"/>
                <w:color w:val="1E293B"/>
                <w:sz w:val="18"/>
              </w:rPr>
              <w:t>E = 1 Epoch Baseline</w:t>
            </w:r>
          </w:p>
        </w:tc>
        <w:tc>
          <w:tcPr>
            <w:tcW w:type="dxa" w:w="2160"/>
            <w:shd w:fill="FFFFFF"/>
            <w:tcMar>
              <w:top w:w="80" w:type="dxa"/>
              <w:bottom w:w="80" w:type="dxa"/>
              <w:left w:w="80" w:type="dxa"/>
              <w:right w:w="80" w:type="dxa"/>
            </w:tcMar>
          </w:tcPr>
          <w:p>
            <w:r>
              <w:rPr>
                <w:rFonts w:ascii="Times New Roman" w:hAnsi="Times New Roman"/>
                <w:color w:val="1E293B"/>
                <w:sz w:val="18"/>
              </w:rPr>
              <w:t>AdamW, eta = 1e-4</w:t>
            </w:r>
          </w:p>
        </w:tc>
      </w:tr>
      <w:tr>
        <w:tc>
          <w:tcPr>
            <w:tcW w:type="dxa" w:w="2304"/>
            <w:shd w:fill="F8FAFC"/>
            <w:tcMar>
              <w:top w:w="80" w:type="dxa"/>
              <w:bottom w:w="80" w:type="dxa"/>
              <w:left w:w="80" w:type="dxa"/>
              <w:right w:w="80" w:type="dxa"/>
            </w:tcMar>
          </w:tcPr>
          <w:p>
            <w:r>
              <w:rPr>
                <w:rFonts w:ascii="Times New Roman" w:hAnsi="Times New Roman"/>
                <w:b/>
                <w:color w:val="1E293B"/>
                <w:sz w:val="18"/>
              </w:rPr>
              <w:t>Communication Rounds</w:t>
            </w:r>
          </w:p>
        </w:tc>
        <w:tc>
          <w:tcPr>
            <w:tcW w:type="dxa" w:w="2592"/>
            <w:shd w:fill="F8FAFC"/>
            <w:tcMar>
              <w:top w:w="80" w:type="dxa"/>
              <w:bottom w:w="80" w:type="dxa"/>
              <w:left w:w="80" w:type="dxa"/>
              <w:right w:w="80" w:type="dxa"/>
            </w:tcMar>
          </w:tcPr>
          <w:p>
            <w:r>
              <w:rPr>
                <w:rFonts w:ascii="Times New Roman" w:hAnsi="Times New Roman"/>
                <w:color w:val="1E293B"/>
                <w:sz w:val="18"/>
              </w:rPr>
              <w:t>T = 100 Global Rounds</w:t>
            </w:r>
          </w:p>
        </w:tc>
        <w:tc>
          <w:tcPr>
            <w:tcW w:type="dxa" w:w="2304"/>
            <w:shd w:fill="F8FAFC"/>
            <w:tcMar>
              <w:top w:w="80" w:type="dxa"/>
              <w:bottom w:w="80" w:type="dxa"/>
              <w:left w:w="80" w:type="dxa"/>
              <w:right w:w="80" w:type="dxa"/>
            </w:tcMar>
          </w:tcPr>
          <w:p>
            <w:r>
              <w:rPr>
                <w:rFonts w:ascii="Times New Roman" w:hAnsi="Times New Roman"/>
                <w:color w:val="1E293B"/>
                <w:sz w:val="18"/>
              </w:rPr>
              <w:t>T = 50 Rounds</w:t>
            </w:r>
          </w:p>
        </w:tc>
        <w:tc>
          <w:tcPr>
            <w:tcW w:type="dxa" w:w="2160"/>
            <w:shd w:fill="F8FAFC"/>
            <w:tcMar>
              <w:top w:w="80" w:type="dxa"/>
              <w:bottom w:w="80" w:type="dxa"/>
              <w:left w:w="80" w:type="dxa"/>
              <w:right w:w="80" w:type="dxa"/>
            </w:tcMar>
          </w:tcPr>
          <w:p>
            <w:r>
              <w:rPr>
                <w:rFonts w:ascii="Times New Roman" w:hAnsi="Times New Roman"/>
                <w:color w:val="1E293B"/>
                <w:sz w:val="18"/>
              </w:rPr>
              <w:t>Convergence tolerance = 1e-4</w:t>
            </w:r>
          </w:p>
        </w:tc>
      </w:tr>
      <w:tr>
        <w:tc>
          <w:tcPr>
            <w:tcW w:type="dxa" w:w="2304"/>
            <w:shd w:fill="FFFFFF"/>
            <w:tcMar>
              <w:top w:w="80" w:type="dxa"/>
              <w:bottom w:w="80" w:type="dxa"/>
              <w:left w:w="80" w:type="dxa"/>
              <w:right w:w="80" w:type="dxa"/>
            </w:tcMar>
          </w:tcPr>
          <w:p>
            <w:r>
              <w:rPr>
                <w:rFonts w:ascii="Times New Roman" w:hAnsi="Times New Roman"/>
                <w:b/>
                <w:color w:val="1E293B"/>
                <w:sz w:val="18"/>
              </w:rPr>
              <w:t>JSD Scaling Factor</w:t>
            </w:r>
          </w:p>
        </w:tc>
        <w:tc>
          <w:tcPr>
            <w:tcW w:type="dxa" w:w="2592"/>
            <w:shd w:fill="FFFFFF"/>
            <w:tcMar>
              <w:top w:w="80" w:type="dxa"/>
              <w:bottom w:w="80" w:type="dxa"/>
              <w:left w:w="80" w:type="dxa"/>
              <w:right w:w="80" w:type="dxa"/>
            </w:tcMar>
          </w:tcPr>
          <w:p>
            <w:r>
              <w:rPr>
                <w:rFonts w:ascii="Times New Roman" w:hAnsi="Times New Roman"/>
                <w:color w:val="1E293B"/>
                <w:sz w:val="18"/>
              </w:rPr>
              <w:t>lambda in [1.0, 5.0, 10.0]</w:t>
            </w:r>
          </w:p>
        </w:tc>
        <w:tc>
          <w:tcPr>
            <w:tcW w:type="dxa" w:w="2304"/>
            <w:shd w:fill="FFFFFF"/>
            <w:tcMar>
              <w:top w:w="80" w:type="dxa"/>
              <w:bottom w:w="80" w:type="dxa"/>
              <w:left w:w="80" w:type="dxa"/>
              <w:right w:w="80" w:type="dxa"/>
            </w:tcMar>
          </w:tcPr>
          <w:p>
            <w:r>
              <w:rPr>
                <w:rFonts w:ascii="Times New Roman" w:hAnsi="Times New Roman"/>
                <w:color w:val="1E293B"/>
                <w:sz w:val="18"/>
              </w:rPr>
              <w:t>Static Uniform Weights</w:t>
            </w:r>
          </w:p>
        </w:tc>
        <w:tc>
          <w:tcPr>
            <w:tcW w:type="dxa" w:w="2160"/>
            <w:shd w:fill="FFFFFF"/>
            <w:tcMar>
              <w:top w:w="80" w:type="dxa"/>
              <w:bottom w:w="80" w:type="dxa"/>
              <w:left w:w="80" w:type="dxa"/>
              <w:right w:w="80" w:type="dxa"/>
            </w:tcMar>
          </w:tcPr>
          <w:p>
            <w:r>
              <w:rPr>
                <w:rFonts w:ascii="Times New Roman" w:hAnsi="Times New Roman"/>
                <w:color w:val="1E293B"/>
                <w:sz w:val="18"/>
              </w:rPr>
              <w:t>Optimal temperature tuning</w:t>
            </w:r>
          </w:p>
        </w:tc>
      </w:tr>
    </w:tbl>
    <w:p>
      <w:pPr>
        <w:spacing w:before="80" w:after="240"/>
        <w:jc w:val="center"/>
      </w:pPr>
      <w:r>
        <w:rPr>
          <w:rFonts w:ascii="Times New Roman" w:hAnsi="Times New Roman"/>
          <w:b/>
          <w:i/>
          <w:color w:val="475569"/>
          <w:sz w:val="21"/>
        </w:rPr>
        <w:t>Table 3.2: Experimental Baseline Algorithms &amp; Hyperparameter Configuration</w:t>
      </w:r>
    </w:p>
    <w:p>
      <w:pPr>
        <w:keepNext/>
        <w:spacing w:before="240" w:after="80"/>
      </w:pPr>
      <w:r>
        <w:rPr>
          <w:rFonts w:ascii="Times New Roman" w:hAnsi="Times New Roman"/>
          <w:b/>
          <w:color w:val="1E3A8A"/>
          <w:sz w:val="28"/>
        </w:rPr>
        <w:t>3.12 Evaluation Metrics &amp; Performance Assessment</w:t>
      </w:r>
    </w:p>
    <w:p>
      <w:pPr>
        <w:spacing w:after="120" w:line="300" w:lineRule="auto"/>
      </w:pPr>
      <w:r>
        <w:rPr>
          <w:rFonts w:ascii="Times New Roman" w:hAnsi="Times New Roman"/>
          <w:i w:val="0"/>
          <w:color w:val="1E293B"/>
          <w:sz w:val="24"/>
        </w:rPr>
        <w:t>Model diagnostic efficacy and convergence performance will be rigorously measured using multi-class metrics defined in Table 3.3:</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120"/>
        <w:gridCol w:w="3120"/>
        <w:gridCol w:w="3120"/>
      </w:tblGrid>
      <w:tr>
        <w:tc>
          <w:tcPr>
            <w:tcW w:type="dxa" w:w="2592"/>
            <w:shd w:fill="1E3A8A"/>
          </w:tcPr>
          <w:p>
            <w:r>
              <w:rPr>
                <w:rFonts w:ascii="Times New Roman" w:hAnsi="Times New Roman"/>
                <w:b/>
                <w:color w:val="FFFFFF"/>
                <w:sz w:val="19"/>
              </w:rPr>
              <w:t>Metric Name</w:t>
            </w:r>
          </w:p>
        </w:tc>
        <w:tc>
          <w:tcPr>
            <w:tcW w:type="dxa" w:w="4320"/>
            <w:shd w:fill="1E3A8A"/>
          </w:tcPr>
          <w:p>
            <w:r>
              <w:rPr>
                <w:rFonts w:ascii="Times New Roman" w:hAnsi="Times New Roman"/>
                <w:b/>
                <w:color w:val="FFFFFF"/>
                <w:sz w:val="19"/>
              </w:rPr>
              <w:t>Mathematical Expression / Definition</w:t>
            </w:r>
          </w:p>
        </w:tc>
        <w:tc>
          <w:tcPr>
            <w:tcW w:type="dxa" w:w="2448"/>
            <w:shd w:fill="1E3A8A"/>
          </w:tcPr>
          <w:p>
            <w:r>
              <w:rPr>
                <w:rFonts w:ascii="Times New Roman" w:hAnsi="Times New Roman"/>
                <w:b/>
                <w:color w:val="FFFFFF"/>
                <w:sz w:val="19"/>
              </w:rPr>
              <w:t>Target Benchmark Objective</w:t>
            </w:r>
          </w:p>
        </w:tc>
      </w:tr>
      <w:tr>
        <w:tc>
          <w:tcPr>
            <w:tcW w:type="dxa" w:w="2592"/>
            <w:shd w:fill="FFFFFF"/>
            <w:tcMar>
              <w:top w:w="80" w:type="dxa"/>
              <w:bottom w:w="80" w:type="dxa"/>
              <w:left w:w="80" w:type="dxa"/>
              <w:right w:w="80" w:type="dxa"/>
            </w:tcMar>
          </w:tcPr>
          <w:p>
            <w:r>
              <w:rPr>
                <w:rFonts w:ascii="Times New Roman" w:hAnsi="Times New Roman"/>
                <w:b/>
                <w:color w:val="1E293B"/>
                <w:sz w:val="18"/>
              </w:rPr>
              <w:t>Area Under ROC Curve (AUC-ROC)</w:t>
            </w:r>
          </w:p>
        </w:tc>
        <w:tc>
          <w:tcPr>
            <w:tcW w:type="dxa" w:w="4320"/>
            <w:shd w:fill="FFFFFF"/>
            <w:tcMar>
              <w:top w:w="80" w:type="dxa"/>
              <w:bottom w:w="80" w:type="dxa"/>
              <w:left w:w="80" w:type="dxa"/>
              <w:right w:w="80" w:type="dxa"/>
            </w:tcMar>
          </w:tcPr>
          <w:p>
            <w:r>
              <w:rPr>
                <w:rFonts w:ascii="Times New Roman" w:hAnsi="Times New Roman"/>
                <w:color w:val="1E293B"/>
                <w:sz w:val="18"/>
              </w:rPr>
              <w:t>Integral of True Positive Rate vs. False Positive Rate curve</w:t>
            </w:r>
          </w:p>
        </w:tc>
        <w:tc>
          <w:tcPr>
            <w:tcW w:type="dxa" w:w="2448"/>
            <w:shd w:fill="FFFFFF"/>
            <w:tcMar>
              <w:top w:w="80" w:type="dxa"/>
              <w:bottom w:w="80" w:type="dxa"/>
              <w:left w:w="80" w:type="dxa"/>
              <w:right w:w="80" w:type="dxa"/>
            </w:tcMar>
          </w:tcPr>
          <w:p>
            <w:r>
              <w:rPr>
                <w:rFonts w:ascii="Times New Roman" w:hAnsi="Times New Roman"/>
                <w:color w:val="1E293B"/>
                <w:sz w:val="18"/>
              </w:rPr>
              <w:t>AUC &gt;= 0.88 across all classes</w:t>
            </w:r>
          </w:p>
        </w:tc>
      </w:tr>
      <w:tr>
        <w:tc>
          <w:tcPr>
            <w:tcW w:type="dxa" w:w="2592"/>
            <w:shd w:fill="F8FAFC"/>
            <w:tcMar>
              <w:top w:w="80" w:type="dxa"/>
              <w:bottom w:w="80" w:type="dxa"/>
              <w:left w:w="80" w:type="dxa"/>
              <w:right w:w="80" w:type="dxa"/>
            </w:tcMar>
          </w:tcPr>
          <w:p>
            <w:r>
              <w:rPr>
                <w:rFonts w:ascii="Times New Roman" w:hAnsi="Times New Roman"/>
                <w:b/>
                <w:color w:val="1E293B"/>
                <w:sz w:val="18"/>
              </w:rPr>
              <w:t>F1-Score (Macro-Averaged)</w:t>
            </w:r>
          </w:p>
        </w:tc>
        <w:tc>
          <w:tcPr>
            <w:tcW w:type="dxa" w:w="4320"/>
            <w:shd w:fill="F8FAFC"/>
            <w:tcMar>
              <w:top w:w="80" w:type="dxa"/>
              <w:bottom w:w="80" w:type="dxa"/>
              <w:left w:w="80" w:type="dxa"/>
              <w:right w:w="80" w:type="dxa"/>
            </w:tcMar>
          </w:tcPr>
          <w:p>
            <w:r>
              <w:rPr>
                <w:rFonts w:ascii="Times New Roman" w:hAnsi="Times New Roman"/>
                <w:color w:val="1E293B"/>
                <w:sz w:val="18"/>
              </w:rPr>
              <w:t>2 * (Precision * Recall) / (Precision + Recall)</w:t>
            </w:r>
          </w:p>
        </w:tc>
        <w:tc>
          <w:tcPr>
            <w:tcW w:type="dxa" w:w="2448"/>
            <w:shd w:fill="F8FAFC"/>
            <w:tcMar>
              <w:top w:w="80" w:type="dxa"/>
              <w:bottom w:w="80" w:type="dxa"/>
              <w:left w:w="80" w:type="dxa"/>
              <w:right w:w="80" w:type="dxa"/>
            </w:tcMar>
          </w:tcPr>
          <w:p>
            <w:r>
              <w:rPr>
                <w:rFonts w:ascii="Times New Roman" w:hAnsi="Times New Roman"/>
                <w:color w:val="1E293B"/>
                <w:sz w:val="18"/>
              </w:rPr>
              <w:t>F1 &gt;= 0.85 under alpha = 0.1 skew</w:t>
            </w:r>
          </w:p>
        </w:tc>
      </w:tr>
      <w:tr>
        <w:tc>
          <w:tcPr>
            <w:tcW w:type="dxa" w:w="2592"/>
            <w:shd w:fill="FFFFFF"/>
            <w:tcMar>
              <w:top w:w="80" w:type="dxa"/>
              <w:bottom w:w="80" w:type="dxa"/>
              <w:left w:w="80" w:type="dxa"/>
              <w:right w:w="80" w:type="dxa"/>
            </w:tcMar>
          </w:tcPr>
          <w:p>
            <w:r>
              <w:rPr>
                <w:rFonts w:ascii="Times New Roman" w:hAnsi="Times New Roman"/>
                <w:b/>
                <w:color w:val="1E293B"/>
                <w:sz w:val="18"/>
              </w:rPr>
              <w:t>Top-1 Accuracy</w:t>
            </w:r>
          </w:p>
        </w:tc>
        <w:tc>
          <w:tcPr>
            <w:tcW w:type="dxa" w:w="4320"/>
            <w:shd w:fill="FFFFFF"/>
            <w:tcMar>
              <w:top w:w="80" w:type="dxa"/>
              <w:bottom w:w="80" w:type="dxa"/>
              <w:left w:w="80" w:type="dxa"/>
              <w:right w:w="80" w:type="dxa"/>
            </w:tcMar>
          </w:tcPr>
          <w:p>
            <w:r>
              <w:rPr>
                <w:rFonts w:ascii="Times New Roman" w:hAnsi="Times New Roman"/>
                <w:color w:val="1E293B"/>
                <w:sz w:val="18"/>
              </w:rPr>
              <w:t>(TP + TN) / (TP + TN + FP + FN)</w:t>
            </w:r>
          </w:p>
        </w:tc>
        <w:tc>
          <w:tcPr>
            <w:tcW w:type="dxa" w:w="2448"/>
            <w:shd w:fill="FFFFFF"/>
            <w:tcMar>
              <w:top w:w="80" w:type="dxa"/>
              <w:bottom w:w="80" w:type="dxa"/>
              <w:left w:w="80" w:type="dxa"/>
              <w:right w:w="80" w:type="dxa"/>
            </w:tcMar>
          </w:tcPr>
          <w:p>
            <w:r>
              <w:rPr>
                <w:rFonts w:ascii="Times New Roman" w:hAnsi="Times New Roman"/>
                <w:color w:val="1E293B"/>
                <w:sz w:val="18"/>
              </w:rPr>
              <w:t>Accuracy &gt;= 90.0% overall</w:t>
            </w:r>
          </w:p>
        </w:tc>
      </w:tr>
      <w:tr>
        <w:tc>
          <w:tcPr>
            <w:tcW w:type="dxa" w:w="2592"/>
            <w:shd w:fill="F8FAFC"/>
            <w:tcMar>
              <w:top w:w="80" w:type="dxa"/>
              <w:bottom w:w="80" w:type="dxa"/>
              <w:left w:w="80" w:type="dxa"/>
              <w:right w:w="80" w:type="dxa"/>
            </w:tcMar>
          </w:tcPr>
          <w:p>
            <w:r>
              <w:rPr>
                <w:rFonts w:ascii="Times New Roman" w:hAnsi="Times New Roman"/>
                <w:b/>
                <w:color w:val="1E293B"/>
                <w:sz w:val="18"/>
              </w:rPr>
              <w:t>Communication Efficiency</w:t>
            </w:r>
          </w:p>
        </w:tc>
        <w:tc>
          <w:tcPr>
            <w:tcW w:type="dxa" w:w="4320"/>
            <w:shd w:fill="F8FAFC"/>
            <w:tcMar>
              <w:top w:w="80" w:type="dxa"/>
              <w:bottom w:w="80" w:type="dxa"/>
              <w:left w:w="80" w:type="dxa"/>
              <w:right w:w="80" w:type="dxa"/>
            </w:tcMar>
          </w:tcPr>
          <w:p>
            <w:r>
              <w:rPr>
                <w:rFonts w:ascii="Times New Roman" w:hAnsi="Times New Roman"/>
                <w:color w:val="1E293B"/>
                <w:sz w:val="18"/>
              </w:rPr>
              <w:t>Total rounds to reach 85% test accuracy threshold</w:t>
            </w:r>
          </w:p>
        </w:tc>
        <w:tc>
          <w:tcPr>
            <w:tcW w:type="dxa" w:w="2448"/>
            <w:shd w:fill="F8FAFC"/>
            <w:tcMar>
              <w:top w:w="80" w:type="dxa"/>
              <w:bottom w:w="80" w:type="dxa"/>
              <w:left w:w="80" w:type="dxa"/>
              <w:right w:w="80" w:type="dxa"/>
            </w:tcMar>
          </w:tcPr>
          <w:p>
            <w:r>
              <w:rPr>
                <w:rFonts w:ascii="Times New Roman" w:hAnsi="Times New Roman"/>
                <w:color w:val="1E293B"/>
                <w:sz w:val="18"/>
              </w:rPr>
              <w:t>&gt;= 30% reduction in rounds vs FedAvg</w:t>
            </w:r>
          </w:p>
        </w:tc>
      </w:tr>
      <w:tr>
        <w:tc>
          <w:tcPr>
            <w:tcW w:type="dxa" w:w="2592"/>
            <w:shd w:fill="FFFFFF"/>
            <w:tcMar>
              <w:top w:w="80" w:type="dxa"/>
              <w:bottom w:w="80" w:type="dxa"/>
              <w:left w:w="80" w:type="dxa"/>
              <w:right w:w="80" w:type="dxa"/>
            </w:tcMar>
          </w:tcPr>
          <w:p>
            <w:r>
              <w:rPr>
                <w:rFonts w:ascii="Times New Roman" w:hAnsi="Times New Roman"/>
                <w:b/>
                <w:color w:val="1E293B"/>
                <w:sz w:val="18"/>
              </w:rPr>
              <w:t>Worst-Node Diagnostic Gap</w:t>
            </w:r>
          </w:p>
        </w:tc>
        <w:tc>
          <w:tcPr>
            <w:tcW w:type="dxa" w:w="4320"/>
            <w:shd w:fill="FFFFFF"/>
            <w:tcMar>
              <w:top w:w="80" w:type="dxa"/>
              <w:bottom w:w="80" w:type="dxa"/>
              <w:left w:w="80" w:type="dxa"/>
              <w:right w:w="80" w:type="dxa"/>
            </w:tcMar>
          </w:tcPr>
          <w:p>
            <w:r>
              <w:rPr>
                <w:rFonts w:ascii="Times New Roman" w:hAnsi="Times New Roman"/>
                <w:color w:val="1E293B"/>
                <w:sz w:val="18"/>
              </w:rPr>
              <w:t>Accuracy difference between best and worst performing client hospital</w:t>
            </w:r>
          </w:p>
        </w:tc>
        <w:tc>
          <w:tcPr>
            <w:tcW w:type="dxa" w:w="2448"/>
            <w:shd w:fill="FFFFFF"/>
            <w:tcMar>
              <w:top w:w="80" w:type="dxa"/>
              <w:bottom w:w="80" w:type="dxa"/>
              <w:left w:w="80" w:type="dxa"/>
              <w:right w:w="80" w:type="dxa"/>
            </w:tcMar>
          </w:tcPr>
          <w:p>
            <w:r>
              <w:rPr>
                <w:rFonts w:ascii="Times New Roman" w:hAnsi="Times New Roman"/>
                <w:color w:val="1E293B"/>
                <w:sz w:val="18"/>
              </w:rPr>
              <w:t>Gap &lt;= 5.0% across all nodes</w:t>
            </w:r>
          </w:p>
        </w:tc>
      </w:tr>
    </w:tbl>
    <w:p>
      <w:pPr>
        <w:spacing w:before="80" w:after="240"/>
        <w:jc w:val="center"/>
      </w:pPr>
      <w:r>
        <w:rPr>
          <w:rFonts w:ascii="Times New Roman" w:hAnsi="Times New Roman"/>
          <w:b/>
          <w:i/>
          <w:color w:val="475569"/>
          <w:sz w:val="21"/>
        </w:rPr>
        <w:t>Table 3.3: Evaluation Metrics, Mathematical Formulas, and Target Benchmarks</w:t>
      </w:r>
    </w:p>
    <w:p>
      <w:pPr>
        <w:keepNext/>
        <w:spacing w:before="240" w:after="80"/>
      </w:pPr>
      <w:r>
        <w:rPr>
          <w:rFonts w:ascii="Times New Roman" w:hAnsi="Times New Roman"/>
          <w:b/>
          <w:color w:val="1E3A8A"/>
          <w:sz w:val="28"/>
        </w:rPr>
        <w:t>3.13 Work Plan &amp; Implementation Timeline</w:t>
      </w:r>
    </w:p>
    <w:p>
      <w:pPr>
        <w:spacing w:after="120" w:line="300" w:lineRule="auto"/>
      </w:pPr>
      <w:r>
        <w:rPr>
          <w:rFonts w:ascii="Times New Roman" w:hAnsi="Times New Roman"/>
          <w:i w:val="0"/>
          <w:color w:val="1E293B"/>
          <w:sz w:val="24"/>
        </w:rPr>
        <w:t>The proposed master's research project is structured across a 12-month implementation schedule detailed in Table 3.4:</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340"/>
        <w:gridCol w:w="2340"/>
        <w:gridCol w:w="2340"/>
        <w:gridCol w:w="2340"/>
      </w:tblGrid>
      <w:tr>
        <w:tc>
          <w:tcPr>
            <w:tcW w:type="dxa" w:w="2160"/>
            <w:shd w:fill="1E3A8A"/>
          </w:tcPr>
          <w:p>
            <w:r>
              <w:rPr>
                <w:rFonts w:ascii="Times New Roman" w:hAnsi="Times New Roman"/>
                <w:b/>
                <w:color w:val="FFFFFF"/>
                <w:sz w:val="19"/>
              </w:rPr>
              <w:t>Project Phase</w:t>
            </w:r>
          </w:p>
        </w:tc>
        <w:tc>
          <w:tcPr>
            <w:tcW w:type="dxa" w:w="3888"/>
            <w:shd w:fill="1E3A8A"/>
          </w:tcPr>
          <w:p>
            <w:r>
              <w:rPr>
                <w:rFonts w:ascii="Times New Roman" w:hAnsi="Times New Roman"/>
                <w:b/>
                <w:color w:val="FFFFFF"/>
                <w:sz w:val="19"/>
              </w:rPr>
              <w:t>Core Work Package &amp; Deliverables</w:t>
            </w:r>
          </w:p>
        </w:tc>
        <w:tc>
          <w:tcPr>
            <w:tcW w:type="dxa" w:w="1584"/>
            <w:shd w:fill="1E3A8A"/>
          </w:tcPr>
          <w:p>
            <w:r>
              <w:rPr>
                <w:rFonts w:ascii="Times New Roman" w:hAnsi="Times New Roman"/>
                <w:b/>
                <w:color w:val="FFFFFF"/>
                <w:sz w:val="19"/>
              </w:rPr>
              <w:t>Target Timeline</w:t>
            </w:r>
          </w:p>
        </w:tc>
        <w:tc>
          <w:tcPr>
            <w:tcW w:type="dxa" w:w="1728"/>
            <w:shd w:fill="1E3A8A"/>
          </w:tcPr>
          <w:p>
            <w:r>
              <w:rPr>
                <w:rFonts w:ascii="Times New Roman" w:hAnsi="Times New Roman"/>
                <w:b/>
                <w:color w:val="FFFFFF"/>
                <w:sz w:val="19"/>
              </w:rPr>
              <w:t>Milestone Output</w:t>
            </w:r>
          </w:p>
        </w:tc>
      </w:tr>
      <w:tr>
        <w:tc>
          <w:tcPr>
            <w:tcW w:type="dxa" w:w="2160"/>
            <w:shd w:fill="FFFFFF"/>
            <w:tcMar>
              <w:top w:w="80" w:type="dxa"/>
              <w:bottom w:w="80" w:type="dxa"/>
              <w:left w:w="80" w:type="dxa"/>
              <w:right w:w="80" w:type="dxa"/>
            </w:tcMar>
          </w:tcPr>
          <w:p>
            <w:r>
              <w:rPr>
                <w:rFonts w:ascii="Times New Roman" w:hAnsi="Times New Roman"/>
                <w:b/>
                <w:color w:val="1E293B"/>
                <w:sz w:val="18"/>
              </w:rPr>
              <w:t>Phase 1: Environment Setup</w:t>
            </w:r>
          </w:p>
        </w:tc>
        <w:tc>
          <w:tcPr>
            <w:tcW w:type="dxa" w:w="3888"/>
            <w:shd w:fill="FFFFFF"/>
            <w:tcMar>
              <w:top w:w="80" w:type="dxa"/>
              <w:bottom w:w="80" w:type="dxa"/>
              <w:left w:w="80" w:type="dxa"/>
              <w:right w:w="80" w:type="dxa"/>
            </w:tcMar>
          </w:tcPr>
          <w:p>
            <w:r>
              <w:rPr>
                <w:rFonts w:ascii="Times New Roman" w:hAnsi="Times New Roman"/>
                <w:color w:val="1E293B"/>
                <w:sz w:val="18"/>
              </w:rPr>
              <w:t>Dataset ingestion, DICOM preprocessing, PyTorch-Flower FL environment configuration</w:t>
            </w:r>
          </w:p>
        </w:tc>
        <w:tc>
          <w:tcPr>
            <w:tcW w:type="dxa" w:w="1584"/>
            <w:shd w:fill="FFFFFF"/>
            <w:tcMar>
              <w:top w:w="80" w:type="dxa"/>
              <w:bottom w:w="80" w:type="dxa"/>
              <w:left w:w="80" w:type="dxa"/>
              <w:right w:w="80" w:type="dxa"/>
            </w:tcMar>
          </w:tcPr>
          <w:p>
            <w:r>
              <w:rPr>
                <w:rFonts w:ascii="Times New Roman" w:hAnsi="Times New Roman"/>
                <w:color w:val="1E293B"/>
                <w:sz w:val="18"/>
              </w:rPr>
              <w:t>Months 1 - 2</w:t>
            </w:r>
          </w:p>
        </w:tc>
        <w:tc>
          <w:tcPr>
            <w:tcW w:type="dxa" w:w="1728"/>
            <w:shd w:fill="FFFFFF"/>
            <w:tcMar>
              <w:top w:w="80" w:type="dxa"/>
              <w:bottom w:w="80" w:type="dxa"/>
              <w:left w:w="80" w:type="dxa"/>
              <w:right w:w="80" w:type="dxa"/>
            </w:tcMar>
          </w:tcPr>
          <w:p>
            <w:r>
              <w:rPr>
                <w:rFonts w:ascii="Times New Roman" w:hAnsi="Times New Roman"/>
                <w:color w:val="1E293B"/>
                <w:sz w:val="18"/>
              </w:rPr>
              <w:t>Environment Ready</w:t>
            </w:r>
          </w:p>
        </w:tc>
      </w:tr>
      <w:tr>
        <w:tc>
          <w:tcPr>
            <w:tcW w:type="dxa" w:w="2160"/>
            <w:shd w:fill="F8FAFC"/>
            <w:tcMar>
              <w:top w:w="80" w:type="dxa"/>
              <w:bottom w:w="80" w:type="dxa"/>
              <w:left w:w="80" w:type="dxa"/>
              <w:right w:w="80" w:type="dxa"/>
            </w:tcMar>
          </w:tcPr>
          <w:p>
            <w:r>
              <w:rPr>
                <w:rFonts w:ascii="Times New Roman" w:hAnsi="Times New Roman"/>
                <w:b/>
                <w:color w:val="1E293B"/>
                <w:sz w:val="18"/>
              </w:rPr>
              <w:t>Phase 2: Baseline Implementation</w:t>
            </w:r>
          </w:p>
        </w:tc>
        <w:tc>
          <w:tcPr>
            <w:tcW w:type="dxa" w:w="3888"/>
            <w:shd w:fill="F8FAFC"/>
            <w:tcMar>
              <w:top w:w="80" w:type="dxa"/>
              <w:bottom w:w="80" w:type="dxa"/>
              <w:left w:w="80" w:type="dxa"/>
              <w:right w:w="80" w:type="dxa"/>
            </w:tcMar>
          </w:tcPr>
          <w:p>
            <w:r>
              <w:rPr>
                <w:rFonts w:ascii="Times New Roman" w:hAnsi="Times New Roman"/>
                <w:color w:val="1E293B"/>
                <w:sz w:val="18"/>
              </w:rPr>
              <w:t>Implement FedAvg, FedProx, MOON, SCAFFOLD benchmark suites</w:t>
            </w:r>
          </w:p>
        </w:tc>
        <w:tc>
          <w:tcPr>
            <w:tcW w:type="dxa" w:w="1584"/>
            <w:shd w:fill="F8FAFC"/>
            <w:tcMar>
              <w:top w:w="80" w:type="dxa"/>
              <w:bottom w:w="80" w:type="dxa"/>
              <w:left w:w="80" w:type="dxa"/>
              <w:right w:w="80" w:type="dxa"/>
            </w:tcMar>
          </w:tcPr>
          <w:p>
            <w:r>
              <w:rPr>
                <w:rFonts w:ascii="Times New Roman" w:hAnsi="Times New Roman"/>
                <w:color w:val="1E293B"/>
                <w:sz w:val="18"/>
              </w:rPr>
              <w:t>Months 3 - 4</w:t>
            </w:r>
          </w:p>
        </w:tc>
        <w:tc>
          <w:tcPr>
            <w:tcW w:type="dxa" w:w="1728"/>
            <w:shd w:fill="F8FAFC"/>
            <w:tcMar>
              <w:top w:w="80" w:type="dxa"/>
              <w:bottom w:w="80" w:type="dxa"/>
              <w:left w:w="80" w:type="dxa"/>
              <w:right w:w="80" w:type="dxa"/>
            </w:tcMar>
          </w:tcPr>
          <w:p>
            <w:r>
              <w:rPr>
                <w:rFonts w:ascii="Times New Roman" w:hAnsi="Times New Roman"/>
                <w:color w:val="1E293B"/>
                <w:sz w:val="18"/>
              </w:rPr>
              <w:t>Baselines Verified</w:t>
            </w:r>
          </w:p>
        </w:tc>
      </w:tr>
      <w:tr>
        <w:tc>
          <w:tcPr>
            <w:tcW w:type="dxa" w:w="2160"/>
            <w:shd w:fill="FFFFFF"/>
            <w:tcMar>
              <w:top w:w="80" w:type="dxa"/>
              <w:bottom w:w="80" w:type="dxa"/>
              <w:left w:w="80" w:type="dxa"/>
              <w:right w:w="80" w:type="dxa"/>
            </w:tcMar>
          </w:tcPr>
          <w:p>
            <w:r>
              <w:rPr>
                <w:rFonts w:ascii="Times New Roman" w:hAnsi="Times New Roman"/>
                <w:b/>
                <w:color w:val="1E293B"/>
                <w:sz w:val="18"/>
              </w:rPr>
              <w:t>Phase 3: Proposed JSD Framework</w:t>
            </w:r>
          </w:p>
        </w:tc>
        <w:tc>
          <w:tcPr>
            <w:tcW w:type="dxa" w:w="3888"/>
            <w:shd w:fill="FFFFFF"/>
            <w:tcMar>
              <w:top w:w="80" w:type="dxa"/>
              <w:bottom w:w="80" w:type="dxa"/>
              <w:left w:w="80" w:type="dxa"/>
              <w:right w:w="80" w:type="dxa"/>
            </w:tcMar>
          </w:tcPr>
          <w:p>
            <w:r>
              <w:rPr>
                <w:rFonts w:ascii="Times New Roman" w:hAnsi="Times New Roman"/>
                <w:color w:val="1E293B"/>
                <w:sz w:val="18"/>
              </w:rPr>
              <w:t>Code Stage 1 feature extraction, Stage 2 JSD computation, Stage 3 weight recalibration</w:t>
            </w:r>
          </w:p>
        </w:tc>
        <w:tc>
          <w:tcPr>
            <w:tcW w:type="dxa" w:w="1584"/>
            <w:shd w:fill="FFFFFF"/>
            <w:tcMar>
              <w:top w:w="80" w:type="dxa"/>
              <w:bottom w:w="80" w:type="dxa"/>
              <w:left w:w="80" w:type="dxa"/>
              <w:right w:w="80" w:type="dxa"/>
            </w:tcMar>
          </w:tcPr>
          <w:p>
            <w:r>
              <w:rPr>
                <w:rFonts w:ascii="Times New Roman" w:hAnsi="Times New Roman"/>
                <w:color w:val="1E293B"/>
                <w:sz w:val="18"/>
              </w:rPr>
              <w:t>Months 5 - 7</w:t>
            </w:r>
          </w:p>
        </w:tc>
        <w:tc>
          <w:tcPr>
            <w:tcW w:type="dxa" w:w="1728"/>
            <w:shd w:fill="FFFFFF"/>
            <w:tcMar>
              <w:top w:w="80" w:type="dxa"/>
              <w:bottom w:w="80" w:type="dxa"/>
              <w:left w:w="80" w:type="dxa"/>
              <w:right w:w="80" w:type="dxa"/>
            </w:tcMar>
          </w:tcPr>
          <w:p>
            <w:r>
              <w:rPr>
                <w:rFonts w:ascii="Times New Roman" w:hAnsi="Times New Roman"/>
                <w:color w:val="1E293B"/>
                <w:sz w:val="18"/>
              </w:rPr>
              <w:t>Proposed Alg. Ready</w:t>
            </w:r>
          </w:p>
        </w:tc>
      </w:tr>
      <w:tr>
        <w:tc>
          <w:tcPr>
            <w:tcW w:type="dxa" w:w="2160"/>
            <w:shd w:fill="F8FAFC"/>
            <w:tcMar>
              <w:top w:w="80" w:type="dxa"/>
              <w:bottom w:w="80" w:type="dxa"/>
              <w:left w:w="80" w:type="dxa"/>
              <w:right w:w="80" w:type="dxa"/>
            </w:tcMar>
          </w:tcPr>
          <w:p>
            <w:r>
              <w:rPr>
                <w:rFonts w:ascii="Times New Roman" w:hAnsi="Times New Roman"/>
                <w:b/>
                <w:color w:val="1E293B"/>
                <w:sz w:val="18"/>
              </w:rPr>
              <w:t>Phase 4: Comparative Trials</w:t>
            </w:r>
          </w:p>
        </w:tc>
        <w:tc>
          <w:tcPr>
            <w:tcW w:type="dxa" w:w="3888"/>
            <w:shd w:fill="F8FAFC"/>
            <w:tcMar>
              <w:top w:w="80" w:type="dxa"/>
              <w:bottom w:w="80" w:type="dxa"/>
              <w:left w:w="80" w:type="dxa"/>
              <w:right w:w="80" w:type="dxa"/>
            </w:tcMar>
          </w:tcPr>
          <w:p>
            <w:r>
              <w:rPr>
                <w:rFonts w:ascii="Times New Roman" w:hAnsi="Times New Roman"/>
                <w:color w:val="1E293B"/>
                <w:sz w:val="18"/>
              </w:rPr>
              <w:t>Execute multi-institutional experimental runs under alpha = 0.5 and alpha = 0.1 skews</w:t>
            </w:r>
          </w:p>
        </w:tc>
        <w:tc>
          <w:tcPr>
            <w:tcW w:type="dxa" w:w="1584"/>
            <w:shd w:fill="F8FAFC"/>
            <w:tcMar>
              <w:top w:w="80" w:type="dxa"/>
              <w:bottom w:w="80" w:type="dxa"/>
              <w:left w:w="80" w:type="dxa"/>
              <w:right w:w="80" w:type="dxa"/>
            </w:tcMar>
          </w:tcPr>
          <w:p>
            <w:r>
              <w:rPr>
                <w:rFonts w:ascii="Times New Roman" w:hAnsi="Times New Roman"/>
                <w:color w:val="1E293B"/>
                <w:sz w:val="18"/>
              </w:rPr>
              <w:t>Months 8 - 9</w:t>
            </w:r>
          </w:p>
        </w:tc>
        <w:tc>
          <w:tcPr>
            <w:tcW w:type="dxa" w:w="1728"/>
            <w:shd w:fill="F8FAFC"/>
            <w:tcMar>
              <w:top w:w="80" w:type="dxa"/>
              <w:bottom w:w="80" w:type="dxa"/>
              <w:left w:w="80" w:type="dxa"/>
              <w:right w:w="80" w:type="dxa"/>
            </w:tcMar>
          </w:tcPr>
          <w:p>
            <w:r>
              <w:rPr>
                <w:rFonts w:ascii="Times New Roman" w:hAnsi="Times New Roman"/>
                <w:color w:val="1E293B"/>
                <w:sz w:val="18"/>
              </w:rPr>
              <w:t>Experimental Data</w:t>
            </w:r>
          </w:p>
        </w:tc>
      </w:tr>
      <w:tr>
        <w:tc>
          <w:tcPr>
            <w:tcW w:type="dxa" w:w="2160"/>
            <w:shd w:fill="FFFFFF"/>
            <w:tcMar>
              <w:top w:w="80" w:type="dxa"/>
              <w:bottom w:w="80" w:type="dxa"/>
              <w:left w:w="80" w:type="dxa"/>
              <w:right w:w="80" w:type="dxa"/>
            </w:tcMar>
          </w:tcPr>
          <w:p>
            <w:r>
              <w:rPr>
                <w:rFonts w:ascii="Times New Roman" w:hAnsi="Times New Roman"/>
                <w:b/>
                <w:color w:val="1E293B"/>
                <w:sz w:val="18"/>
              </w:rPr>
              <w:t>Phase 5: Analysis &amp; Evaluation</w:t>
            </w:r>
          </w:p>
        </w:tc>
        <w:tc>
          <w:tcPr>
            <w:tcW w:type="dxa" w:w="3888"/>
            <w:shd w:fill="FFFFFF"/>
            <w:tcMar>
              <w:top w:w="80" w:type="dxa"/>
              <w:bottom w:w="80" w:type="dxa"/>
              <w:left w:w="80" w:type="dxa"/>
              <w:right w:w="80" w:type="dxa"/>
            </w:tcMar>
          </w:tcPr>
          <w:p>
            <w:r>
              <w:rPr>
                <w:rFonts w:ascii="Times New Roman" w:hAnsi="Times New Roman"/>
                <w:color w:val="1E293B"/>
                <w:sz w:val="18"/>
              </w:rPr>
              <w:t>Ablation studies, convergence trajectory plotting, statistical significance testing</w:t>
            </w:r>
          </w:p>
        </w:tc>
        <w:tc>
          <w:tcPr>
            <w:tcW w:type="dxa" w:w="1584"/>
            <w:shd w:fill="FFFFFF"/>
            <w:tcMar>
              <w:top w:w="80" w:type="dxa"/>
              <w:bottom w:w="80" w:type="dxa"/>
              <w:left w:w="80" w:type="dxa"/>
              <w:right w:w="80" w:type="dxa"/>
            </w:tcMar>
          </w:tcPr>
          <w:p>
            <w:r>
              <w:rPr>
                <w:rFonts w:ascii="Times New Roman" w:hAnsi="Times New Roman"/>
                <w:color w:val="1E293B"/>
                <w:sz w:val="18"/>
              </w:rPr>
              <w:t>Month 10</w:t>
            </w:r>
          </w:p>
        </w:tc>
        <w:tc>
          <w:tcPr>
            <w:tcW w:type="dxa" w:w="1728"/>
            <w:shd w:fill="FFFFFF"/>
            <w:tcMar>
              <w:top w:w="80" w:type="dxa"/>
              <w:bottom w:w="80" w:type="dxa"/>
              <w:left w:w="80" w:type="dxa"/>
              <w:right w:w="80" w:type="dxa"/>
            </w:tcMar>
          </w:tcPr>
          <w:p>
            <w:r>
              <w:rPr>
                <w:rFonts w:ascii="Times New Roman" w:hAnsi="Times New Roman"/>
                <w:color w:val="1E293B"/>
                <w:sz w:val="18"/>
              </w:rPr>
              <w:t>Results Finalized</w:t>
            </w:r>
          </w:p>
        </w:tc>
      </w:tr>
      <w:tr>
        <w:tc>
          <w:tcPr>
            <w:tcW w:type="dxa" w:w="2160"/>
            <w:shd w:fill="F8FAFC"/>
            <w:tcMar>
              <w:top w:w="80" w:type="dxa"/>
              <w:bottom w:w="80" w:type="dxa"/>
              <w:left w:w="80" w:type="dxa"/>
              <w:right w:w="80" w:type="dxa"/>
            </w:tcMar>
          </w:tcPr>
          <w:p>
            <w:r>
              <w:rPr>
                <w:rFonts w:ascii="Times New Roman" w:hAnsi="Times New Roman"/>
                <w:b/>
                <w:color w:val="1E293B"/>
                <w:sz w:val="18"/>
              </w:rPr>
              <w:t>Phase 6: Thesis Compilation</w:t>
            </w:r>
          </w:p>
        </w:tc>
        <w:tc>
          <w:tcPr>
            <w:tcW w:type="dxa" w:w="3888"/>
            <w:shd w:fill="F8FAFC"/>
            <w:tcMar>
              <w:top w:w="80" w:type="dxa"/>
              <w:bottom w:w="80" w:type="dxa"/>
              <w:left w:w="80" w:type="dxa"/>
              <w:right w:w="80" w:type="dxa"/>
            </w:tcMar>
          </w:tcPr>
          <w:p>
            <w:r>
              <w:rPr>
                <w:rFonts w:ascii="Times New Roman" w:hAnsi="Times New Roman"/>
                <w:color w:val="1E293B"/>
                <w:sz w:val="18"/>
              </w:rPr>
              <w:t>Complete thesis writing, paper publication submission, final defense preparation</w:t>
            </w:r>
          </w:p>
        </w:tc>
        <w:tc>
          <w:tcPr>
            <w:tcW w:type="dxa" w:w="1584"/>
            <w:shd w:fill="F8FAFC"/>
            <w:tcMar>
              <w:top w:w="80" w:type="dxa"/>
              <w:bottom w:w="80" w:type="dxa"/>
              <w:left w:w="80" w:type="dxa"/>
              <w:right w:w="80" w:type="dxa"/>
            </w:tcMar>
          </w:tcPr>
          <w:p>
            <w:r>
              <w:rPr>
                <w:rFonts w:ascii="Times New Roman" w:hAnsi="Times New Roman"/>
                <w:color w:val="1E293B"/>
                <w:sz w:val="18"/>
              </w:rPr>
              <w:t>Months 11 - 12</w:t>
            </w:r>
          </w:p>
        </w:tc>
        <w:tc>
          <w:tcPr>
            <w:tcW w:type="dxa" w:w="1728"/>
            <w:shd w:fill="F8FAFC"/>
            <w:tcMar>
              <w:top w:w="80" w:type="dxa"/>
              <w:bottom w:w="80" w:type="dxa"/>
              <w:left w:w="80" w:type="dxa"/>
              <w:right w:w="80" w:type="dxa"/>
            </w:tcMar>
          </w:tcPr>
          <w:p>
            <w:r>
              <w:rPr>
                <w:rFonts w:ascii="Times New Roman" w:hAnsi="Times New Roman"/>
                <w:color w:val="1E293B"/>
                <w:sz w:val="18"/>
              </w:rPr>
              <w:t>Thesis &amp; Defense</w:t>
            </w:r>
          </w:p>
        </w:tc>
      </w:tr>
    </w:tbl>
    <w:p>
      <w:pPr>
        <w:spacing w:before="80" w:after="240"/>
        <w:jc w:val="center"/>
      </w:pPr>
      <w:r>
        <w:rPr>
          <w:rFonts w:ascii="Times New Roman" w:hAnsi="Times New Roman"/>
          <w:b/>
          <w:i/>
          <w:color w:val="475569"/>
          <w:sz w:val="21"/>
        </w:rPr>
        <w:t>Table 3.4: Project Implementation Schedule &amp; Phase Milestones (Gantt Chart)</w:t>
      </w:r>
    </w:p>
    <w:p>
      <w:pPr>
        <w:keepNext/>
        <w:spacing w:before="240" w:after="80"/>
      </w:pPr>
      <w:r>
        <w:rPr>
          <w:rFonts w:ascii="Times New Roman" w:hAnsi="Times New Roman"/>
          <w:b/>
          <w:color w:val="1E3A8A"/>
          <w:sz w:val="28"/>
        </w:rPr>
        <w:t>3.14 Hardware &amp; Software Infrastructure Specifications</w:t>
      </w:r>
    </w:p>
    <w:p>
      <w:pPr>
        <w:spacing w:after="120" w:line="300" w:lineRule="auto"/>
      </w:pPr>
      <w:r>
        <w:rPr>
          <w:rFonts w:ascii="Times New Roman" w:hAnsi="Times New Roman"/>
          <w:i w:val="0"/>
          <w:color w:val="1E293B"/>
          <w:sz w:val="24"/>
        </w:rPr>
        <w:t>Table 3.5 outlines the dedicated hardware computation environment and software libraries utilized to conduct all experimental simulations:</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120"/>
        <w:gridCol w:w="3120"/>
        <w:gridCol w:w="3120"/>
      </w:tblGrid>
      <w:tr>
        <w:tc>
          <w:tcPr>
            <w:tcW w:type="dxa" w:w="2592"/>
            <w:shd w:fill="1E3A8A"/>
          </w:tcPr>
          <w:p>
            <w:r>
              <w:rPr>
                <w:rFonts w:ascii="Times New Roman" w:hAnsi="Times New Roman"/>
                <w:b/>
                <w:color w:val="FFFFFF"/>
                <w:sz w:val="19"/>
              </w:rPr>
              <w:t>Component Category</w:t>
            </w:r>
          </w:p>
        </w:tc>
        <w:tc>
          <w:tcPr>
            <w:tcW w:type="dxa" w:w="3168"/>
            <w:shd w:fill="1E3A8A"/>
          </w:tcPr>
          <w:p>
            <w:r>
              <w:rPr>
                <w:rFonts w:ascii="Times New Roman" w:hAnsi="Times New Roman"/>
                <w:b/>
                <w:color w:val="FFFFFF"/>
                <w:sz w:val="19"/>
              </w:rPr>
              <w:t>System Specification / Software Tool</w:t>
            </w:r>
          </w:p>
        </w:tc>
        <w:tc>
          <w:tcPr>
            <w:tcW w:type="dxa" w:w="3600"/>
            <w:shd w:fill="1E3A8A"/>
          </w:tcPr>
          <w:p>
            <w:r>
              <w:rPr>
                <w:rFonts w:ascii="Times New Roman" w:hAnsi="Times New Roman"/>
                <w:b/>
                <w:color w:val="FFFFFF"/>
                <w:sz w:val="19"/>
              </w:rPr>
              <w:t>Role &amp; Functionality in Experimentation</w:t>
            </w:r>
          </w:p>
        </w:tc>
      </w:tr>
      <w:tr>
        <w:tc>
          <w:tcPr>
            <w:tcW w:type="dxa" w:w="2592"/>
            <w:shd w:fill="FFFFFF"/>
            <w:tcMar>
              <w:top w:w="80" w:type="dxa"/>
              <w:bottom w:w="80" w:type="dxa"/>
              <w:left w:w="80" w:type="dxa"/>
              <w:right w:w="80" w:type="dxa"/>
            </w:tcMar>
          </w:tcPr>
          <w:p>
            <w:r>
              <w:rPr>
                <w:rFonts w:ascii="Times New Roman" w:hAnsi="Times New Roman"/>
                <w:b/>
                <w:color w:val="1E293B"/>
                <w:sz w:val="18"/>
              </w:rPr>
              <w:t>GPU Workstation</w:t>
            </w:r>
          </w:p>
        </w:tc>
        <w:tc>
          <w:tcPr>
            <w:tcW w:type="dxa" w:w="3168"/>
            <w:shd w:fill="FFFFFF"/>
            <w:tcMar>
              <w:top w:w="80" w:type="dxa"/>
              <w:bottom w:w="80" w:type="dxa"/>
              <w:left w:w="80" w:type="dxa"/>
              <w:right w:w="80" w:type="dxa"/>
            </w:tcMar>
          </w:tcPr>
          <w:p>
            <w:r>
              <w:rPr>
                <w:rFonts w:ascii="Times New Roman" w:hAnsi="Times New Roman"/>
                <w:color w:val="1E293B"/>
                <w:sz w:val="18"/>
              </w:rPr>
              <w:t>NVIDIA RTX 4090 (24GB VRAM)</w:t>
            </w:r>
          </w:p>
        </w:tc>
        <w:tc>
          <w:tcPr>
            <w:tcW w:type="dxa" w:w="3600"/>
            <w:shd w:fill="FFFFFF"/>
            <w:tcMar>
              <w:top w:w="80" w:type="dxa"/>
              <w:bottom w:w="80" w:type="dxa"/>
              <w:left w:w="80" w:type="dxa"/>
              <w:right w:w="80" w:type="dxa"/>
            </w:tcMar>
          </w:tcPr>
          <w:p>
            <w:r>
              <w:rPr>
                <w:rFonts w:ascii="Times New Roman" w:hAnsi="Times New Roman"/>
                <w:color w:val="1E293B"/>
                <w:sz w:val="18"/>
              </w:rPr>
              <w:t>High-speed deep neural network local training &amp; feature extraction</w:t>
            </w:r>
          </w:p>
        </w:tc>
      </w:tr>
      <w:tr>
        <w:tc>
          <w:tcPr>
            <w:tcW w:type="dxa" w:w="2592"/>
            <w:shd w:fill="F8FAFC"/>
            <w:tcMar>
              <w:top w:w="80" w:type="dxa"/>
              <w:bottom w:w="80" w:type="dxa"/>
              <w:left w:w="80" w:type="dxa"/>
              <w:right w:w="80" w:type="dxa"/>
            </w:tcMar>
          </w:tcPr>
          <w:p>
            <w:r>
              <w:rPr>
                <w:rFonts w:ascii="Times New Roman" w:hAnsi="Times New Roman"/>
                <w:b/>
                <w:color w:val="1E293B"/>
                <w:sz w:val="18"/>
              </w:rPr>
              <w:t>Host CPU &amp; RAM</w:t>
            </w:r>
          </w:p>
        </w:tc>
        <w:tc>
          <w:tcPr>
            <w:tcW w:type="dxa" w:w="3168"/>
            <w:shd w:fill="F8FAFC"/>
            <w:tcMar>
              <w:top w:w="80" w:type="dxa"/>
              <w:bottom w:w="80" w:type="dxa"/>
              <w:left w:w="80" w:type="dxa"/>
              <w:right w:w="80" w:type="dxa"/>
            </w:tcMar>
          </w:tcPr>
          <w:p>
            <w:r>
              <w:rPr>
                <w:rFonts w:ascii="Times New Roman" w:hAnsi="Times New Roman"/>
                <w:color w:val="1E293B"/>
                <w:sz w:val="18"/>
              </w:rPr>
              <w:t>Intel Core i9-13900K (24 cores), 64GB DDR5 RAM</w:t>
            </w:r>
          </w:p>
        </w:tc>
        <w:tc>
          <w:tcPr>
            <w:tcW w:type="dxa" w:w="3600"/>
            <w:shd w:fill="F8FAFC"/>
            <w:tcMar>
              <w:top w:w="80" w:type="dxa"/>
              <w:bottom w:w="80" w:type="dxa"/>
              <w:left w:w="80" w:type="dxa"/>
              <w:right w:w="80" w:type="dxa"/>
            </w:tcMar>
          </w:tcPr>
          <w:p>
            <w:r>
              <w:rPr>
                <w:rFonts w:ascii="Times New Roman" w:hAnsi="Times New Roman"/>
                <w:color w:val="1E293B"/>
                <w:sz w:val="18"/>
              </w:rPr>
              <w:t>Simulated client process orchestration &amp; multi-threading</w:t>
            </w:r>
          </w:p>
        </w:tc>
      </w:tr>
      <w:tr>
        <w:tc>
          <w:tcPr>
            <w:tcW w:type="dxa" w:w="2592"/>
            <w:shd w:fill="FFFFFF"/>
            <w:tcMar>
              <w:top w:w="80" w:type="dxa"/>
              <w:bottom w:w="80" w:type="dxa"/>
              <w:left w:w="80" w:type="dxa"/>
              <w:right w:w="80" w:type="dxa"/>
            </w:tcMar>
          </w:tcPr>
          <w:p>
            <w:r>
              <w:rPr>
                <w:rFonts w:ascii="Times New Roman" w:hAnsi="Times New Roman"/>
                <w:b/>
                <w:color w:val="1E293B"/>
                <w:sz w:val="18"/>
              </w:rPr>
              <w:t>Deep Learning Framework</w:t>
            </w:r>
          </w:p>
        </w:tc>
        <w:tc>
          <w:tcPr>
            <w:tcW w:type="dxa" w:w="3168"/>
            <w:shd w:fill="FFFFFF"/>
            <w:tcMar>
              <w:top w:w="80" w:type="dxa"/>
              <w:bottom w:w="80" w:type="dxa"/>
              <w:left w:w="80" w:type="dxa"/>
              <w:right w:w="80" w:type="dxa"/>
            </w:tcMar>
          </w:tcPr>
          <w:p>
            <w:r>
              <w:rPr>
                <w:rFonts w:ascii="Times New Roman" w:hAnsi="Times New Roman"/>
                <w:color w:val="1E293B"/>
                <w:sz w:val="18"/>
              </w:rPr>
              <w:t>PyTorch 2.2 + PyTorch Lightning</w:t>
            </w:r>
          </w:p>
        </w:tc>
        <w:tc>
          <w:tcPr>
            <w:tcW w:type="dxa" w:w="3600"/>
            <w:shd w:fill="FFFFFF"/>
            <w:tcMar>
              <w:top w:w="80" w:type="dxa"/>
              <w:bottom w:w="80" w:type="dxa"/>
              <w:left w:w="80" w:type="dxa"/>
              <w:right w:w="80" w:type="dxa"/>
            </w:tcMar>
          </w:tcPr>
          <w:p>
            <w:r>
              <w:rPr>
                <w:rFonts w:ascii="Times New Roman" w:hAnsi="Times New Roman"/>
                <w:color w:val="1E293B"/>
                <w:sz w:val="18"/>
              </w:rPr>
              <w:t>Model architecture definition, forward/backward passes, GPU acceleration</w:t>
            </w:r>
          </w:p>
        </w:tc>
      </w:tr>
      <w:tr>
        <w:tc>
          <w:tcPr>
            <w:tcW w:type="dxa" w:w="2592"/>
            <w:shd w:fill="F8FAFC"/>
            <w:tcMar>
              <w:top w:w="80" w:type="dxa"/>
              <w:bottom w:w="80" w:type="dxa"/>
              <w:left w:w="80" w:type="dxa"/>
              <w:right w:w="80" w:type="dxa"/>
            </w:tcMar>
          </w:tcPr>
          <w:p>
            <w:r>
              <w:rPr>
                <w:rFonts w:ascii="Times New Roman" w:hAnsi="Times New Roman"/>
                <w:b/>
                <w:color w:val="1E293B"/>
                <w:sz w:val="18"/>
              </w:rPr>
              <w:t>Federated Framework</w:t>
            </w:r>
          </w:p>
        </w:tc>
        <w:tc>
          <w:tcPr>
            <w:tcW w:type="dxa" w:w="3168"/>
            <w:shd w:fill="F8FAFC"/>
            <w:tcMar>
              <w:top w:w="80" w:type="dxa"/>
              <w:bottom w:w="80" w:type="dxa"/>
              <w:left w:w="80" w:type="dxa"/>
              <w:right w:w="80" w:type="dxa"/>
            </w:tcMar>
          </w:tcPr>
          <w:p>
            <w:r>
              <w:rPr>
                <w:rFonts w:ascii="Times New Roman" w:hAnsi="Times New Roman"/>
                <w:color w:val="1E293B"/>
                <w:sz w:val="18"/>
              </w:rPr>
              <w:t>Flower (flwr 1.7) / PySyft</w:t>
            </w:r>
          </w:p>
        </w:tc>
        <w:tc>
          <w:tcPr>
            <w:tcW w:type="dxa" w:w="3600"/>
            <w:shd w:fill="F8FAFC"/>
            <w:tcMar>
              <w:top w:w="80" w:type="dxa"/>
              <w:bottom w:w="80" w:type="dxa"/>
              <w:left w:w="80" w:type="dxa"/>
              <w:right w:w="80" w:type="dxa"/>
            </w:tcMar>
          </w:tcPr>
          <w:p>
            <w:r>
              <w:rPr>
                <w:rFonts w:ascii="Times New Roman" w:hAnsi="Times New Roman"/>
                <w:color w:val="1E293B"/>
                <w:sz w:val="18"/>
              </w:rPr>
              <w:t>Decentralized client simulation and custom gRPC server aggregation strategies</w:t>
            </w:r>
          </w:p>
        </w:tc>
      </w:tr>
      <w:tr>
        <w:tc>
          <w:tcPr>
            <w:tcW w:type="dxa" w:w="2592"/>
            <w:shd w:fill="FFFFFF"/>
            <w:tcMar>
              <w:top w:w="80" w:type="dxa"/>
              <w:bottom w:w="80" w:type="dxa"/>
              <w:left w:w="80" w:type="dxa"/>
              <w:right w:w="80" w:type="dxa"/>
            </w:tcMar>
          </w:tcPr>
          <w:p>
            <w:r>
              <w:rPr>
                <w:rFonts w:ascii="Times New Roman" w:hAnsi="Times New Roman"/>
                <w:b/>
                <w:color w:val="1E293B"/>
                <w:sz w:val="18"/>
              </w:rPr>
              <w:t>Image Processing</w:t>
            </w:r>
          </w:p>
        </w:tc>
        <w:tc>
          <w:tcPr>
            <w:tcW w:type="dxa" w:w="3168"/>
            <w:shd w:fill="FFFFFF"/>
            <w:tcMar>
              <w:top w:w="80" w:type="dxa"/>
              <w:bottom w:w="80" w:type="dxa"/>
              <w:left w:w="80" w:type="dxa"/>
              <w:right w:w="80" w:type="dxa"/>
            </w:tcMar>
          </w:tcPr>
          <w:p>
            <w:r>
              <w:rPr>
                <w:rFonts w:ascii="Times New Roman" w:hAnsi="Times New Roman"/>
                <w:color w:val="1E293B"/>
                <w:sz w:val="18"/>
              </w:rPr>
              <w:t>Torchvision, Albumentations, OpenCV</w:t>
            </w:r>
          </w:p>
        </w:tc>
        <w:tc>
          <w:tcPr>
            <w:tcW w:type="dxa" w:w="3600"/>
            <w:shd w:fill="FFFFFF"/>
            <w:tcMar>
              <w:top w:w="80" w:type="dxa"/>
              <w:bottom w:w="80" w:type="dxa"/>
              <w:left w:w="80" w:type="dxa"/>
              <w:right w:w="80" w:type="dxa"/>
            </w:tcMar>
          </w:tcPr>
          <w:p>
            <w:r>
              <w:rPr>
                <w:rFonts w:ascii="Times New Roman" w:hAnsi="Times New Roman"/>
                <w:color w:val="1E293B"/>
                <w:sz w:val="18"/>
              </w:rPr>
              <w:t>DICOM ingestion, image resizing, augmentations, normalization</w:t>
            </w:r>
          </w:p>
        </w:tc>
      </w:tr>
      <w:tr>
        <w:tc>
          <w:tcPr>
            <w:tcW w:type="dxa" w:w="2592"/>
            <w:shd w:fill="F8FAFC"/>
            <w:tcMar>
              <w:top w:w="80" w:type="dxa"/>
              <w:bottom w:w="80" w:type="dxa"/>
              <w:left w:w="80" w:type="dxa"/>
              <w:right w:w="80" w:type="dxa"/>
            </w:tcMar>
          </w:tcPr>
          <w:p>
            <w:r>
              <w:rPr>
                <w:rFonts w:ascii="Times New Roman" w:hAnsi="Times New Roman"/>
                <w:b/>
                <w:color w:val="1E293B"/>
                <w:sz w:val="18"/>
              </w:rPr>
              <w:t>Statistical Analysis</w:t>
            </w:r>
          </w:p>
        </w:tc>
        <w:tc>
          <w:tcPr>
            <w:tcW w:type="dxa" w:w="3168"/>
            <w:shd w:fill="F8FAFC"/>
            <w:tcMar>
              <w:top w:w="80" w:type="dxa"/>
              <w:bottom w:w="80" w:type="dxa"/>
              <w:left w:w="80" w:type="dxa"/>
              <w:right w:w="80" w:type="dxa"/>
            </w:tcMar>
          </w:tcPr>
          <w:p>
            <w:r>
              <w:rPr>
                <w:rFonts w:ascii="Times New Roman" w:hAnsi="Times New Roman"/>
                <w:color w:val="1E293B"/>
                <w:sz w:val="18"/>
              </w:rPr>
              <w:t>SciPy, NumPy, scikit-learn, Matplotlib</w:t>
            </w:r>
          </w:p>
        </w:tc>
        <w:tc>
          <w:tcPr>
            <w:tcW w:type="dxa" w:w="3600"/>
            <w:shd w:fill="F8FAFC"/>
            <w:tcMar>
              <w:top w:w="80" w:type="dxa"/>
              <w:bottom w:w="80" w:type="dxa"/>
              <w:left w:w="80" w:type="dxa"/>
              <w:right w:w="80" w:type="dxa"/>
            </w:tcMar>
          </w:tcPr>
          <w:p>
            <w:r>
              <w:rPr>
                <w:rFonts w:ascii="Times New Roman" w:hAnsi="Times New Roman"/>
                <w:color w:val="1E293B"/>
                <w:sz w:val="18"/>
              </w:rPr>
              <w:t>JSD computation, metrics evaluation, ROC curve plotting</w:t>
            </w:r>
          </w:p>
        </w:tc>
      </w:tr>
    </w:tbl>
    <w:p>
      <w:pPr>
        <w:spacing w:before="80" w:after="240"/>
        <w:jc w:val="center"/>
      </w:pPr>
      <w:r>
        <w:rPr>
          <w:rFonts w:ascii="Times New Roman" w:hAnsi="Times New Roman"/>
          <w:b/>
          <w:i/>
          <w:color w:val="475569"/>
          <w:sz w:val="21"/>
        </w:rPr>
        <w:t>Table 3.5: Hardware and Software Infrastructure Specifications</w:t>
      </w:r>
    </w:p>
    <w:p>
      <w:pPr>
        <w:keepNext/>
        <w:spacing w:before="240" w:after="80"/>
      </w:pPr>
      <w:r>
        <w:rPr>
          <w:rFonts w:ascii="Times New Roman" w:hAnsi="Times New Roman"/>
          <w:b/>
          <w:color w:val="1E3A8A"/>
          <w:sz w:val="28"/>
        </w:rPr>
        <w:t>3.15 Ethical Considerations, Data Governance, &amp; Privacy Protection</w:t>
      </w:r>
    </w:p>
    <w:p>
      <w:pPr>
        <w:spacing w:after="120" w:line="300" w:lineRule="auto"/>
      </w:pPr>
      <w:r>
        <w:rPr>
          <w:rFonts w:ascii="Times New Roman" w:hAnsi="Times New Roman"/>
          <w:i w:val="0"/>
          <w:color w:val="1E293B"/>
          <w:sz w:val="24"/>
        </w:rPr>
        <w:t>This study exclusively utilizes fully anonymized, publicly accessible benchmark clinical imaging repositories (NIH ChestX-ray14, NCT-CRC-HE-100K). All patient identifying metadata (names, institutional medical record numbers, dates of birth) have been scrubbed prior to public dataset distribution. The experimental protocol strictly adheres to HIPAA privacy regulations and institutional review board (IRB) ethical guidelines for secondary medical data research.</w:t>
      </w:r>
    </w:p>
    <w:p>
      <w:r>
        <w:br w:type="page"/>
      </w:r>
    </w:p>
    <w:p>
      <w:pPr>
        <w:keepNext/>
        <w:spacing w:before="280" w:after="120"/>
      </w:pPr>
      <w:r>
        <w:rPr>
          <w:rFonts w:ascii="Times New Roman" w:hAnsi="Times New Roman"/>
          <w:b/>
          <w:color w:val="0F172A"/>
          <w:sz w:val="32"/>
        </w:rPr>
        <w:t>REFERENCES</w:t>
      </w:r>
    </w:p>
    <w:p>
      <w:pPr>
        <w:spacing w:after="120" w:line="276" w:lineRule="auto"/>
        <w:ind w:left="720" w:hanging="720"/>
      </w:pPr>
      <w:r>
        <w:rPr>
          <w:rFonts w:ascii="Times New Roman" w:hAnsi="Times New Roman"/>
          <w:color w:val="1E293B"/>
          <w:sz w:val="22"/>
        </w:rPr>
        <w:t>Acar, D. A. E., Ghazal, A., Matas, J., Wang, T., &amp; Saligrama, V. (2021). Federated learning based on dynamic regularization. Proceedings of the International Conference on Learning Representations (ICLR).</w:t>
      </w:r>
    </w:p>
    <w:p>
      <w:pPr>
        <w:spacing w:after="120" w:line="276" w:lineRule="auto"/>
        <w:ind w:left="720" w:hanging="720"/>
      </w:pPr>
      <w:r>
        <w:rPr>
          <w:rFonts w:ascii="Times New Roman" w:hAnsi="Times New Roman"/>
          <w:color w:val="1E293B"/>
          <w:sz w:val="22"/>
        </w:rPr>
        <w:t>He, K., Zhang, X., Ren, S., &amp; Sun, J. (2016). Deep residual learning for image recognition. Proceedings of the IEEE Conference on Computer Vision and Pattern Recognition (CVPR), 770–778.</w:t>
      </w:r>
    </w:p>
    <w:p>
      <w:pPr>
        <w:spacing w:after="120" w:line="276" w:lineRule="auto"/>
        <w:ind w:left="720" w:hanging="720"/>
      </w:pPr>
      <w:r>
        <w:rPr>
          <w:rFonts w:ascii="Times New Roman" w:hAnsi="Times New Roman"/>
          <w:color w:val="1E293B"/>
          <w:sz w:val="22"/>
        </w:rPr>
        <w:t>Huang, G., Liu, Z., Van Der Maaten, L., &amp; Weinberger, K. Q. (2017). Densely connected convolutional networks. Proceedings of the IEEE Conference on Computer Vision and Pattern Recognition (CVPR), 4700–4708.</w:t>
      </w:r>
    </w:p>
    <w:p>
      <w:pPr>
        <w:spacing w:after="120" w:line="276" w:lineRule="auto"/>
        <w:ind w:left="720" w:hanging="720"/>
      </w:pPr>
      <w:r>
        <w:rPr>
          <w:rFonts w:ascii="Times New Roman" w:hAnsi="Times New Roman"/>
          <w:color w:val="1E293B"/>
          <w:sz w:val="22"/>
        </w:rPr>
        <w:t>Kairouz, P., McMahan, H. B., Avent, B., Bellet, A., Bennis, M., Bhagoji, A. N., ... &amp; Zhao, S. (2021). Advances and open problems in federated learning. Foundations and Trends in Machine Learning, 14(1–2), 1–210.</w:t>
      </w:r>
    </w:p>
    <w:p>
      <w:pPr>
        <w:spacing w:after="120" w:line="276" w:lineRule="auto"/>
        <w:ind w:left="720" w:hanging="720"/>
      </w:pPr>
      <w:r>
        <w:rPr>
          <w:rFonts w:ascii="Times New Roman" w:hAnsi="Times New Roman"/>
          <w:color w:val="1E293B"/>
          <w:sz w:val="22"/>
        </w:rPr>
        <w:t>Karimireddy, S. P., Kale, S., Mohri, M., Reddi, S., Stich, S., &amp; Suresh, A. T. (2020). SCAFFOLD: Stochastic controlled averaging for federated learning. International Conference on Machine Learning (ICML), 5132–5143.</w:t>
      </w:r>
    </w:p>
    <w:p>
      <w:pPr>
        <w:spacing w:after="120" w:line="276" w:lineRule="auto"/>
        <w:ind w:left="720" w:hanging="720"/>
      </w:pPr>
      <w:r>
        <w:rPr>
          <w:rFonts w:ascii="Times New Roman" w:hAnsi="Times New Roman"/>
          <w:color w:val="1E293B"/>
          <w:sz w:val="22"/>
        </w:rPr>
        <w:t>Li, T., Sahu, A. K., Zaheer, M., Sanjabi, M., Talwalkar, A., &amp; Smith, V. (2020). Federated optimization in heterogeneous networks. Proceedings of Machine Learning and Systems (MLSys), 2, 429–450.</w:t>
      </w:r>
    </w:p>
    <w:p>
      <w:pPr>
        <w:spacing w:after="120" w:line="276" w:lineRule="auto"/>
        <w:ind w:left="720" w:hanging="720"/>
      </w:pPr>
      <w:r>
        <w:rPr>
          <w:rFonts w:ascii="Times New Roman" w:hAnsi="Times New Roman"/>
          <w:color w:val="1E293B"/>
          <w:sz w:val="22"/>
        </w:rPr>
        <w:t>Li, X., Cheung, K. C., Ren, Y., Wang, X., &amp; Zhang, Q. (2021). Model-contrastive federated learning. Proceedings of the IEEE/CVF Conference on Computer Vision and Pattern Recognition (CVPR), 10713–10722.</w:t>
      </w:r>
    </w:p>
    <w:p>
      <w:pPr>
        <w:spacing w:after="120" w:line="276" w:lineRule="auto"/>
        <w:ind w:left="720" w:hanging="720"/>
      </w:pPr>
      <w:r>
        <w:rPr>
          <w:rFonts w:ascii="Times New Roman" w:hAnsi="Times New Roman"/>
          <w:color w:val="1E293B"/>
          <w:sz w:val="22"/>
        </w:rPr>
        <w:t>McMahan, B., Moore, E., Ramage, D., Hampson, S., &amp; y Arcas, B. A. (2017). Communication-efficient learning of deep networks from decentralized data. Artificial Intelligence and Statistics (AISTATS), 1273–1282.</w:t>
      </w:r>
    </w:p>
    <w:p>
      <w:pPr>
        <w:spacing w:after="120" w:line="276" w:lineRule="auto"/>
        <w:ind w:left="720" w:hanging="720"/>
      </w:pPr>
      <w:r>
        <w:rPr>
          <w:rFonts w:ascii="Times New Roman" w:hAnsi="Times New Roman"/>
          <w:color w:val="1E293B"/>
          <w:sz w:val="22"/>
        </w:rPr>
        <w:t>Rieke, N., Hancox, J., Li, W., Milletari, F., Roth, H. R., Albarqouni, S., ... &amp; Cardoso, M. J. (2020). The future of digital health with federated learning. NPJ Digital Medicine, 3(1), 119.</w:t>
      </w:r>
    </w:p>
    <w:p>
      <w:pPr>
        <w:spacing w:after="120" w:line="276" w:lineRule="auto"/>
        <w:ind w:left="720" w:hanging="720"/>
      </w:pPr>
      <w:r>
        <w:rPr>
          <w:rFonts w:ascii="Times New Roman" w:hAnsi="Times New Roman"/>
          <w:color w:val="1E293B"/>
          <w:sz w:val="22"/>
        </w:rPr>
        <w:t>Wang, J., Liu, Q., Liang, H., Joshi, G., &amp; Poor, H. V. (2020). Tackling the objective inconsistency problem in heterogeneous federated optimization. Advances in Neural Information Processing Systems (NeurIPS), 33, 7611–7623.</w:t>
      </w:r>
    </w:p>
    <w:p>
      <w:pPr>
        <w:spacing w:after="120" w:line="276" w:lineRule="auto"/>
        <w:ind w:left="720" w:hanging="720"/>
      </w:pPr>
      <w:r>
        <w:rPr>
          <w:rFonts w:ascii="Times New Roman" w:hAnsi="Times New Roman"/>
          <w:color w:val="1E293B"/>
          <w:sz w:val="22"/>
        </w:rPr>
        <w:t>Zhao, Y., Li, M., Lai, L., Suda, N., Civin, D., &amp; Chandra, V. (2018). Federated learning with non-iid data. arXiv preprint arXiv:1806.00582.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