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69C" w:rsidRDefault="001D39A1">
      <w:pPr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</w:rPr>
        <w:t xml:space="preserve">Chlorophyll-a and Turbidity Sample Analysis Protocol </w:t>
      </w:r>
    </w:p>
    <w:p w:rsidR="00D5569C" w:rsidRDefault="00D5569C">
      <w:pPr>
        <w:rPr>
          <w:sz w:val="24"/>
          <w:szCs w:val="24"/>
          <w:vertAlign w:val="subscript"/>
        </w:rPr>
      </w:pPr>
    </w:p>
    <w:p w:rsidR="00D5569C" w:rsidRDefault="001D39A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Equipment and supplies</w:t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396"/>
        <w:rPr>
          <w:b/>
          <w:color w:val="000000"/>
          <w:sz w:val="24"/>
          <w:szCs w:val="24"/>
        </w:rPr>
      </w:pP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Turner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handheld fluorometer/ turbidimeter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Turner Rhodamine Standard (400 ppb, 60 </w:t>
      </w:r>
      <w:proofErr w:type="spellStart"/>
      <w:r>
        <w:rPr>
          <w:sz w:val="24"/>
          <w:szCs w:val="24"/>
        </w:rPr>
        <w:t>μg</w:t>
      </w:r>
      <w:proofErr w:type="spellEnd"/>
      <w:r>
        <w:rPr>
          <w:sz w:val="24"/>
          <w:szCs w:val="24"/>
        </w:rPr>
        <w:t xml:space="preserve">/L </w:t>
      </w:r>
      <w:proofErr w:type="spellStart"/>
      <w:r>
        <w:rPr>
          <w:sz w:val="24"/>
          <w:szCs w:val="24"/>
        </w:rPr>
        <w:t>Chla</w:t>
      </w:r>
      <w:proofErr w:type="spellEnd"/>
      <w:r>
        <w:rPr>
          <w:sz w:val="24"/>
          <w:szCs w:val="24"/>
        </w:rPr>
        <w:t xml:space="preserve"> equivalency, PN 6500-120)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AMCO 10 and 100 NTU Turbidity Standards (Thomas Scientific PN: C841E93/5)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Turner Secondary Solid Standard (PN: 8000-952)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Turner 12mm Test Tube Adapter (PN: 8000-932)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VWR® 12mm Culture Tubes, Disposable, Borosilicate Glass (PN: 47729-570)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4 AAA batteries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>mL Transfer pipettes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KimWipes</w:t>
      </w:r>
      <w:proofErr w:type="spellEnd"/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Nitrile gloves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De-ionized (DI) water</w:t>
      </w:r>
    </w:p>
    <w:p w:rsidR="00D5569C" w:rsidRDefault="001D39A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 Transfer Cable (PN: 21-0850)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Datasheets and Software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Analysis Sheet (physical paper sheet)</w:t>
      </w:r>
    </w:p>
    <w:p w:rsidR="00D5569C" w:rsidRDefault="001D39A1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Data Sheet Template</w:t>
      </w:r>
    </w:p>
    <w:p w:rsidR="00D5569C" w:rsidRDefault="001D39A1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Performance Data Sheet</w:t>
      </w:r>
    </w:p>
    <w:p w:rsidR="00D5569C" w:rsidRDefault="001D39A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Survey </w:t>
      </w:r>
      <w:proofErr w:type="spellStart"/>
      <w:r>
        <w:rPr>
          <w:sz w:val="24"/>
          <w:szCs w:val="24"/>
        </w:rPr>
        <w:t>Logsheet</w:t>
      </w:r>
      <w:proofErr w:type="spellEnd"/>
      <w:r>
        <w:rPr>
          <w:sz w:val="24"/>
          <w:szCs w:val="24"/>
        </w:rPr>
        <w:t xml:space="preserve"> (physical paper sheet)</w:t>
      </w:r>
    </w:p>
    <w:p w:rsidR="00D5569C" w:rsidRDefault="001D39A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Spreadsheet Interface Software (provided USB)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Additional Resources</w:t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:rsidR="00D5569C" w:rsidRDefault="001D39A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Turner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Manual</w:t>
      </w:r>
      <w:r>
        <w:rPr>
          <w:sz w:val="24"/>
          <w:szCs w:val="24"/>
        </w:rPr>
        <w:t xml:space="preserve">: </w:t>
      </w:r>
      <w:hyperlink r:id="rId8">
        <w:r>
          <w:rPr>
            <w:color w:val="1155CC"/>
            <w:sz w:val="24"/>
            <w:szCs w:val="24"/>
            <w:u w:val="single"/>
          </w:rPr>
          <w:t>https://docs.turnerdesigns.com/t2/doc/manuals</w:t>
        </w:r>
        <w:r>
          <w:rPr>
            <w:color w:val="1155CC"/>
            <w:sz w:val="24"/>
            <w:szCs w:val="24"/>
            <w:u w:val="single"/>
          </w:rPr>
          <w:t>/998-7210.pdf</w:t>
        </w:r>
      </w:hyperlink>
    </w:p>
    <w:p w:rsidR="00D5569C" w:rsidRDefault="001D39A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Turner Quick Start Guide</w:t>
      </w:r>
      <w:r>
        <w:rPr>
          <w:sz w:val="24"/>
          <w:szCs w:val="24"/>
        </w:rPr>
        <w:t xml:space="preserve">: </w:t>
      </w:r>
      <w:hyperlink r:id="rId9">
        <w:r>
          <w:rPr>
            <w:color w:val="0000FF"/>
            <w:sz w:val="24"/>
            <w:szCs w:val="24"/>
            <w:u w:val="single"/>
          </w:rPr>
          <w:t>https://docs.turnerdesigns.com/t2/doc/manuals/998-0879.pdf</w:t>
        </w:r>
      </w:hyperlink>
    </w:p>
    <w:p w:rsidR="00D5569C" w:rsidRDefault="001D39A1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Spreadsheet Interface Software Manual:</w:t>
      </w:r>
    </w:p>
    <w:p w:rsidR="00D5569C" w:rsidRDefault="001D39A1">
      <w:pPr>
        <w:ind w:left="720"/>
        <w:rPr>
          <w:b/>
          <w:sz w:val="24"/>
          <w:szCs w:val="24"/>
        </w:rPr>
      </w:pPr>
      <w:hyperlink r:id="rId10">
        <w:r>
          <w:rPr>
            <w:b/>
            <w:color w:val="1155CC"/>
            <w:sz w:val="24"/>
            <w:szCs w:val="24"/>
            <w:u w:val="single"/>
          </w:rPr>
          <w:t>https://docs.turnerdesigns.com/t2/doc/instructions/998-0920.pdf</w:t>
        </w:r>
      </w:hyperlink>
    </w:p>
    <w:p w:rsidR="00D5569C" w:rsidRDefault="00D5569C">
      <w:pPr>
        <w:rPr>
          <w:b/>
          <w:sz w:val="24"/>
          <w:szCs w:val="24"/>
        </w:rPr>
      </w:pPr>
    </w:p>
    <w:p w:rsidR="00D5569C" w:rsidRDefault="001D39A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</w:t>
      </w:r>
    </w:p>
    <w:p w:rsidR="00D5569C" w:rsidRDefault="00D5569C">
      <w:pPr>
        <w:rPr>
          <w:b/>
          <w:sz w:val="24"/>
          <w:szCs w:val="24"/>
        </w:rPr>
      </w:pPr>
    </w:p>
    <w:p w:rsidR="00D5569C" w:rsidRDefault="001D39A1">
      <w:pPr>
        <w:rPr>
          <w:sz w:val="24"/>
          <w:szCs w:val="24"/>
        </w:rPr>
      </w:pPr>
      <w:r>
        <w:rPr>
          <w:sz w:val="24"/>
          <w:szCs w:val="24"/>
        </w:rPr>
        <w:t xml:space="preserve">Handle culture tubes with gloves and clean with </w:t>
      </w:r>
      <w:proofErr w:type="spellStart"/>
      <w:r>
        <w:rPr>
          <w:sz w:val="24"/>
          <w:szCs w:val="24"/>
        </w:rPr>
        <w:t>KimWipes</w:t>
      </w:r>
      <w:proofErr w:type="spellEnd"/>
      <w:r>
        <w:rPr>
          <w:sz w:val="24"/>
          <w:szCs w:val="24"/>
        </w:rPr>
        <w:t>.  Carefully transfer standards and samples usi</w:t>
      </w:r>
      <w:r>
        <w:rPr>
          <w:sz w:val="24"/>
          <w:szCs w:val="24"/>
        </w:rPr>
        <w:t xml:space="preserve">ng transfer pipettes to limit cleaning and scratching of culture tubes. Dispose of excessively scratched tubes. </w:t>
      </w:r>
    </w:p>
    <w:p w:rsidR="00D5569C" w:rsidRDefault="00D5569C">
      <w:pPr>
        <w:rPr>
          <w:sz w:val="24"/>
          <w:szCs w:val="24"/>
        </w:rPr>
      </w:pPr>
    </w:p>
    <w:p w:rsidR="00D5569C" w:rsidRDefault="00D5569C">
      <w:pPr>
        <w:rPr>
          <w:b/>
          <w:sz w:val="24"/>
          <w:szCs w:val="24"/>
        </w:rPr>
      </w:pPr>
    </w:p>
    <w:p w:rsidR="00D5569C" w:rsidRDefault="001D39A1">
      <w:pPr>
        <w:rPr>
          <w:b/>
          <w:sz w:val="24"/>
          <w:szCs w:val="24"/>
        </w:rPr>
      </w:pPr>
      <w:r>
        <w:rPr>
          <w:b/>
          <w:sz w:val="24"/>
          <w:szCs w:val="24"/>
        </w:rPr>
        <w:t>Sample Analysis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Make sure the instrument has been calibrated and an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Performance Data Sheet </w:t>
      </w:r>
      <w:r>
        <w:rPr>
          <w:sz w:val="24"/>
          <w:szCs w:val="24"/>
        </w:rPr>
        <w:t>has been created for the calibration following the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>Chlorophyll a and Turbidity Calibration and Performance Tracking Protocol</w:t>
      </w:r>
      <w:r>
        <w:rPr>
          <w:sz w:val="24"/>
          <w:szCs w:val="24"/>
        </w:rPr>
        <w:t xml:space="preserve">. </w:t>
      </w:r>
    </w:p>
    <w:p w:rsidR="00D5569C" w:rsidRDefault="00D5569C">
      <w:pPr>
        <w:ind w:left="720"/>
        <w:rPr>
          <w:b/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Initialize logging on the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: 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Turn on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>.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Press &lt;</w:t>
      </w:r>
      <w:r>
        <w:rPr>
          <w:b/>
          <w:sz w:val="24"/>
          <w:szCs w:val="24"/>
        </w:rPr>
        <w:t>DATA</w:t>
      </w:r>
      <w:r>
        <w:rPr>
          <w:sz w:val="24"/>
          <w:szCs w:val="24"/>
        </w:rPr>
        <w:t>&gt; twice to show Logging Status.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If it does not say ‘Status: </w:t>
      </w:r>
      <w:r>
        <w:rPr>
          <w:sz w:val="24"/>
          <w:szCs w:val="24"/>
        </w:rPr>
        <w:t>Logging’, Press &lt;ENT&gt; to enable logging.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Prepare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</w:t>
      </w:r>
      <w:r>
        <w:rPr>
          <w:sz w:val="24"/>
          <w:szCs w:val="24"/>
        </w:rPr>
        <w:t>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Fill out the survey and analysis information in the grey box.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#0-5 </w:t>
      </w:r>
      <w:r>
        <w:rPr>
          <w:sz w:val="24"/>
          <w:szCs w:val="24"/>
        </w:rPr>
        <w:t xml:space="preserve">are pre-filled representing blank, IVCH solid standard and TRB 100 NTU readings. Record </w:t>
      </w:r>
      <w:r>
        <w:rPr>
          <w:sz w:val="24"/>
          <w:szCs w:val="24"/>
        </w:rPr>
        <w:t>the instrument readings in the appropriate rows.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#6 </w:t>
      </w:r>
      <w:r>
        <w:rPr>
          <w:sz w:val="24"/>
          <w:szCs w:val="24"/>
        </w:rPr>
        <w:t xml:space="preserve">onwards represents field sample results and must be carefully filled to associate the readings with metadata. For each sample make sure to associate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GEM Sam</w:t>
      </w:r>
      <w:r>
        <w:rPr>
          <w:b/>
          <w:sz w:val="24"/>
          <w:szCs w:val="24"/>
        </w:rPr>
        <w:t>ple ID</w:t>
      </w:r>
      <w:r>
        <w:rPr>
          <w:sz w:val="24"/>
          <w:szCs w:val="24"/>
        </w:rPr>
        <w:t xml:space="preserve">. Refer to the </w:t>
      </w:r>
      <w:r>
        <w:rPr>
          <w:b/>
          <w:sz w:val="24"/>
          <w:szCs w:val="24"/>
        </w:rPr>
        <w:t xml:space="preserve">Survey </w:t>
      </w:r>
      <w:proofErr w:type="spellStart"/>
      <w:r>
        <w:rPr>
          <w:b/>
          <w:sz w:val="24"/>
          <w:szCs w:val="24"/>
        </w:rPr>
        <w:t>Logsheet</w:t>
      </w:r>
      <w:proofErr w:type="spellEnd"/>
      <w:r>
        <w:rPr>
          <w:sz w:val="24"/>
          <w:szCs w:val="24"/>
        </w:rPr>
        <w:t xml:space="preserve"> and sample bottle labels.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Place the 12mm culture tube adapter in the instrument sample compartment.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Using a transfer pipette, fill a culture tube ¾ full with DI. Place within the instrument compartment.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Run the first</w:t>
      </w:r>
      <w:r>
        <w:rPr>
          <w:sz w:val="24"/>
          <w:szCs w:val="24"/>
        </w:rPr>
        <w:t xml:space="preserve"> blank on the IVCH channel (press &lt;</w:t>
      </w:r>
      <w:r>
        <w:rPr>
          <w:b/>
          <w:sz w:val="24"/>
          <w:szCs w:val="24"/>
        </w:rPr>
        <w:t>READ</w:t>
      </w:r>
      <w:r>
        <w:rPr>
          <w:sz w:val="24"/>
          <w:szCs w:val="24"/>
        </w:rPr>
        <w:t xml:space="preserve">&gt;) and then on the TRB channel (press </w:t>
      </w:r>
      <w:r>
        <w:rPr>
          <w:b/>
          <w:sz w:val="24"/>
          <w:szCs w:val="24"/>
        </w:rPr>
        <w:t>&lt;A/B&gt;</w:t>
      </w:r>
      <w:r>
        <w:rPr>
          <w:sz w:val="24"/>
          <w:szCs w:val="24"/>
        </w:rPr>
        <w:t xml:space="preserve"> to switch channels) and record the values in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 </w:t>
      </w:r>
      <w:r>
        <w:rPr>
          <w:sz w:val="24"/>
          <w:szCs w:val="24"/>
        </w:rPr>
        <w:t xml:space="preserve">at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#0 and 1</w:t>
      </w:r>
      <w:r>
        <w:rPr>
          <w:sz w:val="24"/>
          <w:szCs w:val="24"/>
        </w:rPr>
        <w:t xml:space="preserve">. 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Repeat steps 2-3 for the second set of blanks and record the values in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 </w:t>
      </w:r>
      <w:r>
        <w:rPr>
          <w:sz w:val="24"/>
          <w:szCs w:val="24"/>
        </w:rPr>
        <w:t xml:space="preserve">at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#2 and 3</w:t>
      </w:r>
      <w:r>
        <w:rPr>
          <w:sz w:val="24"/>
          <w:szCs w:val="24"/>
        </w:rPr>
        <w:t>.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Remove the 12mm culture tube adapter from the instrument sample compartment.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On the IVCH channel, take a solid standard r</w:t>
      </w:r>
      <w:r>
        <w:rPr>
          <w:sz w:val="24"/>
          <w:szCs w:val="24"/>
        </w:rPr>
        <w:t xml:space="preserve">eading (tab to the back of the instrument, press </w:t>
      </w:r>
      <w:r>
        <w:rPr>
          <w:b/>
          <w:sz w:val="24"/>
          <w:szCs w:val="24"/>
        </w:rPr>
        <w:t>&lt;READ&gt;</w:t>
      </w:r>
      <w:r>
        <w:rPr>
          <w:sz w:val="24"/>
          <w:szCs w:val="24"/>
        </w:rPr>
        <w:t xml:space="preserve">). Record the value in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</w:t>
      </w:r>
      <w:r>
        <w:rPr>
          <w:sz w:val="24"/>
          <w:szCs w:val="24"/>
        </w:rPr>
        <w:t xml:space="preserve"> at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#4</w:t>
      </w:r>
      <w:r>
        <w:rPr>
          <w:sz w:val="24"/>
          <w:szCs w:val="24"/>
        </w:rPr>
        <w:t xml:space="preserve">. 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Record the value in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Performance Data Sheet</w:t>
      </w:r>
      <w:r>
        <w:rPr>
          <w:sz w:val="24"/>
          <w:szCs w:val="24"/>
        </w:rPr>
        <w:t xml:space="preserve">. Ensure the value is </w:t>
      </w:r>
      <m:oMath>
        <m:r>
          <w:rPr>
            <w:rFonts w:ascii="Cambria Math" w:hAnsi="Cambria Math"/>
          </w:rPr>
          <m:t>±</m:t>
        </m:r>
      </m:oMath>
      <w:r>
        <w:rPr>
          <w:sz w:val="24"/>
          <w:szCs w:val="24"/>
        </w:rPr>
        <w:t xml:space="preserve"> 10% of the calibration value (first row).</w:t>
      </w:r>
      <w:r>
        <w:rPr>
          <w:sz w:val="24"/>
          <w:szCs w:val="24"/>
        </w:rPr>
        <w:t xml:space="preserve"> If exceeded, troubleshoot using recommendations in the </w:t>
      </w:r>
      <w:r>
        <w:rPr>
          <w:b/>
          <w:sz w:val="24"/>
          <w:szCs w:val="24"/>
          <w:u w:val="single"/>
        </w:rPr>
        <w:t>Chlorophyll a and Turbidity Calibration and Performance Tracking Protocol</w:t>
      </w:r>
      <w:r>
        <w:rPr>
          <w:sz w:val="24"/>
          <w:szCs w:val="24"/>
        </w:rPr>
        <w:t xml:space="preserve">. </w:t>
      </w:r>
    </w:p>
    <w:p w:rsidR="00D5569C" w:rsidRDefault="00D5569C">
      <w:pPr>
        <w:ind w:left="144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Remove the solid standard and re-install the culture tube adapter.</w:t>
      </w:r>
    </w:p>
    <w:p w:rsidR="00D5569C" w:rsidRDefault="00D5569C">
      <w:pPr>
        <w:ind w:left="144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Using a transfer pipette, ¾ fill a culture tube</w:t>
      </w:r>
      <w:r>
        <w:rPr>
          <w:sz w:val="24"/>
          <w:szCs w:val="24"/>
        </w:rPr>
        <w:t xml:space="preserve"> with the 100 NTU turbidity standard and place it in the instrument.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Switch to the TRB channel (press </w:t>
      </w:r>
      <w:r>
        <w:rPr>
          <w:b/>
          <w:sz w:val="24"/>
          <w:szCs w:val="24"/>
        </w:rPr>
        <w:t>&lt;A/B&gt;</w:t>
      </w:r>
      <w:r>
        <w:rPr>
          <w:sz w:val="24"/>
          <w:szCs w:val="24"/>
        </w:rPr>
        <w:t xml:space="preserve">) and take a 100 NTU standard reading. Record the value in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</w:t>
      </w:r>
      <w:r>
        <w:rPr>
          <w:sz w:val="24"/>
          <w:szCs w:val="24"/>
        </w:rPr>
        <w:t xml:space="preserve"> at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Sample ID #5</w:t>
      </w:r>
      <w:r>
        <w:rPr>
          <w:sz w:val="24"/>
          <w:szCs w:val="24"/>
        </w:rPr>
        <w:t xml:space="preserve">. </w:t>
      </w:r>
    </w:p>
    <w:p w:rsidR="00D5569C" w:rsidRDefault="001D39A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Record the value in the </w:t>
      </w:r>
      <w:proofErr w:type="spellStart"/>
      <w:r>
        <w:rPr>
          <w:b/>
          <w:sz w:val="24"/>
          <w:szCs w:val="24"/>
        </w:rPr>
        <w:t>AquaFluo</w:t>
      </w:r>
      <w:r>
        <w:rPr>
          <w:b/>
          <w:sz w:val="24"/>
          <w:szCs w:val="24"/>
        </w:rPr>
        <w:t>r</w:t>
      </w:r>
      <w:proofErr w:type="spellEnd"/>
      <w:r>
        <w:rPr>
          <w:b/>
          <w:sz w:val="24"/>
          <w:szCs w:val="24"/>
        </w:rPr>
        <w:t xml:space="preserve"> Performance Data Sheet</w:t>
      </w:r>
      <w:r>
        <w:rPr>
          <w:sz w:val="24"/>
          <w:szCs w:val="24"/>
        </w:rPr>
        <w:t xml:space="preserve">. Ensure the value is </w:t>
      </w:r>
      <m:oMath>
        <m:r>
          <w:rPr>
            <w:rFonts w:ascii="Cambria Math" w:hAnsi="Cambria Math"/>
          </w:rPr>
          <m:t>±</m:t>
        </m:r>
      </m:oMath>
      <w:r>
        <w:rPr>
          <w:sz w:val="24"/>
          <w:szCs w:val="24"/>
        </w:rPr>
        <w:t xml:space="preserve"> 10% of the calibration value. If exceeded, troubleshoot using recommendations in the </w:t>
      </w:r>
      <w:r>
        <w:rPr>
          <w:b/>
          <w:sz w:val="24"/>
          <w:szCs w:val="24"/>
          <w:u w:val="single"/>
        </w:rPr>
        <w:t>Chlorophyll a and Turbidity Calibration and Performance Tracking Protocol</w:t>
      </w:r>
      <w:r>
        <w:rPr>
          <w:sz w:val="24"/>
          <w:szCs w:val="24"/>
        </w:rPr>
        <w:t>.</w:t>
      </w:r>
    </w:p>
    <w:p w:rsidR="00D5569C" w:rsidRDefault="00D5569C">
      <w:pPr>
        <w:ind w:left="144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Remove the culture tube.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Cross check that the </w:t>
      </w:r>
      <w:r>
        <w:rPr>
          <w:sz w:val="24"/>
          <w:szCs w:val="24"/>
        </w:rPr>
        <w:t xml:space="preserve">sample bottle label and </w:t>
      </w:r>
      <w:r>
        <w:rPr>
          <w:b/>
          <w:sz w:val="24"/>
          <w:szCs w:val="24"/>
        </w:rPr>
        <w:t xml:space="preserve">Survey </w:t>
      </w:r>
      <w:proofErr w:type="spellStart"/>
      <w:r>
        <w:rPr>
          <w:b/>
          <w:sz w:val="24"/>
          <w:szCs w:val="24"/>
        </w:rPr>
        <w:t>Logsheet</w:t>
      </w:r>
      <w:proofErr w:type="spellEnd"/>
      <w:r>
        <w:rPr>
          <w:sz w:val="24"/>
          <w:szCs w:val="24"/>
        </w:rPr>
        <w:t xml:space="preserve"> align with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Gently invert the sample bottle 3x.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Using a transfer pipette, ¾ fill a culture tube with sample water from the sample bottle.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Place the culture tube in the instrument (work</w:t>
      </w:r>
      <w:r>
        <w:rPr>
          <w:sz w:val="24"/>
          <w:szCs w:val="24"/>
        </w:rPr>
        <w:t xml:space="preserve"> in subdued light and limit light exposure - the culture tubes do not allow for the instrument lid to be closed)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Take an IVCH reading and record it in the correct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 </w:t>
      </w:r>
      <w:r>
        <w:rPr>
          <w:sz w:val="24"/>
          <w:szCs w:val="24"/>
        </w:rPr>
        <w:t>row.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Leave the culture tube in the instrument and press </w:t>
      </w:r>
      <w:r>
        <w:rPr>
          <w:b/>
          <w:sz w:val="24"/>
          <w:szCs w:val="24"/>
        </w:rPr>
        <w:t>&lt;A/B&gt;</w:t>
      </w:r>
      <w:r>
        <w:rPr>
          <w:sz w:val="24"/>
          <w:szCs w:val="24"/>
        </w:rPr>
        <w:t xml:space="preserve"> to s</w:t>
      </w:r>
      <w:r>
        <w:rPr>
          <w:sz w:val="24"/>
          <w:szCs w:val="24"/>
        </w:rPr>
        <w:t>witch to the TRB channel.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Take an TRB reading and record it in the appropriate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 </w:t>
      </w:r>
      <w:r>
        <w:rPr>
          <w:sz w:val="24"/>
          <w:szCs w:val="24"/>
        </w:rPr>
        <w:t>row.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Remove the culture tube.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Repeat steps 10-17 until the triplicate readings of both channels are complete for the sample.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Repeat steps 10-17 for the next sample starting with the appropriate </w:t>
      </w:r>
      <w:r>
        <w:rPr>
          <w:b/>
          <w:sz w:val="24"/>
          <w:szCs w:val="24"/>
        </w:rPr>
        <w:t xml:space="preserve">Sampling Event ID (e.g. 1_14). </w:t>
      </w:r>
      <w:r>
        <w:rPr>
          <w:sz w:val="24"/>
          <w:szCs w:val="24"/>
        </w:rPr>
        <w:t>Refer to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b/>
          <w:sz w:val="24"/>
          <w:szCs w:val="24"/>
        </w:rPr>
        <w:t xml:space="preserve"> Survey </w:t>
      </w:r>
      <w:proofErr w:type="spellStart"/>
      <w:r>
        <w:rPr>
          <w:b/>
          <w:sz w:val="24"/>
          <w:szCs w:val="24"/>
        </w:rPr>
        <w:t>Logsheet</w:t>
      </w:r>
      <w:proofErr w:type="spellEnd"/>
      <w:r>
        <w:rPr>
          <w:b/>
          <w:sz w:val="24"/>
          <w:szCs w:val="24"/>
        </w:rPr>
        <w:t>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Data download and management</w:t>
      </w:r>
    </w:p>
    <w:p w:rsidR="00D5569C" w:rsidRDefault="00D5569C">
      <w:pPr>
        <w:rPr>
          <w:b/>
          <w:sz w:val="24"/>
          <w:szCs w:val="24"/>
        </w:rPr>
      </w:pPr>
    </w:p>
    <w:p w:rsidR="00D5569C" w:rsidRDefault="001D39A1">
      <w:pPr>
        <w:rPr>
          <w:sz w:val="24"/>
          <w:szCs w:val="24"/>
        </w:rPr>
      </w:pPr>
      <w:r>
        <w:rPr>
          <w:sz w:val="24"/>
          <w:szCs w:val="24"/>
        </w:rPr>
        <w:t>Must have excel and the Spreadsheet Interface Software downloaded (downloaded from USB key in kit)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Connect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to the computer with the provided cord. (Cable - Data Logger Handheld P/N 21-0850). Ensure the instrument end is plugged all the way in.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Open the Spreadsheet software, select the correct COM port and click ‘Start’. COM and MS Excel boxes should both turn green.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Turn on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>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Press &lt;DATA&gt; x3.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Press &lt;ENT&gt; x5.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Turn off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, save the Excel </w:t>
      </w:r>
      <w:r>
        <w:rPr>
          <w:b/>
          <w:sz w:val="24"/>
          <w:szCs w:val="24"/>
        </w:rPr>
        <w:t xml:space="preserve">‘spreadsheet.xlsx’ </w:t>
      </w:r>
      <w:r>
        <w:rPr>
          <w:sz w:val="24"/>
          <w:szCs w:val="24"/>
        </w:rPr>
        <w:t>and then press ‘close</w:t>
      </w:r>
      <w:r>
        <w:rPr>
          <w:sz w:val="24"/>
          <w:szCs w:val="24"/>
        </w:rPr>
        <w:t>’ on spreadsheet software.</w:t>
      </w:r>
    </w:p>
    <w:p w:rsidR="00D5569C" w:rsidRDefault="00D5569C">
      <w:pP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Download (or open a copy of)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Data Sheet Template</w:t>
      </w:r>
      <w:r>
        <w:rPr>
          <w:sz w:val="24"/>
          <w:szCs w:val="24"/>
        </w:rPr>
        <w:t xml:space="preserve">, and save as: </w:t>
      </w:r>
      <w:r>
        <w:rPr>
          <w:b/>
          <w:sz w:val="24"/>
          <w:szCs w:val="24"/>
        </w:rPr>
        <w:t>{YYYY-MM_DD}_aquafluor_processed.xlsx</w:t>
      </w:r>
    </w:p>
    <w:p w:rsidR="00D5569C" w:rsidRDefault="00D5569C">
      <w:pPr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Fill in </w:t>
      </w:r>
      <w:r>
        <w:rPr>
          <w:b/>
          <w:sz w:val="24"/>
          <w:szCs w:val="24"/>
        </w:rPr>
        <w:t>{YYYY-MM_DD}_aquafluor_processed.xlsx</w:t>
      </w:r>
      <w:r>
        <w:rPr>
          <w:sz w:val="24"/>
          <w:szCs w:val="24"/>
        </w:rPr>
        <w:t xml:space="preserve"> using info from the 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 xml:space="preserve"> Analysis Sheet</w:t>
      </w:r>
      <w:r>
        <w:rPr>
          <w:sz w:val="24"/>
          <w:szCs w:val="24"/>
        </w:rPr>
        <w:t xml:space="preserve"> and from the Spreadsheet Interface Software download </w:t>
      </w:r>
      <w:r>
        <w:rPr>
          <w:b/>
          <w:sz w:val="24"/>
          <w:szCs w:val="24"/>
        </w:rPr>
        <w:t>‘spreadsheet.xlsx’.</w:t>
      </w:r>
    </w:p>
    <w:p w:rsidR="00D5569C" w:rsidRDefault="001D39A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Note: Quality Flag follows these levels:</w:t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:rsidR="00D5569C" w:rsidRDefault="001D39A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br w:type="page"/>
      </w:r>
    </w:p>
    <w:p w:rsidR="00D5569C" w:rsidRDefault="001D39A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728663</wp:posOffset>
            </wp:positionH>
            <wp:positionV relativeFrom="paragraph">
              <wp:posOffset>306654</wp:posOffset>
            </wp:positionV>
            <wp:extent cx="4471988" cy="2971453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971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Save a .csv version of the </w:t>
      </w:r>
      <w:r>
        <w:rPr>
          <w:b/>
          <w:sz w:val="24"/>
          <w:szCs w:val="24"/>
        </w:rPr>
        <w:t>{YYYY-MM_DD}_</w:t>
      </w:r>
      <w:proofErr w:type="spellStart"/>
      <w:r>
        <w:rPr>
          <w:b/>
          <w:sz w:val="24"/>
          <w:szCs w:val="24"/>
        </w:rPr>
        <w:t>aquafluor_processed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sheet and save it as </w:t>
      </w:r>
      <w:r>
        <w:rPr>
          <w:b/>
          <w:sz w:val="24"/>
          <w:szCs w:val="24"/>
        </w:rPr>
        <w:t>{YYYY-MM_DD}_aquafluor_final.csv</w:t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Navigate to the </w:t>
      </w:r>
      <w:r>
        <w:rPr>
          <w:b/>
          <w:sz w:val="24"/>
          <w:szCs w:val="24"/>
        </w:rPr>
        <w:t>/data/{YYYY-MM-DD}_survey/</w:t>
      </w:r>
      <w:proofErr w:type="spellStart"/>
      <w:r>
        <w:rPr>
          <w:b/>
          <w:sz w:val="24"/>
          <w:szCs w:val="24"/>
        </w:rPr>
        <w:t>Aquafluor</w:t>
      </w:r>
      <w:proofErr w:type="spellEnd"/>
      <w:r>
        <w:rPr>
          <w:b/>
          <w:sz w:val="24"/>
          <w:szCs w:val="24"/>
        </w:rPr>
        <w:t>/</w:t>
      </w:r>
      <w:r>
        <w:rPr>
          <w:sz w:val="24"/>
          <w:szCs w:val="24"/>
        </w:rPr>
        <w:t xml:space="preserve"> folder of the </w:t>
      </w:r>
      <w:proofErr w:type="spellStart"/>
      <w:r>
        <w:rPr>
          <w:sz w:val="24"/>
          <w:szCs w:val="24"/>
        </w:rPr>
        <w:t>Githu</w:t>
      </w:r>
      <w:r>
        <w:rPr>
          <w:color w:val="1D1C1D"/>
          <w:sz w:val="23"/>
          <w:szCs w:val="23"/>
        </w:rPr>
        <w:t>b</w:t>
      </w:r>
      <w:proofErr w:type="spellEnd"/>
      <w:r>
        <w:rPr>
          <w:color w:val="1D1C1D"/>
          <w:sz w:val="23"/>
          <w:szCs w:val="23"/>
        </w:rPr>
        <w:t xml:space="preserve"> repository, and </w:t>
      </w:r>
      <w:r>
        <w:rPr>
          <w:sz w:val="24"/>
          <w:szCs w:val="24"/>
        </w:rPr>
        <w:t>upload</w:t>
      </w:r>
      <w:r>
        <w:rPr>
          <w:b/>
          <w:sz w:val="24"/>
          <w:szCs w:val="24"/>
        </w:rPr>
        <w:t xml:space="preserve"> {YYYY-MM_DD}_aquafluor_processed.xlsx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{YYYY-MM_DD}_aquafluor_final.csv</w:t>
      </w:r>
      <w:r>
        <w:rPr>
          <w:sz w:val="24"/>
          <w:szCs w:val="24"/>
        </w:rPr>
        <w:t xml:space="preserve"> </w:t>
      </w:r>
    </w:p>
    <w:p w:rsidR="00D5569C" w:rsidRDefault="00D5569C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D5569C" w:rsidRDefault="001D39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Take a photo of the </w:t>
      </w:r>
      <w:proofErr w:type="spellStart"/>
      <w:r>
        <w:rPr>
          <w:sz w:val="24"/>
          <w:szCs w:val="24"/>
        </w:rPr>
        <w:t>AquaFluor</w:t>
      </w:r>
      <w:proofErr w:type="spellEnd"/>
      <w:r>
        <w:rPr>
          <w:sz w:val="24"/>
          <w:szCs w:val="24"/>
        </w:rPr>
        <w:t xml:space="preserve"> Analysis Sheet(s) and upload to the same folder, wit</w:t>
      </w:r>
      <w:r>
        <w:rPr>
          <w:sz w:val="24"/>
          <w:szCs w:val="24"/>
        </w:rPr>
        <w:t xml:space="preserve">h the name </w:t>
      </w:r>
      <w:r>
        <w:rPr>
          <w:b/>
          <w:sz w:val="24"/>
          <w:szCs w:val="24"/>
        </w:rPr>
        <w:t>{YYYY-MM_DD}_aquafluor_raw.jpeg</w:t>
      </w:r>
      <w:r>
        <w:rPr>
          <w:sz w:val="24"/>
          <w:szCs w:val="24"/>
        </w:rPr>
        <w:t>.</w:t>
      </w:r>
    </w:p>
    <w:sectPr w:rsidR="00D5569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39A1" w:rsidRDefault="001D39A1">
      <w:pPr>
        <w:spacing w:line="240" w:lineRule="auto"/>
      </w:pPr>
      <w:r>
        <w:separator/>
      </w:r>
    </w:p>
  </w:endnote>
  <w:endnote w:type="continuationSeparator" w:id="0">
    <w:p w:rsidR="001D39A1" w:rsidRDefault="001D39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569C" w:rsidRDefault="001D39A1">
    <w:pPr>
      <w:jc w:val="right"/>
    </w:pPr>
    <w:r>
      <w:fldChar w:fldCharType="begin"/>
    </w:r>
    <w:r>
      <w:instrText>PAGE</w:instrText>
    </w:r>
    <w:r w:rsidR="00FB5A09">
      <w:fldChar w:fldCharType="separate"/>
    </w:r>
    <w:r w:rsidR="00FB5A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39A1" w:rsidRDefault="001D39A1">
      <w:pPr>
        <w:spacing w:line="240" w:lineRule="auto"/>
      </w:pPr>
      <w:r>
        <w:separator/>
      </w:r>
    </w:p>
  </w:footnote>
  <w:footnote w:type="continuationSeparator" w:id="0">
    <w:p w:rsidR="001D39A1" w:rsidRDefault="001D39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569C" w:rsidRDefault="001D39A1">
    <w:pPr>
      <w:jc w:val="right"/>
    </w:pPr>
    <w:r>
      <w:fldChar w:fldCharType="begin"/>
    </w:r>
    <w:r>
      <w:instrText>PAGE</w:instrText>
    </w:r>
    <w:r w:rsidR="00FB5A09">
      <w:fldChar w:fldCharType="separate"/>
    </w:r>
    <w:r w:rsidR="00FB5A0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5B69"/>
    <w:multiLevelType w:val="multilevel"/>
    <w:tmpl w:val="3B84A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F22B2"/>
    <w:multiLevelType w:val="multilevel"/>
    <w:tmpl w:val="8CB0C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9E23FF"/>
    <w:multiLevelType w:val="multilevel"/>
    <w:tmpl w:val="49A22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8D7251"/>
    <w:multiLevelType w:val="multilevel"/>
    <w:tmpl w:val="AD669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845BB4"/>
    <w:multiLevelType w:val="multilevel"/>
    <w:tmpl w:val="85E65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9C"/>
    <w:rsid w:val="001D39A1"/>
    <w:rsid w:val="00D5569C"/>
    <w:rsid w:val="00FB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19D9F8-F3A3-40FB-8730-9F394049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4F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FC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4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4F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01B4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07A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E18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8CE"/>
    <w:rPr>
      <w:color w:val="605E5C"/>
      <w:shd w:val="clear" w:color="auto" w:fill="E1DFDD"/>
    </w:rPr>
  </w:style>
  <w:style w:type="paragraph" w:customStyle="1" w:styleId="Default">
    <w:name w:val="Default"/>
    <w:rsid w:val="0054642D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2B1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turnerdesigns.com/t2/doc/manuals/998-7210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turnerdesigns.com/t2/doc/instructions/998-092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turnerdesigns.com/t2/doc/manuals/998-0879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dvwqKV2OYS+p4rMM57C2RvqMg==">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Del Belluz</dc:creator>
  <cp:lastModifiedBy>Justin Del Belluz</cp:lastModifiedBy>
  <cp:revision>2</cp:revision>
  <dcterms:created xsi:type="dcterms:W3CDTF">2025-01-13T19:51:00Z</dcterms:created>
  <dcterms:modified xsi:type="dcterms:W3CDTF">2025-01-13T19:51:00Z</dcterms:modified>
</cp:coreProperties>
</file>